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16000">
      <w:pPr>
        <w:spacing w:line="500" w:lineRule="exact"/>
        <w:jc w:val="center"/>
        <w:rPr>
          <w:b/>
          <w:sz w:val="44"/>
          <w:szCs w:val="44"/>
        </w:rPr>
      </w:pPr>
      <w:r>
        <w:rPr>
          <w:rFonts w:hint="eastAsia"/>
          <w:b/>
          <w:sz w:val="44"/>
          <w:szCs w:val="44"/>
        </w:rPr>
        <w:t>南昌市青山湖区建设工程质量和安全事务中心2025年单位预算</w:t>
      </w:r>
    </w:p>
    <w:p w14:paraId="3F9C591B">
      <w:pPr>
        <w:spacing w:line="500" w:lineRule="exact"/>
        <w:jc w:val="center"/>
        <w:rPr>
          <w:rFonts w:ascii="楷体_GB2312" w:hAnsi="楷体_GB2312" w:eastAsia="楷体_GB2312" w:cs="楷体_GB2312"/>
          <w:b/>
          <w:sz w:val="32"/>
          <w:szCs w:val="32"/>
        </w:rPr>
      </w:pPr>
    </w:p>
    <w:p w14:paraId="0237B288">
      <w:pPr>
        <w:spacing w:line="246" w:lineRule="auto"/>
        <w:rPr>
          <w:rFonts w:ascii="仿宋_GB2312" w:hAnsi="仿宋_GB2312" w:eastAsia="仿宋_GB2312" w:cs="仿宋_GB2312"/>
        </w:rPr>
      </w:pPr>
    </w:p>
    <w:p w14:paraId="1D4A5A9A">
      <w:pPr>
        <w:spacing w:line="246" w:lineRule="auto"/>
        <w:rPr>
          <w:rFonts w:ascii="仿宋_GB2312" w:hAnsi="仿宋_GB2312" w:eastAsia="仿宋_GB2312" w:cs="仿宋_GB2312"/>
        </w:rPr>
      </w:pPr>
    </w:p>
    <w:p w14:paraId="3374C846">
      <w:pPr>
        <w:spacing w:line="500" w:lineRule="exact"/>
        <w:jc w:val="center"/>
        <w:rPr>
          <w:rFonts w:ascii="黑体" w:eastAsia="黑体"/>
          <w:sz w:val="32"/>
          <w:szCs w:val="32"/>
        </w:rPr>
      </w:pPr>
      <w:r>
        <w:rPr>
          <w:rFonts w:hint="eastAsia" w:ascii="黑体" w:eastAsia="黑体"/>
          <w:sz w:val="32"/>
          <w:szCs w:val="32"/>
        </w:rPr>
        <w:t>目  录</w:t>
      </w:r>
    </w:p>
    <w:p w14:paraId="03E49F04">
      <w:pPr>
        <w:spacing w:line="252" w:lineRule="auto"/>
        <w:rPr>
          <w:rFonts w:ascii="仿宋_GB2312" w:hAnsi="仿宋_GB2312" w:eastAsia="仿宋_GB2312" w:cs="仿宋_GB2312"/>
        </w:rPr>
      </w:pPr>
    </w:p>
    <w:p w14:paraId="78D0E32E">
      <w:pPr>
        <w:spacing w:line="253" w:lineRule="auto"/>
        <w:rPr>
          <w:rFonts w:ascii="仿宋_GB2312" w:hAnsi="仿宋_GB2312" w:eastAsia="仿宋_GB2312" w:cs="仿宋_GB2312"/>
        </w:rPr>
      </w:pPr>
    </w:p>
    <w:p w14:paraId="1C5DC17C">
      <w:pPr>
        <w:widowControl/>
        <w:spacing w:line="500" w:lineRule="exact"/>
        <w:ind w:firstLine="562" w:firstLineChars="200"/>
        <w:rPr>
          <w:rFonts w:ascii="仿宋_GB2312" w:eastAsia="仿宋_GB2312"/>
          <w:b/>
          <w:sz w:val="28"/>
          <w:szCs w:val="28"/>
        </w:rPr>
      </w:pPr>
      <w:r>
        <w:rPr>
          <w:rFonts w:hint="eastAsia" w:ascii="仿宋_GB2312" w:eastAsia="仿宋_GB2312"/>
          <w:b/>
          <w:sz w:val="28"/>
          <w:szCs w:val="28"/>
        </w:rPr>
        <w:t>第一部分  南昌市青山湖区建设工程质量和安全事务中心单位概况</w:t>
      </w:r>
    </w:p>
    <w:p w14:paraId="7C4736DC">
      <w:pPr>
        <w:spacing w:line="500" w:lineRule="exact"/>
        <w:ind w:firstLine="560" w:firstLineChars="200"/>
        <w:rPr>
          <w:rFonts w:ascii="仿宋_GB2312" w:eastAsia="仿宋_GB2312"/>
          <w:sz w:val="28"/>
          <w:szCs w:val="28"/>
        </w:rPr>
      </w:pPr>
      <w:r>
        <w:rPr>
          <w:rFonts w:hint="eastAsia" w:ascii="仿宋_GB2312" w:eastAsia="仿宋_GB2312"/>
          <w:sz w:val="28"/>
          <w:szCs w:val="28"/>
        </w:rPr>
        <w:t>一、单位主要职责</w:t>
      </w:r>
    </w:p>
    <w:p w14:paraId="6E9C2D14">
      <w:pPr>
        <w:spacing w:line="500" w:lineRule="exact"/>
        <w:ind w:firstLine="560" w:firstLineChars="200"/>
        <w:rPr>
          <w:rFonts w:ascii="仿宋_GB2312" w:eastAsia="仿宋_GB2312"/>
          <w:sz w:val="28"/>
          <w:szCs w:val="28"/>
        </w:rPr>
      </w:pPr>
      <w:r>
        <w:rPr>
          <w:rFonts w:hint="eastAsia" w:ascii="仿宋_GB2312" w:eastAsia="仿宋_GB2312"/>
          <w:sz w:val="28"/>
          <w:szCs w:val="28"/>
        </w:rPr>
        <w:t>二、机构设置及人员情况</w:t>
      </w:r>
    </w:p>
    <w:p w14:paraId="18739393">
      <w:pPr>
        <w:widowControl/>
        <w:spacing w:line="500" w:lineRule="exact"/>
        <w:ind w:firstLine="562" w:firstLineChars="200"/>
        <w:rPr>
          <w:rFonts w:ascii="仿宋_GB2312" w:eastAsia="仿宋_GB2312"/>
          <w:sz w:val="28"/>
          <w:szCs w:val="28"/>
        </w:rPr>
      </w:pPr>
      <w:r>
        <w:rPr>
          <w:rFonts w:hint="eastAsia" w:ascii="仿宋_GB2312" w:eastAsia="仿宋_GB2312"/>
          <w:b/>
          <w:sz w:val="28"/>
          <w:szCs w:val="28"/>
        </w:rPr>
        <w:t>第二部分  南昌市青山湖区建设工程质量和安全事务中心2025年单位预算表</w:t>
      </w:r>
    </w:p>
    <w:p w14:paraId="747760C5">
      <w:pPr>
        <w:spacing w:line="500" w:lineRule="exact"/>
        <w:ind w:firstLine="560" w:firstLineChars="200"/>
        <w:rPr>
          <w:rFonts w:ascii="仿宋_GB2312" w:eastAsia="仿宋_GB2312"/>
          <w:sz w:val="28"/>
          <w:szCs w:val="28"/>
        </w:rPr>
      </w:pPr>
      <w:r>
        <w:rPr>
          <w:rFonts w:hint="eastAsia" w:ascii="仿宋_GB2312" w:eastAsia="仿宋_GB2312"/>
          <w:sz w:val="28"/>
          <w:szCs w:val="28"/>
        </w:rPr>
        <w:t>一、《收支预算总表》</w:t>
      </w:r>
    </w:p>
    <w:p w14:paraId="6AEE3BEB">
      <w:pPr>
        <w:spacing w:line="500" w:lineRule="exact"/>
        <w:ind w:firstLine="560" w:firstLineChars="200"/>
        <w:rPr>
          <w:rFonts w:ascii="仿宋_GB2312" w:eastAsia="仿宋_GB2312"/>
          <w:sz w:val="28"/>
          <w:szCs w:val="28"/>
        </w:rPr>
      </w:pPr>
      <w:r>
        <w:rPr>
          <w:rFonts w:hint="eastAsia" w:ascii="仿宋_GB2312" w:eastAsia="仿宋_GB2312"/>
          <w:sz w:val="28"/>
          <w:szCs w:val="28"/>
        </w:rPr>
        <w:t>二、《单位收入总表》</w:t>
      </w:r>
    </w:p>
    <w:p w14:paraId="32D367CB">
      <w:pPr>
        <w:spacing w:line="500" w:lineRule="exact"/>
        <w:ind w:firstLine="560" w:firstLineChars="200"/>
        <w:rPr>
          <w:rFonts w:ascii="仿宋_GB2312" w:eastAsia="仿宋_GB2312"/>
          <w:sz w:val="28"/>
          <w:szCs w:val="28"/>
        </w:rPr>
      </w:pPr>
      <w:r>
        <w:rPr>
          <w:rFonts w:hint="eastAsia" w:ascii="仿宋_GB2312" w:eastAsia="仿宋_GB2312"/>
          <w:sz w:val="28"/>
          <w:szCs w:val="28"/>
        </w:rPr>
        <w:t>三、《单位支出总表》</w:t>
      </w:r>
    </w:p>
    <w:p w14:paraId="3307E466">
      <w:pPr>
        <w:spacing w:line="500" w:lineRule="exact"/>
        <w:ind w:firstLine="560" w:firstLineChars="200"/>
        <w:rPr>
          <w:rFonts w:ascii="仿宋_GB2312" w:eastAsia="仿宋_GB2312"/>
          <w:sz w:val="28"/>
          <w:szCs w:val="28"/>
        </w:rPr>
      </w:pPr>
      <w:r>
        <w:rPr>
          <w:rFonts w:hint="eastAsia" w:ascii="仿宋_GB2312" w:eastAsia="仿宋_GB2312"/>
          <w:sz w:val="28"/>
          <w:szCs w:val="28"/>
        </w:rPr>
        <w:t>四、《财政拨款收支总表》</w:t>
      </w:r>
    </w:p>
    <w:p w14:paraId="71E714DA">
      <w:pPr>
        <w:spacing w:line="500" w:lineRule="exact"/>
        <w:ind w:firstLine="560" w:firstLineChars="200"/>
        <w:rPr>
          <w:rFonts w:ascii="仿宋_GB2312" w:eastAsia="仿宋_GB2312"/>
          <w:sz w:val="28"/>
          <w:szCs w:val="28"/>
        </w:rPr>
      </w:pPr>
      <w:r>
        <w:rPr>
          <w:rFonts w:hint="eastAsia" w:ascii="仿宋_GB2312" w:eastAsia="仿宋_GB2312"/>
          <w:sz w:val="28"/>
          <w:szCs w:val="28"/>
        </w:rPr>
        <w:t>五、《一般公共预算支出表》</w:t>
      </w:r>
    </w:p>
    <w:p w14:paraId="1CD2A047">
      <w:pPr>
        <w:spacing w:line="500" w:lineRule="exact"/>
        <w:ind w:firstLine="560" w:firstLineChars="200"/>
        <w:rPr>
          <w:rFonts w:ascii="仿宋_GB2312" w:eastAsia="仿宋_GB2312"/>
          <w:sz w:val="28"/>
          <w:szCs w:val="28"/>
        </w:rPr>
      </w:pPr>
      <w:r>
        <w:rPr>
          <w:rFonts w:hint="eastAsia" w:ascii="仿宋_GB2312" w:eastAsia="仿宋_GB2312"/>
          <w:sz w:val="28"/>
          <w:szCs w:val="28"/>
        </w:rPr>
        <w:t>六、《一般公共预算基本支出表》</w:t>
      </w:r>
    </w:p>
    <w:p w14:paraId="6FD9B4E2">
      <w:pPr>
        <w:spacing w:line="500" w:lineRule="exact"/>
        <w:ind w:firstLine="560" w:firstLineChars="200"/>
        <w:rPr>
          <w:rFonts w:ascii="仿宋_GB2312" w:eastAsia="仿宋_GB2312"/>
          <w:sz w:val="28"/>
          <w:szCs w:val="28"/>
        </w:rPr>
      </w:pPr>
      <w:r>
        <w:rPr>
          <w:rFonts w:hint="eastAsia" w:ascii="仿宋_GB2312" w:eastAsia="仿宋_GB2312"/>
          <w:sz w:val="28"/>
          <w:szCs w:val="28"/>
        </w:rPr>
        <w:t>七、《财政拨款“三公”经费支出表》</w:t>
      </w:r>
    </w:p>
    <w:p w14:paraId="05A96522">
      <w:pPr>
        <w:spacing w:line="500" w:lineRule="exact"/>
        <w:ind w:firstLine="560" w:firstLineChars="200"/>
        <w:rPr>
          <w:rFonts w:ascii="仿宋_GB2312" w:eastAsia="仿宋_GB2312"/>
          <w:sz w:val="28"/>
          <w:szCs w:val="28"/>
        </w:rPr>
      </w:pPr>
      <w:r>
        <w:rPr>
          <w:rFonts w:hint="eastAsia" w:ascii="仿宋_GB2312" w:eastAsia="仿宋_GB2312"/>
          <w:sz w:val="28"/>
          <w:szCs w:val="28"/>
        </w:rPr>
        <w:t>八、《政府性基金预算支出表》</w:t>
      </w:r>
    </w:p>
    <w:p w14:paraId="77E21E22">
      <w:pPr>
        <w:spacing w:line="500" w:lineRule="exact"/>
        <w:ind w:firstLine="560" w:firstLineChars="200"/>
        <w:rPr>
          <w:rFonts w:ascii="仿宋_GB2312" w:eastAsia="仿宋_GB2312"/>
          <w:sz w:val="28"/>
          <w:szCs w:val="28"/>
        </w:rPr>
      </w:pPr>
      <w:r>
        <w:rPr>
          <w:rFonts w:hint="eastAsia" w:ascii="仿宋_GB2312" w:eastAsia="仿宋_GB2312"/>
          <w:sz w:val="28"/>
          <w:szCs w:val="28"/>
        </w:rPr>
        <w:t>九、《国有资本经营预算支出表》</w:t>
      </w:r>
    </w:p>
    <w:p w14:paraId="72A97A0C">
      <w:pPr>
        <w:spacing w:line="500" w:lineRule="exact"/>
        <w:ind w:firstLine="560" w:firstLineChars="200"/>
        <w:rPr>
          <w:rFonts w:ascii="仿宋_GB2312" w:eastAsia="仿宋_GB2312"/>
          <w:sz w:val="28"/>
          <w:szCs w:val="28"/>
        </w:rPr>
      </w:pPr>
      <w:r>
        <w:rPr>
          <w:rFonts w:hint="eastAsia" w:ascii="仿宋_GB2312" w:eastAsia="仿宋_GB2312"/>
          <w:sz w:val="28"/>
          <w:szCs w:val="28"/>
        </w:rPr>
        <w:t>十、《项目支出绩效目标表》</w:t>
      </w:r>
    </w:p>
    <w:p w14:paraId="5CD727D6">
      <w:pPr>
        <w:widowControl/>
        <w:spacing w:line="500" w:lineRule="exact"/>
        <w:ind w:firstLine="562" w:firstLineChars="200"/>
        <w:rPr>
          <w:rFonts w:ascii="仿宋_GB2312" w:eastAsia="仿宋_GB2312"/>
          <w:b/>
          <w:sz w:val="28"/>
          <w:szCs w:val="28"/>
        </w:rPr>
      </w:pPr>
      <w:r>
        <w:rPr>
          <w:rFonts w:hint="eastAsia" w:ascii="仿宋_GB2312" w:eastAsia="仿宋_GB2312"/>
          <w:b/>
          <w:sz w:val="28"/>
          <w:szCs w:val="28"/>
        </w:rPr>
        <w:t>第三部分  南昌市青山湖区建设工程质量和安全事务中心单位2025年单位预算情况说明</w:t>
      </w:r>
    </w:p>
    <w:p w14:paraId="257C61C3">
      <w:pPr>
        <w:spacing w:line="500" w:lineRule="exact"/>
        <w:ind w:firstLine="560" w:firstLineChars="200"/>
        <w:rPr>
          <w:rFonts w:ascii="仿宋_GB2312" w:eastAsia="仿宋_GB2312"/>
          <w:sz w:val="28"/>
          <w:szCs w:val="28"/>
        </w:rPr>
      </w:pPr>
      <w:r>
        <w:rPr>
          <w:rFonts w:hint="eastAsia" w:ascii="仿宋_GB2312" w:eastAsia="仿宋_GB2312"/>
          <w:sz w:val="28"/>
          <w:szCs w:val="28"/>
        </w:rPr>
        <w:t>一、2025年单位预算收支情况说明</w:t>
      </w:r>
    </w:p>
    <w:p w14:paraId="5E714D36">
      <w:pPr>
        <w:spacing w:line="500" w:lineRule="exact"/>
        <w:ind w:firstLine="560" w:firstLineChars="200"/>
        <w:rPr>
          <w:rFonts w:ascii="仿宋_GB2312" w:eastAsia="仿宋_GB2312"/>
          <w:sz w:val="28"/>
          <w:szCs w:val="28"/>
        </w:rPr>
      </w:pPr>
      <w:r>
        <w:rPr>
          <w:rFonts w:hint="eastAsia" w:ascii="仿宋_GB2312" w:eastAsia="仿宋_GB2312"/>
          <w:sz w:val="28"/>
          <w:szCs w:val="28"/>
        </w:rPr>
        <w:t>二、2025年“三公”经费预算情况说明</w:t>
      </w:r>
    </w:p>
    <w:p w14:paraId="105598FF">
      <w:pPr>
        <w:widowControl/>
        <w:spacing w:line="500" w:lineRule="exact"/>
        <w:ind w:firstLine="562" w:firstLineChars="200"/>
        <w:rPr>
          <w:rFonts w:ascii="仿宋_GB2312" w:eastAsia="仿宋_GB2312"/>
          <w:b/>
          <w:sz w:val="28"/>
          <w:szCs w:val="28"/>
        </w:rPr>
      </w:pPr>
      <w:r>
        <w:rPr>
          <w:rFonts w:hint="eastAsia" w:ascii="仿宋_GB2312" w:eastAsia="仿宋_GB2312"/>
          <w:b/>
          <w:sz w:val="28"/>
          <w:szCs w:val="28"/>
        </w:rPr>
        <w:t>第四部分  名词解释</w:t>
      </w:r>
    </w:p>
    <w:p w14:paraId="1C800065">
      <w:pPr>
        <w:spacing w:line="500" w:lineRule="exact"/>
        <w:ind w:firstLine="1260" w:firstLineChars="450"/>
        <w:rPr>
          <w:rFonts w:ascii="方正小标宋简体" w:eastAsia="方正小标宋简体"/>
          <w:sz w:val="28"/>
          <w:szCs w:val="28"/>
        </w:rPr>
      </w:pPr>
      <w:r>
        <w:rPr>
          <w:rFonts w:hint="eastAsia" w:ascii="方正小标宋简体" w:eastAsia="方正小标宋简体"/>
          <w:sz w:val="28"/>
          <w:szCs w:val="28"/>
        </w:rPr>
        <w:t>第一部分  南昌市青山湖区建设工程质量和安全事务中心单位概况</w:t>
      </w:r>
    </w:p>
    <w:p w14:paraId="0D4BB1C9">
      <w:pPr>
        <w:spacing w:line="500" w:lineRule="exact"/>
        <w:rPr>
          <w:rFonts w:ascii="仿宋_GB2312" w:eastAsia="仿宋_GB2312"/>
          <w:sz w:val="28"/>
          <w:szCs w:val="28"/>
        </w:rPr>
      </w:pPr>
    </w:p>
    <w:p w14:paraId="4BA67CDE">
      <w:pPr>
        <w:spacing w:line="500" w:lineRule="exact"/>
        <w:ind w:firstLine="560" w:firstLineChars="200"/>
        <w:rPr>
          <w:rFonts w:ascii="黑体" w:eastAsia="黑体"/>
          <w:sz w:val="28"/>
          <w:szCs w:val="28"/>
        </w:rPr>
      </w:pPr>
      <w:r>
        <w:rPr>
          <w:rFonts w:hint="eastAsia" w:ascii="黑体" w:eastAsia="黑体"/>
          <w:sz w:val="28"/>
          <w:szCs w:val="28"/>
        </w:rPr>
        <w:t>一、单位主要职责</w:t>
      </w:r>
    </w:p>
    <w:p w14:paraId="3C13F7EE">
      <w:pPr>
        <w:spacing w:line="500" w:lineRule="exact"/>
        <w:ind w:firstLine="560" w:firstLineChars="200"/>
        <w:rPr>
          <w:rFonts w:ascii="仿宋_GB2312" w:eastAsia="仿宋_GB2312"/>
          <w:sz w:val="28"/>
          <w:szCs w:val="28"/>
        </w:rPr>
      </w:pPr>
      <w:r>
        <w:rPr>
          <w:rFonts w:hint="eastAsia" w:ascii="仿宋_GB2312" w:eastAsia="仿宋_GB2312"/>
          <w:sz w:val="28"/>
          <w:szCs w:val="28"/>
        </w:rPr>
        <w:t>区建安中心单位是区住建局部门所属预算单位，主要职责是：</w:t>
      </w:r>
    </w:p>
    <w:p w14:paraId="1657ACFF">
      <w:pPr>
        <w:spacing w:line="500" w:lineRule="exact"/>
        <w:ind w:firstLine="560" w:firstLineChars="200"/>
        <w:rPr>
          <w:rFonts w:ascii="仿宋_GB2312" w:eastAsia="仿宋_GB2312"/>
          <w:sz w:val="28"/>
          <w:szCs w:val="28"/>
        </w:rPr>
      </w:pPr>
      <w:r>
        <w:rPr>
          <w:rFonts w:hint="eastAsia" w:ascii="仿宋_GB2312" w:eastAsia="仿宋_GB2312"/>
          <w:sz w:val="28"/>
          <w:szCs w:val="28"/>
        </w:rPr>
        <w:t>（一）做好国家、省、市、区关于建筑工程质量和安全工作的方针政策和决策部署。</w:t>
      </w:r>
    </w:p>
    <w:p w14:paraId="31068156">
      <w:pPr>
        <w:spacing w:line="500" w:lineRule="exact"/>
        <w:ind w:firstLine="560" w:firstLineChars="200"/>
        <w:rPr>
          <w:rFonts w:ascii="仿宋_GB2312" w:eastAsia="仿宋_GB2312"/>
          <w:sz w:val="28"/>
          <w:szCs w:val="28"/>
        </w:rPr>
      </w:pPr>
      <w:r>
        <w:rPr>
          <w:rFonts w:hint="eastAsia" w:ascii="仿宋_GB2312" w:eastAsia="仿宋_GB2312"/>
          <w:sz w:val="28"/>
          <w:szCs w:val="28"/>
        </w:rPr>
        <w:t>（二）指导督促全区既有建筑装饰装修工程、老旧社区改造工程和老旧住宅加装电梯工程质量、安全监督登记办理及日常的质量安全服务工作。</w:t>
      </w:r>
    </w:p>
    <w:p w14:paraId="218F8905">
      <w:pPr>
        <w:spacing w:line="500" w:lineRule="exact"/>
        <w:ind w:firstLine="560" w:firstLineChars="200"/>
        <w:rPr>
          <w:rFonts w:ascii="仿宋_GB2312" w:eastAsia="仿宋_GB2312"/>
          <w:sz w:val="28"/>
          <w:szCs w:val="28"/>
        </w:rPr>
      </w:pPr>
      <w:r>
        <w:rPr>
          <w:rFonts w:hint="eastAsia" w:ascii="仿宋_GB2312" w:eastAsia="仿宋_GB2312"/>
          <w:sz w:val="28"/>
          <w:szCs w:val="28"/>
        </w:rPr>
        <w:t>（三）指导督促全区既有建筑装饰装修工程、老旧社区改造工程和老旧住宅加装电梯工程的文明施工、创建等工作。</w:t>
      </w:r>
    </w:p>
    <w:p w14:paraId="6B92AB50">
      <w:pPr>
        <w:spacing w:line="500" w:lineRule="exact"/>
        <w:ind w:firstLine="560" w:firstLineChars="200"/>
        <w:rPr>
          <w:rFonts w:ascii="仿宋_GB2312" w:eastAsia="仿宋_GB2312"/>
          <w:sz w:val="28"/>
          <w:szCs w:val="28"/>
        </w:rPr>
      </w:pPr>
      <w:r>
        <w:rPr>
          <w:rFonts w:hint="eastAsia" w:ascii="仿宋_GB2312" w:eastAsia="仿宋_GB2312"/>
          <w:sz w:val="28"/>
          <w:szCs w:val="28"/>
        </w:rPr>
        <w:t>（四）做好建设领域内不需施工许可审批及零星的房建、市政工程（含房建、市政工程安装）的安全生产服务工作。</w:t>
      </w:r>
    </w:p>
    <w:p w14:paraId="105C54DD">
      <w:pPr>
        <w:spacing w:line="500" w:lineRule="exact"/>
        <w:ind w:firstLine="560" w:firstLineChars="200"/>
        <w:rPr>
          <w:rFonts w:ascii="仿宋_GB2312" w:eastAsia="仿宋_GB2312"/>
          <w:sz w:val="28"/>
          <w:szCs w:val="28"/>
        </w:rPr>
      </w:pPr>
      <w:r>
        <w:rPr>
          <w:rFonts w:hint="eastAsia" w:ascii="仿宋_GB2312" w:eastAsia="仿宋_GB2312"/>
          <w:sz w:val="28"/>
          <w:szCs w:val="28"/>
        </w:rPr>
        <w:t>（五）做好全区建筑施工项目的扬尘治理工作。</w:t>
      </w:r>
    </w:p>
    <w:p w14:paraId="78639550">
      <w:pPr>
        <w:spacing w:line="500" w:lineRule="exact"/>
        <w:ind w:firstLine="560" w:firstLineChars="200"/>
        <w:rPr>
          <w:rFonts w:ascii="黑体" w:eastAsia="黑体"/>
          <w:sz w:val="28"/>
          <w:szCs w:val="28"/>
        </w:rPr>
      </w:pPr>
      <w:r>
        <w:rPr>
          <w:rFonts w:hint="eastAsia" w:ascii="黑体" w:eastAsia="黑体"/>
          <w:sz w:val="28"/>
          <w:szCs w:val="28"/>
        </w:rPr>
        <w:t>二、机构设置及人员情况</w:t>
      </w:r>
    </w:p>
    <w:p w14:paraId="24C9411E">
      <w:pPr>
        <w:spacing w:line="500" w:lineRule="exact"/>
        <w:ind w:firstLine="560" w:firstLineChars="200"/>
        <w:rPr>
          <w:rFonts w:ascii="仿宋_GB2312" w:eastAsia="仿宋_GB2312"/>
          <w:sz w:val="28"/>
          <w:szCs w:val="28"/>
        </w:rPr>
      </w:pPr>
      <w:r>
        <w:rPr>
          <w:rFonts w:hint="eastAsia" w:ascii="仿宋_GB2312" w:eastAsia="仿宋_GB2312"/>
          <w:sz w:val="28"/>
          <w:szCs w:val="28"/>
        </w:rPr>
        <w:t>2025年南昌市青山湖区建设工程质量和安全事务中心共有预算单位1个，包括：行政机关0个；公益一类事业单位1个。</w:t>
      </w:r>
    </w:p>
    <w:p w14:paraId="6EE5E8DD">
      <w:pPr>
        <w:spacing w:line="500" w:lineRule="exact"/>
        <w:ind w:firstLine="560" w:firstLineChars="200"/>
        <w:rPr>
          <w:rFonts w:ascii="仿宋_GB2312" w:eastAsia="仿宋_GB2312"/>
          <w:sz w:val="28"/>
          <w:szCs w:val="28"/>
        </w:rPr>
      </w:pPr>
      <w:r>
        <w:rPr>
          <w:rFonts w:hint="eastAsia" w:ascii="仿宋_GB2312" w:eastAsia="仿宋_GB2312"/>
          <w:sz w:val="28"/>
          <w:szCs w:val="28"/>
        </w:rPr>
        <w:t>编制人数小计31人，其中：行政编制0人、参照公务员管理的事业编制0人、全部补助事业编制31人、部分补助事业编制0人、自收自支事业编制0人。实有人数41人，其中：在职人数小计31人，包括行政人员0人、参照公务员管理的事业编制0人、全部补助事业人员31人、部分补助事业人员0人、自收自支事业人员0人；离休人数小计0人；退休人员小计10人。遗属人数0人。在校学生0人，其中：高等学校0人、中等专业学校0人，其他0人。</w:t>
      </w:r>
    </w:p>
    <w:p w14:paraId="1CCB15D3">
      <w:pPr>
        <w:spacing w:line="500" w:lineRule="exact"/>
        <w:ind w:firstLine="560" w:firstLineChars="200"/>
        <w:rPr>
          <w:rFonts w:ascii="仿宋_GB2312" w:eastAsia="仿宋_GB2312"/>
          <w:sz w:val="28"/>
          <w:szCs w:val="28"/>
        </w:rPr>
      </w:pPr>
    </w:p>
    <w:p w14:paraId="013736F9">
      <w:pPr>
        <w:spacing w:line="500" w:lineRule="exact"/>
        <w:ind w:firstLine="560" w:firstLineChars="200"/>
        <w:rPr>
          <w:rFonts w:ascii="仿宋_GB2312" w:eastAsia="仿宋_GB2312"/>
          <w:sz w:val="28"/>
          <w:szCs w:val="28"/>
        </w:rPr>
      </w:pPr>
    </w:p>
    <w:p w14:paraId="77B8D918">
      <w:pPr>
        <w:spacing w:line="500" w:lineRule="exact"/>
        <w:ind w:firstLine="560" w:firstLineChars="200"/>
        <w:rPr>
          <w:rFonts w:ascii="方正小标宋简体" w:eastAsia="方正小标宋简体"/>
          <w:sz w:val="28"/>
          <w:szCs w:val="28"/>
        </w:rPr>
      </w:pPr>
      <w:r>
        <w:rPr>
          <w:rFonts w:hint="eastAsia" w:ascii="方正小标宋简体" w:eastAsia="方正小标宋简体"/>
          <w:sz w:val="28"/>
          <w:szCs w:val="28"/>
        </w:rPr>
        <w:t>第二部分  南昌市青山湖区建设工程质量和安全事务中心单位2025年单位预算表</w:t>
      </w:r>
    </w:p>
    <w:p w14:paraId="45CCAE86">
      <w:pPr>
        <w:spacing w:line="500" w:lineRule="exact"/>
        <w:rPr>
          <w:rFonts w:ascii="方正小标宋简体" w:eastAsia="方正小标宋简体"/>
          <w:sz w:val="28"/>
          <w:szCs w:val="28"/>
        </w:rPr>
      </w:pPr>
    </w:p>
    <w:p w14:paraId="5C0927A7">
      <w:pPr>
        <w:spacing w:line="500" w:lineRule="exact"/>
        <w:rPr>
          <w:rFonts w:ascii="仿宋_GB2312" w:eastAsia="仿宋_GB2312"/>
          <w:sz w:val="28"/>
          <w:szCs w:val="28"/>
        </w:rPr>
      </w:pPr>
      <w:r>
        <w:rPr>
          <w:szCs w:val="28"/>
        </w:rPr>
        <w:drawing>
          <wp:anchor distT="0" distB="0" distL="114300" distR="114300" simplePos="0" relativeHeight="251659264" behindDoc="1" locked="0" layoutInCell="1" allowOverlap="1">
            <wp:simplePos x="0" y="0"/>
            <wp:positionH relativeFrom="column">
              <wp:posOffset>-31115</wp:posOffset>
            </wp:positionH>
            <wp:positionV relativeFrom="paragraph">
              <wp:posOffset>106680</wp:posOffset>
            </wp:positionV>
            <wp:extent cx="5276215" cy="4951095"/>
            <wp:effectExtent l="19050" t="0" r="341"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4" cstate="print"/>
                    <a:srcRect/>
                    <a:stretch>
                      <a:fillRect/>
                    </a:stretch>
                  </pic:blipFill>
                  <pic:spPr>
                    <a:xfrm>
                      <a:off x="0" y="0"/>
                      <a:ext cx="5276509" cy="4951141"/>
                    </a:xfrm>
                    <a:prstGeom prst="rect">
                      <a:avLst/>
                    </a:prstGeom>
                    <a:noFill/>
                    <a:ln w="9525">
                      <a:noFill/>
                      <a:miter lim="800000"/>
                      <a:headEnd/>
                      <a:tailEnd/>
                    </a:ln>
                  </pic:spPr>
                </pic:pic>
              </a:graphicData>
            </a:graphic>
          </wp:anchor>
        </w:drawing>
      </w:r>
    </w:p>
    <w:p w14:paraId="1EC8FA15">
      <w:pPr>
        <w:spacing w:line="500" w:lineRule="exact"/>
        <w:ind w:firstLine="560" w:firstLineChars="200"/>
        <w:rPr>
          <w:rFonts w:ascii="仿宋_GB2312" w:eastAsia="仿宋_GB2312"/>
          <w:sz w:val="28"/>
          <w:szCs w:val="28"/>
        </w:rPr>
      </w:pPr>
    </w:p>
    <w:p w14:paraId="417FF2A8"/>
    <w:p w14:paraId="39B9ACEA"/>
    <w:p w14:paraId="3750795E"/>
    <w:p w14:paraId="31179EC4"/>
    <w:p w14:paraId="2E43A948"/>
    <w:p w14:paraId="261F5876"/>
    <w:p w14:paraId="0616AE2E"/>
    <w:p w14:paraId="0E5428B7"/>
    <w:p w14:paraId="534FCDCA"/>
    <w:p w14:paraId="065AD16C"/>
    <w:p w14:paraId="6FA59982"/>
    <w:p w14:paraId="6876C14F"/>
    <w:p w14:paraId="6A2857D7"/>
    <w:p w14:paraId="5DD1CCC0"/>
    <w:p w14:paraId="4F60643B"/>
    <w:p w14:paraId="5E23E006"/>
    <w:p w14:paraId="4A29A1AA"/>
    <w:p w14:paraId="6956B778"/>
    <w:p w14:paraId="59043B26"/>
    <w:p w14:paraId="402CCC3E"/>
    <w:p w14:paraId="4954BD7C"/>
    <w:p w14:paraId="1F29DD01"/>
    <w:p w14:paraId="3B8749D1"/>
    <w:p w14:paraId="2E0BC273"/>
    <w:p w14:paraId="05129351"/>
    <w:p w14:paraId="53A57877"/>
    <w:p w14:paraId="0CDAE79C"/>
    <w:p w14:paraId="0544A3A7"/>
    <w:p w14:paraId="0414198A"/>
    <w:p w14:paraId="2D03042F"/>
    <w:p w14:paraId="465D91B2"/>
    <w:p w14:paraId="53352BAB"/>
    <w:p w14:paraId="19F1B9B9"/>
    <w:p w14:paraId="684BBB59"/>
    <w:p w14:paraId="1FD86108"/>
    <w:p w14:paraId="2F740288"/>
    <w:p w14:paraId="1BB9C3CD"/>
    <w:p w14:paraId="7C4404D0"/>
    <w:p w14:paraId="4AE4497B">
      <w:r>
        <w:drawing>
          <wp:inline distT="0" distB="0" distL="0" distR="0">
            <wp:extent cx="6091555" cy="4616450"/>
            <wp:effectExtent l="19050" t="0" r="4182"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5" cstate="print"/>
                    <a:srcRect/>
                    <a:stretch>
                      <a:fillRect/>
                    </a:stretch>
                  </pic:blipFill>
                  <pic:spPr>
                    <a:xfrm>
                      <a:off x="0" y="0"/>
                      <a:ext cx="6093651" cy="4617994"/>
                    </a:xfrm>
                    <a:prstGeom prst="rect">
                      <a:avLst/>
                    </a:prstGeom>
                    <a:noFill/>
                    <a:ln w="9525">
                      <a:noFill/>
                      <a:miter lim="800000"/>
                      <a:headEnd/>
                      <a:tailEnd/>
                    </a:ln>
                  </pic:spPr>
                </pic:pic>
              </a:graphicData>
            </a:graphic>
          </wp:inline>
        </w:drawing>
      </w:r>
    </w:p>
    <w:p w14:paraId="43C9AFA8"/>
    <w:p w14:paraId="4A509C7F"/>
    <w:p w14:paraId="5B758414"/>
    <w:p w14:paraId="5A276A43"/>
    <w:p w14:paraId="01DCA5C7"/>
    <w:p w14:paraId="24695A5B"/>
    <w:p w14:paraId="0A75E6DA"/>
    <w:p w14:paraId="59C4C2A7"/>
    <w:p w14:paraId="5CBB917B"/>
    <w:p w14:paraId="3624A469"/>
    <w:p w14:paraId="7119FBB2"/>
    <w:p w14:paraId="7CB53FE5"/>
    <w:p w14:paraId="38581732"/>
    <w:p w14:paraId="1586FF56"/>
    <w:p w14:paraId="43A68DDB"/>
    <w:p w14:paraId="7C8396FF"/>
    <w:p w14:paraId="460921E1"/>
    <w:p w14:paraId="5C0E9A26"/>
    <w:p w14:paraId="57CD3FD7">
      <w:r>
        <w:drawing>
          <wp:inline distT="0" distB="0" distL="0" distR="0">
            <wp:extent cx="5274310" cy="4528185"/>
            <wp:effectExtent l="1905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 cstate="print"/>
                    <a:srcRect/>
                    <a:stretch>
                      <a:fillRect/>
                    </a:stretch>
                  </pic:blipFill>
                  <pic:spPr>
                    <a:xfrm>
                      <a:off x="0" y="0"/>
                      <a:ext cx="5274310" cy="4528818"/>
                    </a:xfrm>
                    <a:prstGeom prst="rect">
                      <a:avLst/>
                    </a:prstGeom>
                    <a:noFill/>
                    <a:ln w="9525">
                      <a:noFill/>
                      <a:miter lim="800000"/>
                      <a:headEnd/>
                      <a:tailEnd/>
                    </a:ln>
                  </pic:spPr>
                </pic:pic>
              </a:graphicData>
            </a:graphic>
          </wp:inline>
        </w:drawing>
      </w:r>
    </w:p>
    <w:p w14:paraId="243783EE"/>
    <w:p w14:paraId="29B2B829"/>
    <w:p w14:paraId="5D628D97"/>
    <w:p w14:paraId="41066BC5">
      <w:r>
        <w:rPr>
          <w:rFonts w:hint="eastAsia"/>
        </w:rPr>
        <w:drawing>
          <wp:inline distT="0" distB="0" distL="0" distR="0">
            <wp:extent cx="5265420" cy="2553335"/>
            <wp:effectExtent l="1905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7" cstate="print"/>
                    <a:srcRect/>
                    <a:stretch>
                      <a:fillRect/>
                    </a:stretch>
                  </pic:blipFill>
                  <pic:spPr>
                    <a:xfrm>
                      <a:off x="0" y="0"/>
                      <a:ext cx="5274310" cy="2557925"/>
                    </a:xfrm>
                    <a:prstGeom prst="rect">
                      <a:avLst/>
                    </a:prstGeom>
                    <a:noFill/>
                    <a:ln w="9525">
                      <a:noFill/>
                      <a:miter lim="800000"/>
                      <a:headEnd/>
                      <a:tailEnd/>
                    </a:ln>
                  </pic:spPr>
                </pic:pic>
              </a:graphicData>
            </a:graphic>
          </wp:inline>
        </w:drawing>
      </w:r>
    </w:p>
    <w:p w14:paraId="76307CBB"/>
    <w:p w14:paraId="0A318CA4"/>
    <w:p w14:paraId="4438D1FB"/>
    <w:p w14:paraId="17353470"/>
    <w:p w14:paraId="6D434977"/>
    <w:p w14:paraId="6AD90DB8">
      <w:r>
        <w:rPr>
          <w:rFonts w:hint="eastAsia"/>
        </w:rPr>
        <w:drawing>
          <wp:inline distT="0" distB="0" distL="0" distR="0">
            <wp:extent cx="5274945" cy="2954655"/>
            <wp:effectExtent l="19050" t="0" r="1611"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8" cstate="print"/>
                    <a:srcRect/>
                    <a:stretch>
                      <a:fillRect/>
                    </a:stretch>
                  </pic:blipFill>
                  <pic:spPr>
                    <a:xfrm>
                      <a:off x="0" y="0"/>
                      <a:ext cx="5274310" cy="2954553"/>
                    </a:xfrm>
                    <a:prstGeom prst="rect">
                      <a:avLst/>
                    </a:prstGeom>
                    <a:noFill/>
                    <a:ln w="9525">
                      <a:noFill/>
                      <a:miter lim="800000"/>
                      <a:headEnd/>
                      <a:tailEnd/>
                    </a:ln>
                  </pic:spPr>
                </pic:pic>
              </a:graphicData>
            </a:graphic>
          </wp:inline>
        </w:drawing>
      </w:r>
    </w:p>
    <w:p w14:paraId="0058081B"/>
    <w:p w14:paraId="6558E0AF"/>
    <w:p w14:paraId="50267C13"/>
    <w:p w14:paraId="7C0381DC"/>
    <w:p w14:paraId="7D5B34F8"/>
    <w:p w14:paraId="094F9380"/>
    <w:p w14:paraId="03350614"/>
    <w:p w14:paraId="6E204304"/>
    <w:p w14:paraId="1FCB159C"/>
    <w:p w14:paraId="4012B5DE"/>
    <w:p w14:paraId="3ED0D09F"/>
    <w:p w14:paraId="2EBC00C8"/>
    <w:p w14:paraId="17E31C47"/>
    <w:p w14:paraId="4BDE51D7"/>
    <w:p w14:paraId="196348DF"/>
    <w:p w14:paraId="421DA6F6"/>
    <w:p w14:paraId="3CDA5297"/>
    <w:p w14:paraId="2BB39415"/>
    <w:p w14:paraId="141C71C0"/>
    <w:p w14:paraId="296E2790"/>
    <w:p w14:paraId="5B7017B7"/>
    <w:p w14:paraId="502EF97C"/>
    <w:p w14:paraId="4D7F34FD"/>
    <w:p w14:paraId="719408CE"/>
    <w:p w14:paraId="54224D99"/>
    <w:p w14:paraId="1C740ED5"/>
    <w:p w14:paraId="08B68F03"/>
    <w:p w14:paraId="23FB62AE"/>
    <w:p w14:paraId="1BACE51C"/>
    <w:p w14:paraId="5AEF2E95">
      <w:r>
        <w:rPr>
          <w:rFonts w:hint="eastAsia"/>
        </w:rPr>
        <w:drawing>
          <wp:inline distT="0" distB="0" distL="0" distR="0">
            <wp:extent cx="5274310" cy="7471410"/>
            <wp:effectExtent l="1905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9" cstate="print"/>
                    <a:srcRect/>
                    <a:stretch>
                      <a:fillRect/>
                    </a:stretch>
                  </pic:blipFill>
                  <pic:spPr>
                    <a:xfrm>
                      <a:off x="0" y="0"/>
                      <a:ext cx="5274310" cy="7471630"/>
                    </a:xfrm>
                    <a:prstGeom prst="rect">
                      <a:avLst/>
                    </a:prstGeom>
                    <a:noFill/>
                    <a:ln w="9525">
                      <a:noFill/>
                      <a:miter lim="800000"/>
                      <a:headEnd/>
                      <a:tailEnd/>
                    </a:ln>
                  </pic:spPr>
                </pic:pic>
              </a:graphicData>
            </a:graphic>
          </wp:inline>
        </w:drawing>
      </w:r>
    </w:p>
    <w:p w14:paraId="17D038E9"/>
    <w:p w14:paraId="44E8A72E"/>
    <w:p w14:paraId="71DF678E"/>
    <w:p w14:paraId="631A9C67"/>
    <w:p w14:paraId="28317AD3"/>
    <w:p w14:paraId="2C81ACF9"/>
    <w:p w14:paraId="580AF89C">
      <w:r>
        <w:rPr>
          <w:rFonts w:hint="eastAsia"/>
        </w:rPr>
        <w:drawing>
          <wp:inline distT="0" distB="0" distL="0" distR="0">
            <wp:extent cx="5274945" cy="1761490"/>
            <wp:effectExtent l="19050" t="0" r="1611"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0" cstate="print"/>
                    <a:srcRect/>
                    <a:stretch>
                      <a:fillRect/>
                    </a:stretch>
                  </pic:blipFill>
                  <pic:spPr>
                    <a:xfrm>
                      <a:off x="0" y="0"/>
                      <a:ext cx="5274310" cy="1761583"/>
                    </a:xfrm>
                    <a:prstGeom prst="rect">
                      <a:avLst/>
                    </a:prstGeom>
                    <a:noFill/>
                    <a:ln w="9525">
                      <a:noFill/>
                      <a:miter lim="800000"/>
                      <a:headEnd/>
                      <a:tailEnd/>
                    </a:ln>
                  </pic:spPr>
                </pic:pic>
              </a:graphicData>
            </a:graphic>
          </wp:inline>
        </w:drawing>
      </w:r>
    </w:p>
    <w:p w14:paraId="08C32AEB"/>
    <w:p w14:paraId="2B1B5FBC"/>
    <w:p w14:paraId="4B977E5A"/>
    <w:p w14:paraId="30D94661">
      <w:r>
        <w:rPr>
          <w:rFonts w:hint="eastAsia"/>
        </w:rPr>
        <w:drawing>
          <wp:inline distT="0" distB="0" distL="0" distR="0">
            <wp:extent cx="5274945" cy="2140585"/>
            <wp:effectExtent l="19050" t="0" r="1611"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1" cstate="print"/>
                    <a:srcRect/>
                    <a:stretch>
                      <a:fillRect/>
                    </a:stretch>
                  </pic:blipFill>
                  <pic:spPr>
                    <a:xfrm>
                      <a:off x="0" y="0"/>
                      <a:ext cx="5274310" cy="2140657"/>
                    </a:xfrm>
                    <a:prstGeom prst="rect">
                      <a:avLst/>
                    </a:prstGeom>
                    <a:noFill/>
                    <a:ln w="9525">
                      <a:noFill/>
                      <a:miter lim="800000"/>
                      <a:headEnd/>
                      <a:tailEnd/>
                    </a:ln>
                  </pic:spPr>
                </pic:pic>
              </a:graphicData>
            </a:graphic>
          </wp:inline>
        </w:drawing>
      </w:r>
    </w:p>
    <w:p w14:paraId="288AE7FE"/>
    <w:p w14:paraId="5FA41BD0"/>
    <w:p w14:paraId="383A41BC">
      <w:r>
        <w:drawing>
          <wp:inline distT="0" distB="0" distL="0" distR="0">
            <wp:extent cx="5264785" cy="2174240"/>
            <wp:effectExtent l="1905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2" cstate="print"/>
                    <a:srcRect/>
                    <a:stretch>
                      <a:fillRect/>
                    </a:stretch>
                  </pic:blipFill>
                  <pic:spPr>
                    <a:xfrm>
                      <a:off x="0" y="0"/>
                      <a:ext cx="5274310" cy="2178400"/>
                    </a:xfrm>
                    <a:prstGeom prst="rect">
                      <a:avLst/>
                    </a:prstGeom>
                    <a:noFill/>
                    <a:ln w="9525">
                      <a:noFill/>
                      <a:miter lim="800000"/>
                      <a:headEnd/>
                      <a:tailEnd/>
                    </a:ln>
                  </pic:spPr>
                </pic:pic>
              </a:graphicData>
            </a:graphic>
          </wp:inline>
        </w:drawing>
      </w:r>
    </w:p>
    <w:p w14:paraId="7A3909C9"/>
    <w:p w14:paraId="45C4D347"/>
    <w:p w14:paraId="36573FF4"/>
    <w:p w14:paraId="1C098DE6"/>
    <w:p w14:paraId="74628C28"/>
    <w:p w14:paraId="05E36851"/>
    <w:p w14:paraId="04D122E8"/>
    <w:p w14:paraId="4A28EA27"/>
    <w:p w14:paraId="53FFAD49">
      <w:r>
        <w:drawing>
          <wp:inline distT="0" distB="0" distL="0" distR="0">
            <wp:extent cx="5274310" cy="9124315"/>
            <wp:effectExtent l="1905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3" cstate="print"/>
                    <a:srcRect/>
                    <a:stretch>
                      <a:fillRect/>
                    </a:stretch>
                  </pic:blipFill>
                  <pic:spPr>
                    <a:xfrm>
                      <a:off x="0" y="0"/>
                      <a:ext cx="5274310" cy="9124347"/>
                    </a:xfrm>
                    <a:prstGeom prst="rect">
                      <a:avLst/>
                    </a:prstGeom>
                    <a:noFill/>
                    <a:ln w="9525">
                      <a:noFill/>
                      <a:miter lim="800000"/>
                      <a:headEnd/>
                      <a:tailEnd/>
                    </a:ln>
                  </pic:spPr>
                </pic:pic>
              </a:graphicData>
            </a:graphic>
          </wp:inline>
        </w:drawing>
      </w:r>
    </w:p>
    <w:p w14:paraId="1C0DCD7E">
      <w:pPr>
        <w:spacing w:line="500" w:lineRule="exact"/>
        <w:jc w:val="center"/>
        <w:rPr>
          <w:rFonts w:ascii="方正小标宋简体" w:eastAsia="方正小标宋简体"/>
          <w:sz w:val="28"/>
          <w:szCs w:val="28"/>
        </w:rPr>
      </w:pPr>
      <w:r>
        <w:rPr>
          <w:rFonts w:hint="eastAsia" w:ascii="方正小标宋简体" w:eastAsia="方正小标宋简体"/>
          <w:sz w:val="28"/>
          <w:szCs w:val="28"/>
        </w:rPr>
        <w:t>第三部分  南昌市青山湖区建设工程质量和安全事务中心单位2025年单位预算情况说明</w:t>
      </w:r>
    </w:p>
    <w:p w14:paraId="5DC97581">
      <w:pPr>
        <w:spacing w:line="500" w:lineRule="exact"/>
        <w:ind w:firstLine="560" w:firstLineChars="200"/>
        <w:rPr>
          <w:rFonts w:ascii="仿宋_GB2312" w:eastAsia="仿宋_GB2312"/>
          <w:sz w:val="28"/>
          <w:szCs w:val="28"/>
        </w:rPr>
      </w:pPr>
    </w:p>
    <w:p w14:paraId="50470939">
      <w:pPr>
        <w:spacing w:line="500" w:lineRule="exact"/>
        <w:ind w:firstLine="560" w:firstLineChars="200"/>
        <w:rPr>
          <w:rFonts w:ascii="黑体" w:eastAsia="黑体"/>
          <w:sz w:val="28"/>
          <w:szCs w:val="28"/>
        </w:rPr>
      </w:pPr>
      <w:r>
        <w:rPr>
          <w:rFonts w:hint="eastAsia" w:ascii="黑体" w:eastAsia="黑体"/>
          <w:sz w:val="28"/>
          <w:szCs w:val="28"/>
        </w:rPr>
        <w:t>一、2025年单位预算收支情况说明</w:t>
      </w:r>
    </w:p>
    <w:p w14:paraId="587B28BB">
      <w:p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(一)收入预算情况</w:t>
      </w:r>
    </w:p>
    <w:p w14:paraId="4B0D5D75">
      <w:pPr>
        <w:spacing w:line="500" w:lineRule="exact"/>
        <w:ind w:firstLine="560" w:firstLineChars="200"/>
        <w:rPr>
          <w:rFonts w:ascii="仿宋_GB2312" w:eastAsia="仿宋_GB2312"/>
          <w:sz w:val="28"/>
          <w:szCs w:val="28"/>
        </w:rPr>
      </w:pPr>
      <w:r>
        <w:rPr>
          <w:rFonts w:hint="eastAsia" w:ascii="仿宋_GB2312" w:eastAsia="仿宋_GB2312"/>
          <w:sz w:val="28"/>
          <w:szCs w:val="28"/>
        </w:rPr>
        <w:t>2025年区建安中心单位收入预算总额为8108.1万元，较上年增加3154.21万元，增长63.6%,主要原因是上年结转收入增加。其中：财政拨款收入594.65万元，较上年预算安排增加51.76万元，主要原因是2025年度新增编制人员; 教育收费资金收入0万元，较上年预算安排增加0万元，主要原因是无教育收费资金收入;事业收入0万元，较上年预算安排增加0万元，主要原因是无事业收入;事业单位经营收入0万元，较上年预算安排增加0万元，主要原因是无事业单位经营收入;附属单位上缴收入0万元，较上年预算安排增加0万元，主要原因是附属单位上缴收入;上级补助收入0万元，较上年预算安排增加0万元，主要原因是无上级补助收入;其他收入500万元，较上年预算安排增加0万元，主要原因是其他资金余额无增加;使用非财政拨款结余0万元，较上年预算安排增加0万元，主要原因是无非财政拨款结余;上年结转(结余)7013.36万元，较上年预算安排增加3102.45万元，主要原因是存在部分项目经费如保障性住房租金补贴、保障性安居工程城中村改造项目等需结转至2025年使用。</w:t>
      </w:r>
    </w:p>
    <w:p w14:paraId="2A327A17">
      <w:pPr>
        <w:spacing w:line="500" w:lineRule="exact"/>
        <w:ind w:firstLine="562" w:firstLineChars="200"/>
        <w:rPr>
          <w:rFonts w:ascii="仿宋_GB2312" w:eastAsia="仿宋_GB2312"/>
          <w:b/>
          <w:sz w:val="28"/>
          <w:szCs w:val="28"/>
        </w:rPr>
      </w:pPr>
      <w:r>
        <w:rPr>
          <w:rFonts w:hint="eastAsia" w:ascii="仿宋_GB2312" w:eastAsia="仿宋_GB2312"/>
          <w:b/>
          <w:sz w:val="28"/>
          <w:szCs w:val="28"/>
        </w:rPr>
        <w:t>(二)支出预算情况</w:t>
      </w:r>
    </w:p>
    <w:p w14:paraId="0C36895A">
      <w:pPr>
        <w:spacing w:line="500" w:lineRule="exact"/>
        <w:ind w:firstLine="560" w:firstLineChars="200"/>
        <w:rPr>
          <w:rFonts w:ascii="仿宋_GB2312" w:eastAsia="仿宋_GB2312"/>
          <w:sz w:val="28"/>
          <w:szCs w:val="28"/>
        </w:rPr>
      </w:pPr>
      <w:r>
        <w:rPr>
          <w:rFonts w:hint="eastAsia" w:ascii="仿宋_GB2312" w:eastAsia="仿宋_GB2312"/>
          <w:sz w:val="28"/>
          <w:szCs w:val="28"/>
        </w:rPr>
        <w:t>2025年区建安中心单位支出预算总额为8108.01万元，较上年增加3154.21万元，增长63.6%,主要原因是上年结转项目支出增加。</w:t>
      </w:r>
    </w:p>
    <w:p w14:paraId="27B03662">
      <w:pPr>
        <w:spacing w:line="500" w:lineRule="exact"/>
        <w:ind w:firstLine="560" w:firstLineChars="200"/>
        <w:rPr>
          <w:rFonts w:ascii="仿宋_GB2312" w:eastAsia="仿宋_GB2312"/>
          <w:sz w:val="28"/>
          <w:szCs w:val="28"/>
        </w:rPr>
      </w:pPr>
      <w:r>
        <w:rPr>
          <w:rFonts w:hint="eastAsia" w:ascii="仿宋_GB2312" w:eastAsia="仿宋_GB2312"/>
          <w:sz w:val="28"/>
          <w:szCs w:val="28"/>
        </w:rPr>
        <w:t>其中：按支出项目类别划分：基本支出1071.45万元，较上年预算安排增加57.56万元，主要原因是2025年度新增人员，人员经费支出增加;其中：工资福利支出523.27万元、商品和服务支出547.14万元、对个人和家庭的补助1.04万元、资本性支出0万元；项目支出7036.56万元，较上年预算安排增加3096.65万元，主要原因是上年结转项目支出增加;其中：工资福利支出0万元、商品和服务支出23.2万元、对个人和家庭的补助0万元、债务利息及费用支出0万元、资本性支出(基本建设)0万元，资本性支出6989.16万元，对企业补助0万元，其他支出24.2万元。</w:t>
      </w:r>
    </w:p>
    <w:p w14:paraId="382CBC6F">
      <w:pPr>
        <w:spacing w:line="500" w:lineRule="exact"/>
        <w:ind w:firstLine="560" w:firstLineChars="200"/>
        <w:rPr>
          <w:rFonts w:ascii="仿宋_GB2312" w:eastAsia="仿宋_GB2312"/>
          <w:sz w:val="28"/>
          <w:szCs w:val="28"/>
        </w:rPr>
      </w:pPr>
      <w:r>
        <w:rPr>
          <w:rFonts w:hint="eastAsia" w:ascii="仿宋_GB2312" w:eastAsia="仿宋_GB2312"/>
          <w:sz w:val="28"/>
          <w:szCs w:val="28"/>
        </w:rPr>
        <w:t>按支出功能科目划分：城乡社区支出1094.65万元，较上年预算安排增加454.77万元，主要原因是其他资金支出功能科目放于城乡社区支出科目中;住房保障支出6989.16万元，较上年预算安排增加4696.37万元，主要原因是上年度结转项目支出增加;，其他支出24.2万元，较上年预算安排减少475.8万，主要原因是本年度其他资金支出功能科目放于城乡社区支出功能科目中。</w:t>
      </w:r>
    </w:p>
    <w:p w14:paraId="01960908">
      <w:pPr>
        <w:spacing w:line="500" w:lineRule="exact"/>
        <w:ind w:firstLine="560" w:firstLineChars="200"/>
        <w:rPr>
          <w:rFonts w:ascii="仿宋_GB2312" w:eastAsia="仿宋_GB2312"/>
          <w:sz w:val="28"/>
          <w:szCs w:val="28"/>
        </w:rPr>
      </w:pPr>
      <w:r>
        <w:rPr>
          <w:rFonts w:hint="eastAsia" w:ascii="仿宋_GB2312" w:eastAsia="仿宋_GB2312"/>
          <w:sz w:val="28"/>
          <w:szCs w:val="28"/>
        </w:rPr>
        <w:t>按支出经济分类划分：工资福利支出523.27万元，较上年预算安排增加57.15万元，主要原因是2025年度新增人员，人员经费支出增加;商品和服务支出</w:t>
      </w:r>
      <w:r>
        <w:rPr>
          <w:rFonts w:hint="eastAsia" w:ascii="仿宋_GB2312" w:eastAsia="仿宋_GB2312"/>
          <w:sz w:val="28"/>
          <w:szCs w:val="28"/>
          <w:lang w:val="en-US" w:eastAsia="zh-CN"/>
        </w:rPr>
        <w:t>570.34</w:t>
      </w:r>
      <w:r>
        <w:rPr>
          <w:rFonts w:hint="eastAsia" w:ascii="仿宋_GB2312" w:eastAsia="仿宋_GB2312"/>
          <w:sz w:val="28"/>
          <w:szCs w:val="28"/>
        </w:rPr>
        <w:t>万元，较上年预算安排增加</w:t>
      </w:r>
      <w:r>
        <w:rPr>
          <w:rFonts w:hint="eastAsia" w:ascii="仿宋_GB2312" w:eastAsia="仿宋_GB2312"/>
          <w:sz w:val="28"/>
          <w:szCs w:val="28"/>
          <w:lang w:val="en-US" w:eastAsia="zh-CN"/>
        </w:rPr>
        <w:t>504.8</w:t>
      </w:r>
      <w:r>
        <w:rPr>
          <w:rFonts w:hint="eastAsia" w:ascii="仿宋_GB2312" w:eastAsia="仿宋_GB2312"/>
          <w:sz w:val="28"/>
          <w:szCs w:val="28"/>
        </w:rPr>
        <w:t>万元，主要原因是</w:t>
      </w:r>
      <w:r>
        <w:rPr>
          <w:rFonts w:hint="eastAsia" w:ascii="仿宋_GB2312" w:eastAsia="仿宋_GB2312"/>
          <w:sz w:val="28"/>
          <w:szCs w:val="28"/>
          <w:lang w:val="en-US" w:eastAsia="zh-CN"/>
        </w:rPr>
        <w:t>其他资金支出功能科目放于城乡社区支出中，部门经济分类为商品和服务支出</w:t>
      </w:r>
      <w:r>
        <w:rPr>
          <w:rFonts w:hint="eastAsia" w:ascii="仿宋_GB2312" w:eastAsia="仿宋_GB2312"/>
          <w:sz w:val="28"/>
          <w:szCs w:val="28"/>
        </w:rPr>
        <w:t>，公用经费需求增加; 对个人和家庭的补助1.04万元，较上年预算安排增加0.13万元，主要原因是遗属生活补助标准增加。资本性支出</w:t>
      </w:r>
      <w:r>
        <w:rPr>
          <w:rFonts w:hint="eastAsia" w:ascii="仿宋_GB2312" w:eastAsia="仿宋_GB2312"/>
          <w:sz w:val="28"/>
          <w:szCs w:val="28"/>
          <w:lang w:val="en-US" w:eastAsia="zh-CN"/>
        </w:rPr>
        <w:t>7013.36</w:t>
      </w:r>
      <w:r>
        <w:rPr>
          <w:rFonts w:hint="eastAsia" w:ascii="仿宋_GB2312" w:eastAsia="仿宋_GB2312"/>
          <w:sz w:val="28"/>
          <w:szCs w:val="28"/>
        </w:rPr>
        <w:t>万元，较上年预算安排增加</w:t>
      </w:r>
      <w:r>
        <w:rPr>
          <w:rFonts w:hint="eastAsia" w:ascii="仿宋_GB2312" w:eastAsia="仿宋_GB2312"/>
          <w:sz w:val="28"/>
          <w:szCs w:val="28"/>
          <w:lang w:val="en-US" w:eastAsia="zh-CN"/>
        </w:rPr>
        <w:t>3083.38</w:t>
      </w:r>
      <w:r>
        <w:rPr>
          <w:rFonts w:hint="eastAsia" w:ascii="仿宋_GB2312" w:eastAsia="仿宋_GB2312"/>
          <w:sz w:val="28"/>
          <w:szCs w:val="28"/>
        </w:rPr>
        <w:t>万元，主要原因是上年结转项目预算。</w:t>
      </w:r>
      <w:bookmarkStart w:id="0" w:name="_GoBack"/>
      <w:bookmarkEnd w:id="0"/>
    </w:p>
    <w:p w14:paraId="274BC19B">
      <w:p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(三)财政拨款支出情况</w:t>
      </w:r>
    </w:p>
    <w:p w14:paraId="74A9D7FA">
      <w:pPr>
        <w:spacing w:line="500" w:lineRule="exact"/>
        <w:ind w:firstLine="560" w:firstLineChars="200"/>
        <w:rPr>
          <w:rFonts w:ascii="仿宋_GB2312" w:eastAsia="仿宋_GB2312"/>
          <w:sz w:val="28"/>
          <w:szCs w:val="28"/>
        </w:rPr>
      </w:pPr>
      <w:r>
        <w:rPr>
          <w:rFonts w:hint="eastAsia" w:ascii="仿宋_GB2312" w:eastAsia="仿宋_GB2312"/>
          <w:sz w:val="28"/>
          <w:szCs w:val="28"/>
        </w:rPr>
        <w:t>2025年区建安中心单位支出预算总额为594.65万元，较上年增加51.76万元，增长9%,主要原因是2025年增加人员经费。</w:t>
      </w:r>
    </w:p>
    <w:p w14:paraId="4458CDEC">
      <w:pPr>
        <w:spacing w:line="500" w:lineRule="exact"/>
        <w:ind w:firstLine="560" w:firstLineChars="200"/>
        <w:rPr>
          <w:rFonts w:ascii="仿宋_GB2312" w:eastAsia="仿宋_GB2312"/>
          <w:sz w:val="28"/>
          <w:szCs w:val="28"/>
        </w:rPr>
      </w:pPr>
      <w:r>
        <w:rPr>
          <w:rFonts w:hint="eastAsia" w:ascii="仿宋_GB2312" w:eastAsia="仿宋_GB2312"/>
          <w:sz w:val="28"/>
          <w:szCs w:val="28"/>
        </w:rPr>
        <w:t>按支出功能科目划分：城乡社区支出594.65万元，较上年预算安排增加51.76万元，主要原因是2025年增加人员经费;</w:t>
      </w:r>
    </w:p>
    <w:p w14:paraId="7B67A061">
      <w:pPr>
        <w:spacing w:line="500" w:lineRule="exact"/>
        <w:ind w:firstLine="560" w:firstLineChars="200"/>
        <w:rPr>
          <w:rFonts w:ascii="仿宋_GB2312" w:eastAsia="仿宋_GB2312"/>
          <w:sz w:val="28"/>
          <w:szCs w:val="28"/>
        </w:rPr>
      </w:pPr>
      <w:r>
        <w:rPr>
          <w:rFonts w:hint="eastAsia" w:ascii="仿宋_GB2312" w:eastAsia="仿宋_GB2312"/>
          <w:sz w:val="28"/>
          <w:szCs w:val="28"/>
        </w:rPr>
        <w:t>按支出项目类别划分：基本支出571.45万元，较上年预算安排增加57.56万元，主要原因是2025年度新增人员，人员经费支出增加;其中：工资福利支出523.27万元、商品和服务支出47.14万元、对个人和家庭的补助1.04万元、资本性支出0万元；项目支出23.2万元，较上年预算安排减少5.8万元，主要原因是减少项目支出;其中：工资福利支出0万元、商品和服务支出23.2万元、对个人和家庭的补助0万元、债务利息及费用支出0万元、资本性支出(基本建设)0万元，资本性支出0万元，对企业补助0万元，其他支出0万元。</w:t>
      </w:r>
    </w:p>
    <w:p w14:paraId="1B31425C">
      <w:p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(四)政府性基金情况</w:t>
      </w:r>
    </w:p>
    <w:p w14:paraId="78357EE6">
      <w:pPr>
        <w:ind w:firstLine="560" w:firstLineChars="200"/>
        <w:rPr>
          <w:rFonts w:ascii="仿宋_GB2312" w:eastAsia="仿宋_GB2312"/>
          <w:sz w:val="28"/>
          <w:szCs w:val="28"/>
        </w:rPr>
      </w:pPr>
      <w:r>
        <w:rPr>
          <w:rFonts w:hint="eastAsia" w:ascii="仿宋_GB2312" w:eastAsia="仿宋_GB2312"/>
          <w:sz w:val="28"/>
          <w:szCs w:val="28"/>
        </w:rPr>
        <w:t>本单位没有使用政府性基金预算拨款安排的支出.</w:t>
      </w:r>
    </w:p>
    <w:p w14:paraId="2011C667">
      <w:pPr>
        <w:numPr>
          <w:ilvl w:val="0"/>
          <w:numId w:val="1"/>
        </w:num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国有资本经营情况</w:t>
      </w:r>
    </w:p>
    <w:p w14:paraId="21707285">
      <w:pPr>
        <w:spacing w:line="500" w:lineRule="exact"/>
        <w:ind w:firstLine="560" w:firstLineChars="200"/>
        <w:rPr>
          <w:rFonts w:ascii="仿宋_GB2312" w:eastAsia="仿宋_GB2312"/>
          <w:sz w:val="28"/>
          <w:szCs w:val="28"/>
        </w:rPr>
      </w:pPr>
      <w:r>
        <w:rPr>
          <w:rFonts w:hint="eastAsia" w:ascii="仿宋_GB2312" w:eastAsia="仿宋_GB2312"/>
          <w:sz w:val="28"/>
          <w:szCs w:val="28"/>
        </w:rPr>
        <w:t>本单位没有使用国有资本经营预算拨款安排的支出.</w:t>
      </w:r>
    </w:p>
    <w:p w14:paraId="2F06B121">
      <w:p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(六)机关运行经费等重要情况说明</w:t>
      </w:r>
    </w:p>
    <w:p w14:paraId="3A86B664">
      <w:pPr>
        <w:spacing w:line="500" w:lineRule="exact"/>
        <w:ind w:firstLine="560" w:firstLineChars="200"/>
        <w:rPr>
          <w:rFonts w:ascii="仿宋_GB2312" w:eastAsia="仿宋_GB2312"/>
          <w:sz w:val="28"/>
          <w:szCs w:val="28"/>
        </w:rPr>
      </w:pPr>
      <w:r>
        <w:rPr>
          <w:rFonts w:hint="eastAsia" w:ascii="仿宋_GB2312" w:eastAsia="仿宋_GB2312"/>
          <w:sz w:val="28"/>
          <w:szCs w:val="28"/>
        </w:rPr>
        <w:t>本单位非行政参公单位，无机关运行经费。</w:t>
      </w:r>
    </w:p>
    <w:p w14:paraId="059D2E3E">
      <w:p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(七)政府采购情况说明</w:t>
      </w:r>
    </w:p>
    <w:p w14:paraId="34504133">
      <w:pPr>
        <w:spacing w:line="500" w:lineRule="exact"/>
        <w:ind w:firstLine="560" w:firstLineChars="200"/>
        <w:rPr>
          <w:rFonts w:ascii="仿宋_GB2312" w:eastAsia="仿宋_GB2312"/>
          <w:sz w:val="28"/>
          <w:szCs w:val="28"/>
        </w:rPr>
      </w:pPr>
      <w:r>
        <w:rPr>
          <w:rFonts w:hint="eastAsia" w:ascii="仿宋_GB2312" w:eastAsia="仿宋_GB2312"/>
          <w:sz w:val="28"/>
          <w:szCs w:val="28"/>
        </w:rPr>
        <w:t>2025年区建设工程质量和安全事务中心政府采购预算总额0万元。其中，政府采购货物预算0万元，政府采购工程预算0万元，政府采购服务预算0万元。</w:t>
      </w:r>
    </w:p>
    <w:p w14:paraId="04F8E4FE">
      <w:pPr>
        <w:widowControl/>
        <w:spacing w:line="500" w:lineRule="exact"/>
        <w:ind w:firstLine="562" w:firstLineChars="200"/>
        <w:jc w:val="left"/>
        <w:rPr>
          <w:rFonts w:ascii="楷体_GB2312" w:hAnsi="楷体_GB2312" w:eastAsia="楷体_GB2312" w:cs="楷体_GB2312"/>
          <w:b/>
          <w:sz w:val="28"/>
          <w:szCs w:val="28"/>
        </w:rPr>
      </w:pPr>
      <w:r>
        <w:rPr>
          <w:rFonts w:hint="eastAsia" w:ascii="楷体_GB2312" w:hAnsi="楷体_GB2312" w:eastAsia="楷体_GB2312" w:cs="楷体_GB2312"/>
          <w:b/>
          <w:sz w:val="28"/>
          <w:szCs w:val="28"/>
        </w:rPr>
        <w:t>(八)国有资产占有使用情况</w:t>
      </w:r>
    </w:p>
    <w:p w14:paraId="0DC68016">
      <w:pPr>
        <w:spacing w:line="500" w:lineRule="exact"/>
        <w:ind w:firstLine="560" w:firstLineChars="200"/>
        <w:rPr>
          <w:rFonts w:ascii="仿宋_GB2312" w:eastAsia="仿宋_GB2312"/>
          <w:sz w:val="28"/>
          <w:szCs w:val="28"/>
        </w:rPr>
      </w:pPr>
      <w:r>
        <w:rPr>
          <w:rFonts w:hint="eastAsia" w:ascii="仿宋_GB2312" w:eastAsia="仿宋_GB2312"/>
          <w:sz w:val="28"/>
          <w:szCs w:val="28"/>
        </w:rPr>
        <w:t>截至2023年7月31日，单位共有车辆0辆，其中，一般公务用车实有数0辆。</w:t>
      </w:r>
    </w:p>
    <w:p w14:paraId="1409EB50">
      <w:pPr>
        <w:spacing w:line="500" w:lineRule="exact"/>
        <w:ind w:firstLine="560" w:firstLineChars="200"/>
        <w:rPr>
          <w:rFonts w:ascii="仿宋_GB2312" w:eastAsia="仿宋_GB2312"/>
          <w:sz w:val="28"/>
          <w:szCs w:val="28"/>
        </w:rPr>
      </w:pPr>
      <w:r>
        <w:rPr>
          <w:rFonts w:hint="eastAsia" w:ascii="仿宋_GB2312" w:eastAsia="仿宋_GB2312"/>
          <w:sz w:val="28"/>
          <w:szCs w:val="28"/>
        </w:rPr>
        <w:t>2024年单位预算安排购置车辆0辆，安排购置单位价值200万元以上大型设备0万元.</w:t>
      </w:r>
    </w:p>
    <w:p w14:paraId="7F659EAF">
      <w:pPr>
        <w:widowControl/>
        <w:spacing w:line="500" w:lineRule="exact"/>
        <w:ind w:firstLine="562" w:firstLineChars="200"/>
        <w:jc w:val="left"/>
        <w:rPr>
          <w:rFonts w:ascii="楷体_GB2312" w:hAnsi="楷体_GB2312" w:eastAsia="楷体_GB2312" w:cs="楷体_GB2312"/>
          <w:b/>
          <w:sz w:val="28"/>
          <w:szCs w:val="28"/>
        </w:rPr>
      </w:pPr>
      <w:r>
        <w:rPr>
          <w:rFonts w:hint="eastAsia" w:ascii="楷体_GB2312" w:hAnsi="楷体_GB2312" w:eastAsia="楷体_GB2312" w:cs="楷体_GB2312"/>
          <w:b/>
          <w:sz w:val="28"/>
          <w:szCs w:val="28"/>
        </w:rPr>
        <w:t>(九)项目情况说明</w:t>
      </w:r>
    </w:p>
    <w:p w14:paraId="3E1638B5">
      <w:pPr>
        <w:spacing w:line="500" w:lineRule="exact"/>
        <w:ind w:firstLine="560" w:firstLineChars="200"/>
        <w:rPr>
          <w:rFonts w:ascii="仿宋_GB2312" w:eastAsia="仿宋_GB2312"/>
          <w:sz w:val="28"/>
          <w:szCs w:val="28"/>
        </w:rPr>
      </w:pPr>
      <w:r>
        <w:rPr>
          <w:rFonts w:hint="eastAsia" w:ascii="仿宋_GB2312" w:eastAsia="仿宋_GB2312"/>
          <w:sz w:val="28"/>
          <w:szCs w:val="28"/>
        </w:rPr>
        <w:t>1.</w:t>
      </w:r>
      <w:r>
        <w:rPr>
          <w:rFonts w:hint="eastAsia"/>
        </w:rPr>
        <w:t xml:space="preserve"> </w:t>
      </w:r>
      <w:r>
        <w:rPr>
          <w:rFonts w:hint="eastAsia" w:ascii="仿宋_GB2312" w:eastAsia="仿宋_GB2312"/>
          <w:sz w:val="28"/>
          <w:szCs w:val="28"/>
        </w:rPr>
        <w:t>建设工程质量和安全生产管理工作经费项目</w:t>
      </w:r>
    </w:p>
    <w:p w14:paraId="109F2F62">
      <w:pPr>
        <w:spacing w:line="500" w:lineRule="exact"/>
        <w:ind w:firstLine="560" w:firstLineChars="200"/>
        <w:rPr>
          <w:rFonts w:ascii="仿宋_GB2312" w:eastAsia="仿宋_GB2312"/>
          <w:sz w:val="28"/>
          <w:szCs w:val="28"/>
        </w:rPr>
      </w:pPr>
      <w:r>
        <w:rPr>
          <w:rFonts w:hint="eastAsia" w:ascii="仿宋_GB2312" w:eastAsia="仿宋_GB2312"/>
          <w:sz w:val="28"/>
          <w:szCs w:val="28"/>
        </w:rPr>
        <w:t>1)项目概述：落实“保民生、保交楼、保稳定”的要求，对工程建设资金进行监管，确保该资金用于项目工程建设。指导督促全区既有建筑装饰装修工程、老旧社区改造工程安全监督登记办理及日常的质量安全服务工作。做好建设领域内不需施工许可审批及零星的房建、市政工程的安全生产服务工作。</w:t>
      </w:r>
    </w:p>
    <w:p w14:paraId="5FD186A9">
      <w:pPr>
        <w:spacing w:line="500" w:lineRule="exact"/>
        <w:ind w:firstLine="560" w:firstLineChars="200"/>
        <w:rPr>
          <w:rFonts w:ascii="仿宋_GB2312" w:eastAsia="仿宋_GB2312"/>
          <w:sz w:val="28"/>
          <w:szCs w:val="28"/>
        </w:rPr>
      </w:pPr>
      <w:r>
        <w:rPr>
          <w:rFonts w:hint="eastAsia" w:ascii="仿宋_GB2312" w:eastAsia="仿宋_GB2312"/>
          <w:sz w:val="28"/>
          <w:szCs w:val="28"/>
        </w:rPr>
        <w:t>2)立项依据：根据单位实际运转设立项目运转成本</w:t>
      </w:r>
    </w:p>
    <w:p w14:paraId="4712F197">
      <w:pPr>
        <w:spacing w:line="500" w:lineRule="exact"/>
        <w:ind w:firstLine="560" w:firstLineChars="200"/>
        <w:rPr>
          <w:rFonts w:ascii="仿宋_GB2312" w:eastAsia="仿宋_GB2312"/>
          <w:sz w:val="28"/>
          <w:szCs w:val="28"/>
        </w:rPr>
      </w:pPr>
      <w:r>
        <w:rPr>
          <w:rFonts w:hint="eastAsia" w:ascii="仿宋_GB2312" w:eastAsia="仿宋_GB2312"/>
          <w:sz w:val="28"/>
          <w:szCs w:val="28"/>
        </w:rPr>
        <w:t>3)实施主体：青山湖区建设工程质量和安全事务中心</w:t>
      </w:r>
    </w:p>
    <w:p w14:paraId="0714C1CF">
      <w:pPr>
        <w:spacing w:line="500" w:lineRule="exact"/>
        <w:ind w:firstLine="560" w:firstLineChars="200"/>
        <w:rPr>
          <w:rFonts w:ascii="仿宋_GB2312" w:eastAsia="仿宋_GB2312"/>
          <w:sz w:val="28"/>
          <w:szCs w:val="28"/>
        </w:rPr>
      </w:pPr>
      <w:r>
        <w:rPr>
          <w:rFonts w:hint="eastAsia" w:ascii="仿宋_GB2312" w:eastAsia="仿宋_GB2312"/>
          <w:sz w:val="28"/>
          <w:szCs w:val="28"/>
        </w:rPr>
        <w:t>4)实施方案：单位按照工作流程进度按时完成工作</w:t>
      </w:r>
    </w:p>
    <w:p w14:paraId="646AAE13">
      <w:pPr>
        <w:spacing w:line="500" w:lineRule="exact"/>
        <w:ind w:firstLine="560" w:firstLineChars="200"/>
        <w:rPr>
          <w:rFonts w:ascii="仿宋_GB2312" w:eastAsia="仿宋_GB2312"/>
          <w:sz w:val="28"/>
          <w:szCs w:val="28"/>
        </w:rPr>
      </w:pPr>
      <w:r>
        <w:rPr>
          <w:rFonts w:hint="eastAsia" w:ascii="仿宋_GB2312" w:eastAsia="仿宋_GB2312"/>
          <w:sz w:val="28"/>
          <w:szCs w:val="28"/>
        </w:rPr>
        <w:t>5)实施周期：2025.01.01-2025.12.31</w:t>
      </w:r>
    </w:p>
    <w:p w14:paraId="5DB7E57E">
      <w:pPr>
        <w:spacing w:line="500" w:lineRule="exact"/>
        <w:ind w:firstLine="560" w:firstLineChars="200"/>
        <w:rPr>
          <w:rFonts w:ascii="仿宋_GB2312" w:eastAsia="仿宋_GB2312"/>
          <w:sz w:val="28"/>
          <w:szCs w:val="28"/>
        </w:rPr>
      </w:pPr>
      <w:r>
        <w:rPr>
          <w:rFonts w:hint="eastAsia" w:ascii="仿宋_GB2312" w:eastAsia="仿宋_GB2312"/>
          <w:sz w:val="28"/>
          <w:szCs w:val="28"/>
        </w:rPr>
        <w:t>6)年度预算安排：安排预算23.2万元，主要用于落实“保民生、保交楼、保稳定”的要求，对工程建设资金进行监管，确保该资金用于项目工程建设。指导督促全区既有建筑装饰装修工程、老旧社区改造工程安全监督登记办理及日常的质量安全服务工作。做好建设领域内不需施工许可审批及零星的房建、市政工程的安全生产服务工作。</w:t>
      </w:r>
    </w:p>
    <w:p w14:paraId="10EB36F3">
      <w:pPr>
        <w:widowControl/>
        <w:spacing w:line="500" w:lineRule="exact"/>
        <w:ind w:firstLine="560" w:firstLineChars="200"/>
        <w:jc w:val="left"/>
        <w:rPr>
          <w:rFonts w:ascii="黑体" w:eastAsia="黑体"/>
          <w:sz w:val="28"/>
          <w:szCs w:val="28"/>
        </w:rPr>
      </w:pPr>
      <w:r>
        <w:rPr>
          <w:rFonts w:hint="eastAsia" w:ascii="黑体" w:eastAsia="黑体"/>
          <w:sz w:val="28"/>
          <w:szCs w:val="28"/>
        </w:rPr>
        <w:t>二、2025年“三公”经费预算情况说明</w:t>
      </w:r>
    </w:p>
    <w:p w14:paraId="291C76A9">
      <w:pPr>
        <w:spacing w:line="500" w:lineRule="exact"/>
        <w:ind w:firstLine="560" w:firstLineChars="200"/>
        <w:rPr>
          <w:rFonts w:ascii="仿宋_GB2312" w:eastAsia="仿宋_GB2312"/>
          <w:sz w:val="28"/>
          <w:szCs w:val="28"/>
        </w:rPr>
      </w:pPr>
      <w:r>
        <w:rPr>
          <w:rFonts w:hint="eastAsia" w:ascii="仿宋_GB2312" w:eastAsia="仿宋_GB2312"/>
          <w:sz w:val="28"/>
          <w:szCs w:val="28"/>
        </w:rPr>
        <w:t>说明单位“三公”经费年初预算总额和结构，及各项增(减)变化原因。</w:t>
      </w:r>
    </w:p>
    <w:p w14:paraId="75197B0A">
      <w:pPr>
        <w:spacing w:line="500" w:lineRule="exact"/>
        <w:ind w:firstLine="560" w:firstLineChars="200"/>
        <w:rPr>
          <w:rFonts w:ascii="仿宋_GB2312" w:eastAsia="仿宋_GB2312"/>
          <w:sz w:val="28"/>
          <w:szCs w:val="28"/>
        </w:rPr>
      </w:pPr>
      <w:r>
        <w:rPr>
          <w:rFonts w:hint="eastAsia" w:ascii="仿宋_GB2312" w:eastAsia="仿宋_GB2312"/>
          <w:sz w:val="28"/>
          <w:szCs w:val="28"/>
        </w:rPr>
        <w:t>样式：2025年区建安中心单位“三公”经费财政拨款安排0万元。其中：</w:t>
      </w:r>
    </w:p>
    <w:p w14:paraId="6B06C833">
      <w:pPr>
        <w:spacing w:line="500" w:lineRule="exact"/>
        <w:ind w:firstLine="560" w:firstLineChars="200"/>
        <w:rPr>
          <w:rFonts w:ascii="仿宋_GB2312" w:eastAsia="仿宋_GB2312"/>
          <w:sz w:val="28"/>
          <w:szCs w:val="28"/>
        </w:rPr>
      </w:pPr>
      <w:r>
        <w:rPr>
          <w:rFonts w:hint="eastAsia" w:ascii="仿宋_GB2312" w:eastAsia="仿宋_GB2312"/>
          <w:sz w:val="28"/>
          <w:szCs w:val="28"/>
        </w:rPr>
        <w:t>1.因公出国(境)经费0万元，比上年增加/减少0万元。主要原因是与上年保持一致。</w:t>
      </w:r>
    </w:p>
    <w:p w14:paraId="0A64CB4B">
      <w:pPr>
        <w:spacing w:line="500" w:lineRule="exact"/>
        <w:ind w:firstLine="560" w:firstLineChars="200"/>
        <w:rPr>
          <w:rFonts w:ascii="仿宋_GB2312" w:eastAsia="仿宋_GB2312"/>
          <w:sz w:val="28"/>
          <w:szCs w:val="28"/>
        </w:rPr>
      </w:pPr>
      <w:r>
        <w:rPr>
          <w:rFonts w:hint="eastAsia" w:ascii="仿宋_GB2312" w:eastAsia="仿宋_GB2312"/>
          <w:sz w:val="28"/>
          <w:szCs w:val="28"/>
        </w:rPr>
        <w:t>2.公务接待费0万元，比上年增加/减少0万元。主要原因是与上年保持一致。</w:t>
      </w:r>
    </w:p>
    <w:p w14:paraId="6FFD27A6">
      <w:pPr>
        <w:spacing w:line="500" w:lineRule="exact"/>
        <w:ind w:firstLine="560" w:firstLineChars="200"/>
        <w:rPr>
          <w:rFonts w:ascii="仿宋_GB2312" w:eastAsia="仿宋_GB2312"/>
          <w:sz w:val="28"/>
          <w:szCs w:val="28"/>
        </w:rPr>
      </w:pPr>
      <w:r>
        <w:rPr>
          <w:rFonts w:hint="eastAsia" w:ascii="仿宋_GB2312" w:eastAsia="仿宋_GB2312"/>
          <w:sz w:val="28"/>
          <w:szCs w:val="28"/>
        </w:rPr>
        <w:t>3.公务用车运行维护费0万元，比上年增加/减少0万元。主要原因与上年保持一致。</w:t>
      </w:r>
    </w:p>
    <w:p w14:paraId="405E927B">
      <w:pPr>
        <w:spacing w:line="500" w:lineRule="exact"/>
        <w:ind w:firstLine="560" w:firstLineChars="200"/>
        <w:rPr>
          <w:rFonts w:ascii="仿宋_GB2312" w:eastAsia="仿宋_GB2312"/>
          <w:sz w:val="28"/>
          <w:szCs w:val="28"/>
        </w:rPr>
      </w:pPr>
      <w:r>
        <w:rPr>
          <w:rFonts w:hint="eastAsia" w:ascii="仿宋_GB2312" w:eastAsia="仿宋_GB2312"/>
          <w:sz w:val="28"/>
          <w:szCs w:val="28"/>
        </w:rPr>
        <w:t>4.公务用车购置费0万元，比上年增加/减少0万元。主要原因与上年保持一致。</w:t>
      </w:r>
    </w:p>
    <w:p w14:paraId="303AC366">
      <w:pPr>
        <w:spacing w:line="500" w:lineRule="exact"/>
        <w:jc w:val="center"/>
        <w:rPr>
          <w:rFonts w:ascii="方正小标宋简体" w:eastAsia="方正小标宋简体"/>
          <w:sz w:val="28"/>
          <w:szCs w:val="28"/>
        </w:rPr>
      </w:pPr>
      <w:r>
        <w:rPr>
          <w:rFonts w:hint="eastAsia" w:ascii="方正小标宋简体" w:eastAsia="方正小标宋简体"/>
          <w:sz w:val="28"/>
          <w:szCs w:val="28"/>
        </w:rPr>
        <w:t>第四部分  名词解释</w:t>
      </w:r>
    </w:p>
    <w:p w14:paraId="5780E9D1">
      <w:pPr>
        <w:spacing w:line="500" w:lineRule="exact"/>
        <w:ind w:firstLine="560" w:firstLineChars="200"/>
        <w:rPr>
          <w:rFonts w:ascii="仿宋_GB2312" w:eastAsia="仿宋_GB2312"/>
          <w:sz w:val="28"/>
          <w:szCs w:val="28"/>
        </w:rPr>
      </w:pPr>
    </w:p>
    <w:p w14:paraId="6DE5AB6D">
      <w:pPr>
        <w:widowControl/>
        <w:spacing w:line="500" w:lineRule="exact"/>
        <w:ind w:firstLine="560" w:firstLineChars="200"/>
        <w:jc w:val="left"/>
        <w:rPr>
          <w:rFonts w:ascii="黑体" w:eastAsia="黑体"/>
          <w:sz w:val="28"/>
          <w:szCs w:val="28"/>
        </w:rPr>
      </w:pPr>
      <w:r>
        <w:rPr>
          <w:rFonts w:hint="eastAsia" w:ascii="黑体" w:eastAsia="黑体"/>
          <w:sz w:val="28"/>
          <w:szCs w:val="28"/>
        </w:rPr>
        <w:t>一、收入科目</w:t>
      </w:r>
    </w:p>
    <w:p w14:paraId="17362280">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(一)财政拨款：指市级财政当年拨付的资金。</w:t>
      </w:r>
    </w:p>
    <w:p w14:paraId="12506105">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(二)教育收费资金收入：指实行专项管理的高中以上学费、住宿费，高校委托培养费，函大、电大、夜大及短训班培训费等教育收费取得的收入。</w:t>
      </w:r>
    </w:p>
    <w:p w14:paraId="128111BA">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(三)事业收入：指事业单位开展专业业务活动及辅助活动取得的收入。</w:t>
      </w:r>
    </w:p>
    <w:p w14:paraId="7FF9260A">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(四)事业单位经营收入：指事业单位在专业业务活动及辅助活动之外开展非独立核算经营活动取得的收入。</w:t>
      </w:r>
    </w:p>
    <w:p w14:paraId="2D5EE12F">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(五)附属单位上缴收入：指事业单位附属的独立核算单位按规定标准或比例缴纳的各项收入。包括附属的事业单位上缴的收入和附属的企业上缴的利润等。</w:t>
      </w:r>
    </w:p>
    <w:p w14:paraId="2ABFBE69">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(六)上级补助收入：指事业单位从主管部门和上级单位取得的非财政补助收入。</w:t>
      </w:r>
    </w:p>
    <w:p w14:paraId="7F4976B7">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(七)其他收入：指除财政拨款、事业收入、事业单位经营收入等以外的各项收入。</w:t>
      </w:r>
    </w:p>
    <w:p w14:paraId="671B4E02">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(八)使用非财政拨款结余：指历年滚存非限定用途的非财政拨款结余弥补本年度收支差额的数额。</w:t>
      </w:r>
    </w:p>
    <w:p w14:paraId="5A48B717">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(九)上年结转结余：指以前年度全部结转和结余的资金数，包括当年结转结余资金和历年滚存结转结余资金。</w:t>
      </w:r>
    </w:p>
    <w:p w14:paraId="21F0C4DC">
      <w:pPr>
        <w:widowControl/>
        <w:spacing w:line="500" w:lineRule="exact"/>
        <w:ind w:firstLine="560" w:firstLineChars="200"/>
        <w:jc w:val="left"/>
        <w:rPr>
          <w:rFonts w:ascii="黑体" w:eastAsia="黑体"/>
          <w:sz w:val="28"/>
          <w:szCs w:val="28"/>
        </w:rPr>
      </w:pPr>
      <w:r>
        <w:rPr>
          <w:rFonts w:hint="eastAsia" w:ascii="黑体" w:eastAsia="黑体"/>
          <w:sz w:val="28"/>
          <w:szCs w:val="28"/>
        </w:rPr>
        <w:t>二、支出科目</w:t>
      </w:r>
    </w:p>
    <w:p w14:paraId="241ED219">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（一）一般公共服务（类）人大事务（款）行政运行（项）：反映各级人大行政单位（包括实行公务员管理的事业单位）的基本支出。</w:t>
      </w:r>
    </w:p>
    <w:p w14:paraId="57B3F985">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（二）工资福利支出：反映单位开支的在职职工和编外长期聘用人员的各类劳动报酬，以及为上述人员缴纳的各项社会保险费用等。</w:t>
      </w:r>
    </w:p>
    <w:p w14:paraId="04D2A96E">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（三）资本性支出：反映切块由发展改革部门安排的基本建设支出。</w:t>
      </w:r>
    </w:p>
    <w:p w14:paraId="70AD8ACD">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（四）委托业务费：反映因委托外单位办理业务而支付的委托业务费。</w:t>
      </w:r>
    </w:p>
    <w:p w14:paraId="652D99A0">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（五）公务接待费：反映单位按规定开支的各类公务接待费用。</w:t>
      </w:r>
    </w:p>
    <w:p w14:paraId="5CDD3D24">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（六）工会经费:反映单位按规定提取或安排的工会经费。</w:t>
      </w:r>
    </w:p>
    <w:p w14:paraId="1CBFEAA5">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（七）福利费：反映单位按规定提取的职工福利费。</w:t>
      </w:r>
    </w:p>
    <w:p w14:paraId="1579925A">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（八）咨询费：反映单位咨询方面的支出。</w:t>
      </w:r>
    </w:p>
    <w:p w14:paraId="60CC6555">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（九）维修（护）费：反映单位日常开支的固定资产（不包括车船等交通工具）修理和维护费用，网络信息系统运行与维护费用，以及按规定提取的修购基金。</w:t>
      </w:r>
    </w:p>
    <w:p w14:paraId="30D9DFD4">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（十）劳务费：反映支付给外单位和个人的劳务费用，如临时聘用人员、钟点工工资、稿费、翻译费、评审费等。</w:t>
      </w:r>
    </w:p>
    <w:p w14:paraId="42343D84">
      <w:pPr>
        <w:widowControl/>
        <w:spacing w:line="500" w:lineRule="exact"/>
        <w:ind w:firstLine="560" w:firstLineChars="200"/>
        <w:jc w:val="left"/>
        <w:rPr>
          <w:rFonts w:ascii="黑体" w:eastAsia="黑体"/>
          <w:sz w:val="28"/>
          <w:szCs w:val="28"/>
        </w:rPr>
      </w:pPr>
      <w:r>
        <w:rPr>
          <w:rFonts w:hint="eastAsia" w:ascii="黑体" w:eastAsia="黑体"/>
          <w:sz w:val="28"/>
          <w:szCs w:val="28"/>
        </w:rPr>
        <w:t>三、相关专业名词</w:t>
      </w:r>
    </w:p>
    <w:p w14:paraId="234F9136">
      <w:pPr>
        <w:spacing w:line="500" w:lineRule="exact"/>
        <w:ind w:firstLine="560" w:firstLineChars="200"/>
        <w:rPr>
          <w:rFonts w:ascii="仿宋_GB2312" w:eastAsia="仿宋_GB2312"/>
          <w:sz w:val="28"/>
          <w:szCs w:val="28"/>
        </w:rPr>
      </w:pPr>
      <w:r>
        <w:rPr>
          <w:rFonts w:hint="eastAsia" w:ascii="仿宋_GB2312" w:eastAsia="仿宋_GB2312"/>
          <w:sz w:val="28"/>
          <w:szCs w:val="28"/>
        </w:rPr>
        <w:t>(一)机关运行费：指用一般公共预算财政拨款安排的为保障行政单位(含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3D07C511">
      <w:pPr>
        <w:spacing w:line="500" w:lineRule="exact"/>
        <w:ind w:firstLine="560" w:firstLineChars="200"/>
        <w:rPr>
          <w:rFonts w:ascii="仿宋_GB2312" w:eastAsia="仿宋_GB2312"/>
          <w:sz w:val="28"/>
          <w:szCs w:val="28"/>
        </w:rPr>
      </w:pPr>
      <w:r>
        <w:rPr>
          <w:rFonts w:hint="eastAsia" w:ascii="仿宋_GB2312" w:eastAsia="仿宋_GB2312"/>
          <w:sz w:val="28"/>
          <w:szCs w:val="28"/>
        </w:rPr>
        <w:t>(二)“三公”经费：指用财政拨款安排的因公出国(境)费、公务用车购置及运行维护费和公务接待费。其中，因公出国</w:t>
      </w:r>
      <w:r>
        <w:rPr>
          <w:rFonts w:hint="eastAsia" w:ascii="仿宋_GB2312" w:eastAsia="仿宋_GB2312"/>
          <w:sz w:val="28"/>
          <w:szCs w:val="28"/>
        </w:rPr>
        <w:tab/>
      </w:r>
      <w:r>
        <w:rPr>
          <w:rFonts w:hint="eastAsia" w:ascii="仿宋_GB2312" w:eastAsia="仿宋_GB2312"/>
          <w:sz w:val="28"/>
          <w:szCs w:val="28"/>
        </w:rPr>
        <w:t>(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469B917F">
      <w:pPr>
        <w:spacing w:line="500" w:lineRule="exact"/>
        <w:ind w:firstLine="560" w:firstLineChars="200"/>
        <w:rPr>
          <w:rFonts w:ascii="仿宋_GB2312" w:eastAsia="仿宋_GB2312"/>
          <w:sz w:val="28"/>
          <w:szCs w:val="28"/>
        </w:rPr>
      </w:pPr>
      <w:r>
        <w:rPr>
          <w:rFonts w:hint="eastAsia" w:ascii="仿宋_GB2312" w:eastAsia="仿宋_GB2312"/>
          <w:sz w:val="28"/>
          <w:szCs w:val="28"/>
        </w:rPr>
        <w:t>(三)基本支出：指为保障机构正常运转、完成日常工作任务而发生的人员支出和公用支出。</w:t>
      </w:r>
    </w:p>
    <w:p w14:paraId="1D81B2C4">
      <w:pPr>
        <w:spacing w:line="500" w:lineRule="exact"/>
        <w:ind w:firstLine="560" w:firstLineChars="200"/>
        <w:rPr>
          <w:rFonts w:ascii="仿宋_GB2312" w:eastAsia="仿宋_GB2312"/>
          <w:sz w:val="28"/>
          <w:szCs w:val="28"/>
        </w:rPr>
      </w:pPr>
      <w:r>
        <w:rPr>
          <w:rFonts w:hint="eastAsia" w:ascii="仿宋_GB2312" w:eastAsia="仿宋_GB2312"/>
          <w:sz w:val="28"/>
          <w:szCs w:val="28"/>
        </w:rPr>
        <w:t>(四)项目支出：指在基本支出之外为完成特定行政任务或事业发展目标所发生的支出。</w:t>
      </w:r>
    </w:p>
    <w:p w14:paraId="5E2ACFBA"/>
    <w:p w14:paraId="754E9ACA">
      <w:pPr>
        <w:widowControl/>
        <w:spacing w:line="500" w:lineRule="exact"/>
        <w:ind w:firstLine="562" w:firstLineChars="200"/>
        <w:jc w:val="left"/>
        <w:rPr>
          <w:rFonts w:ascii="楷体_GB2312" w:hAnsi="楷体_GB2312" w:eastAsia="楷体_GB2312" w:cs="楷体_GB2312"/>
          <w:b/>
          <w:sz w:val="28"/>
          <w:szCs w:val="28"/>
        </w:rPr>
      </w:pPr>
    </w:p>
    <w:p w14:paraId="5BA6D9DA">
      <w:pPr>
        <w:spacing w:line="500" w:lineRule="exact"/>
        <w:rPr>
          <w:rFonts w:ascii="仿宋_GB2312" w:eastAsia="仿宋_GB2312"/>
          <w:sz w:val="28"/>
          <w:szCs w:val="28"/>
        </w:rPr>
      </w:pPr>
    </w:p>
    <w:p w14:paraId="2A2693E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BBF536"/>
    <w:multiLevelType w:val="singleLevel"/>
    <w:tmpl w:val="50BBF536"/>
    <w:lvl w:ilvl="0" w:tentative="0">
      <w:start w:val="5"/>
      <w:numFmt w:val="chineseCounting"/>
      <w:suff w:val="nothing"/>
      <w:lvlText w:val="（%1）"/>
      <w:lvlJc w:val="left"/>
      <w:rPr>
        <w:rFonts w:hint="eastAsia" w:ascii="楷体_GB2312" w:hAnsi="楷体_GB2312" w:eastAsia="楷体_GB2312" w:cs="楷体_GB2312"/>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3510D"/>
    <w:rsid w:val="000F25C3"/>
    <w:rsid w:val="00165FE4"/>
    <w:rsid w:val="001E44F1"/>
    <w:rsid w:val="00292243"/>
    <w:rsid w:val="002E4A94"/>
    <w:rsid w:val="003819FE"/>
    <w:rsid w:val="00392E0C"/>
    <w:rsid w:val="00653BF0"/>
    <w:rsid w:val="007713E9"/>
    <w:rsid w:val="007C7EB2"/>
    <w:rsid w:val="008258CE"/>
    <w:rsid w:val="008A3CD8"/>
    <w:rsid w:val="00A200FF"/>
    <w:rsid w:val="00AC5F73"/>
    <w:rsid w:val="00B14528"/>
    <w:rsid w:val="00B963DC"/>
    <w:rsid w:val="00C3510D"/>
    <w:rsid w:val="00DF6C19"/>
    <w:rsid w:val="00F42CAD"/>
    <w:rsid w:val="723D29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semiHidden/>
    <w:unhideWhenUsed/>
    <w:uiPriority w:val="99"/>
    <w:pPr>
      <w:tabs>
        <w:tab w:val="center" w:pos="4153"/>
        <w:tab w:val="right" w:pos="8306"/>
      </w:tabs>
      <w:snapToGrid w:val="0"/>
      <w:jc w:val="left"/>
    </w:pPr>
    <w:rPr>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uiPriority w:val="99"/>
    <w:rPr>
      <w:sz w:val="18"/>
      <w:szCs w:val="18"/>
    </w:rPr>
  </w:style>
  <w:style w:type="character" w:customStyle="1" w:styleId="8">
    <w:name w:val="页脚 Char"/>
    <w:basedOn w:val="6"/>
    <w:link w:val="3"/>
    <w:semiHidden/>
    <w:uiPriority w:val="99"/>
    <w:rPr>
      <w:sz w:val="18"/>
      <w:szCs w:val="18"/>
    </w:rPr>
  </w:style>
  <w:style w:type="character" w:customStyle="1" w:styleId="9">
    <w:name w:val="批注框文本 Char"/>
    <w:basedOn w:val="6"/>
    <w:link w:val="2"/>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emf"/><Relationship Id="rId8" Type="http://schemas.openxmlformats.org/officeDocument/2006/relationships/image" Target="media/image5.emf"/><Relationship Id="rId7" Type="http://schemas.openxmlformats.org/officeDocument/2006/relationships/image" Target="media/image4.emf"/><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emf"/><Relationship Id="rId12" Type="http://schemas.openxmlformats.org/officeDocument/2006/relationships/image" Target="media/image9.emf"/><Relationship Id="rId11" Type="http://schemas.openxmlformats.org/officeDocument/2006/relationships/image" Target="media/image8.emf"/><Relationship Id="rId10" Type="http://schemas.openxmlformats.org/officeDocument/2006/relationships/image" Target="media/image7.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16</Pages>
  <Words>4415</Words>
  <Characters>4745</Characters>
  <Lines>35</Lines>
  <Paragraphs>10</Paragraphs>
  <TotalTime>2</TotalTime>
  <ScaleCrop>false</ScaleCrop>
  <LinksUpToDate>false</LinksUpToDate>
  <CharactersWithSpaces>4767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2025-02-08T09:05:00Z</dcterms:created>
  <dc:creator>Microsoft</dc:creator>
  <cp:lastModifiedBy>丁可谦</cp:lastModifiedBy>
  <dcterms:modified xsi:type="dcterms:W3CDTF">2025-02-13T07:16:51Z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eyJoZGlkIjoiZDVmYmFhYWY5NzRmM2ZjMTJiZTM3YWE2OGZkM2VkNmYiLCJ1c2VySWQiOiI5MjY4ODQ1MTkifQ==</vt:lpwstr>
  </property>
  <property fmtid="{D5CDD505-2E9C-101B-9397-08002B2CF9AE}" pid="3" name="KSOProductBuildVer">
    <vt:lpwstr>2052-12.1.0.19302</vt:lpwstr>
  </property>
  <property fmtid="{D5CDD505-2E9C-101B-9397-08002B2CF9AE}" pid="4" name="ICV">
    <vt:lpwstr>0E4EDC42C99F4E738183A548BE6A82C5_12</vt:lpwstr>
  </property>
</Properties>
</file>