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ED3E3">
      <w:pPr>
        <w:spacing w:line="500" w:lineRule="exact"/>
        <w:jc w:val="center"/>
        <w:rPr>
          <w:b/>
          <w:sz w:val="44"/>
          <w:szCs w:val="44"/>
        </w:rPr>
      </w:pPr>
      <w:r>
        <w:rPr>
          <w:rFonts w:hint="eastAsia"/>
          <w:b/>
          <w:sz w:val="44"/>
          <w:szCs w:val="44"/>
        </w:rPr>
        <w:t>南昌市青山湖区住房保障中心</w:t>
      </w:r>
    </w:p>
    <w:p w14:paraId="3219C055">
      <w:pPr>
        <w:spacing w:line="500" w:lineRule="exact"/>
        <w:jc w:val="center"/>
        <w:rPr>
          <w:b/>
          <w:sz w:val="44"/>
          <w:szCs w:val="44"/>
        </w:rPr>
      </w:pPr>
      <w:r>
        <w:rPr>
          <w:rFonts w:hint="eastAsia"/>
          <w:b/>
          <w:sz w:val="44"/>
          <w:szCs w:val="44"/>
        </w:rPr>
        <w:t>2025年单位预算</w:t>
      </w:r>
    </w:p>
    <w:p w14:paraId="70182A59">
      <w:pPr>
        <w:spacing w:line="500" w:lineRule="exact"/>
        <w:jc w:val="center"/>
        <w:rPr>
          <w:rFonts w:ascii="楷体_GB2312" w:hAnsi="楷体_GB2312" w:eastAsia="楷体_GB2312" w:cs="楷体_GB2312"/>
          <w:b/>
          <w:sz w:val="32"/>
          <w:szCs w:val="32"/>
        </w:rPr>
      </w:pPr>
    </w:p>
    <w:p w14:paraId="02F0B740">
      <w:pPr>
        <w:spacing w:line="246" w:lineRule="auto"/>
        <w:rPr>
          <w:rFonts w:ascii="仿宋_GB2312" w:hAnsi="仿宋_GB2312" w:eastAsia="仿宋_GB2312" w:cs="仿宋_GB2312"/>
        </w:rPr>
      </w:pPr>
    </w:p>
    <w:p w14:paraId="653B1BB7">
      <w:pPr>
        <w:spacing w:line="246" w:lineRule="auto"/>
        <w:rPr>
          <w:rFonts w:ascii="仿宋_GB2312" w:hAnsi="仿宋_GB2312" w:eastAsia="仿宋_GB2312" w:cs="仿宋_GB2312"/>
        </w:rPr>
      </w:pPr>
    </w:p>
    <w:p w14:paraId="2B3B1012">
      <w:pPr>
        <w:spacing w:line="500" w:lineRule="exact"/>
        <w:jc w:val="center"/>
        <w:rPr>
          <w:rFonts w:ascii="黑体" w:eastAsia="黑体"/>
          <w:sz w:val="32"/>
          <w:szCs w:val="32"/>
        </w:rPr>
      </w:pPr>
      <w:r>
        <w:rPr>
          <w:rFonts w:hint="eastAsia" w:ascii="黑体" w:eastAsia="黑体"/>
          <w:sz w:val="32"/>
          <w:szCs w:val="32"/>
        </w:rPr>
        <w:t>目  录</w:t>
      </w:r>
    </w:p>
    <w:p w14:paraId="0697BDE6">
      <w:pPr>
        <w:spacing w:line="252" w:lineRule="auto"/>
        <w:rPr>
          <w:rFonts w:ascii="仿宋_GB2312" w:hAnsi="仿宋_GB2312" w:eastAsia="仿宋_GB2312" w:cs="仿宋_GB2312"/>
        </w:rPr>
      </w:pPr>
    </w:p>
    <w:p w14:paraId="5BF03E4E">
      <w:pPr>
        <w:spacing w:line="253" w:lineRule="auto"/>
        <w:rPr>
          <w:rFonts w:ascii="仿宋_GB2312" w:hAnsi="仿宋_GB2312" w:eastAsia="仿宋_GB2312" w:cs="仿宋_GB2312"/>
        </w:rPr>
      </w:pPr>
    </w:p>
    <w:p w14:paraId="37325D0A">
      <w:pPr>
        <w:widowControl/>
        <w:spacing w:line="500" w:lineRule="exact"/>
        <w:ind w:firstLine="562" w:firstLineChars="200"/>
        <w:rPr>
          <w:rFonts w:ascii="仿宋_GB2312" w:eastAsia="仿宋_GB2312"/>
          <w:b/>
          <w:sz w:val="28"/>
          <w:szCs w:val="28"/>
        </w:rPr>
      </w:pPr>
      <w:r>
        <w:rPr>
          <w:rFonts w:hint="eastAsia" w:ascii="仿宋_GB2312" w:eastAsia="仿宋_GB2312"/>
          <w:b/>
          <w:sz w:val="28"/>
          <w:szCs w:val="28"/>
        </w:rPr>
        <w:t>第一部分  南昌市青山湖区住房保障中心单位概况</w:t>
      </w:r>
    </w:p>
    <w:p w14:paraId="076C120F">
      <w:pPr>
        <w:spacing w:line="500" w:lineRule="exact"/>
        <w:ind w:firstLine="560" w:firstLineChars="200"/>
        <w:rPr>
          <w:rFonts w:ascii="仿宋_GB2312" w:eastAsia="仿宋_GB2312"/>
          <w:sz w:val="28"/>
          <w:szCs w:val="28"/>
        </w:rPr>
      </w:pPr>
      <w:r>
        <w:rPr>
          <w:rFonts w:hint="eastAsia" w:ascii="仿宋_GB2312" w:eastAsia="仿宋_GB2312"/>
          <w:sz w:val="28"/>
          <w:szCs w:val="28"/>
        </w:rPr>
        <w:t>一、单位主要职责</w:t>
      </w:r>
    </w:p>
    <w:p w14:paraId="1CB5FAF8">
      <w:pPr>
        <w:spacing w:line="500" w:lineRule="exact"/>
        <w:ind w:firstLine="560" w:firstLineChars="200"/>
        <w:rPr>
          <w:rFonts w:ascii="仿宋_GB2312" w:eastAsia="仿宋_GB2312"/>
          <w:sz w:val="28"/>
          <w:szCs w:val="28"/>
        </w:rPr>
      </w:pPr>
      <w:r>
        <w:rPr>
          <w:rFonts w:hint="eastAsia" w:ascii="仿宋_GB2312" w:eastAsia="仿宋_GB2312"/>
          <w:sz w:val="28"/>
          <w:szCs w:val="28"/>
        </w:rPr>
        <w:t>二、机构设置及人员情况</w:t>
      </w:r>
    </w:p>
    <w:p w14:paraId="1613F80D">
      <w:pPr>
        <w:widowControl/>
        <w:spacing w:line="500" w:lineRule="exact"/>
        <w:ind w:firstLine="562" w:firstLineChars="200"/>
        <w:rPr>
          <w:rFonts w:ascii="仿宋_GB2312" w:eastAsia="仿宋_GB2312"/>
          <w:sz w:val="28"/>
          <w:szCs w:val="28"/>
        </w:rPr>
      </w:pPr>
      <w:r>
        <w:rPr>
          <w:rFonts w:hint="eastAsia" w:ascii="仿宋_GB2312" w:eastAsia="仿宋_GB2312"/>
          <w:b/>
          <w:sz w:val="28"/>
          <w:szCs w:val="28"/>
        </w:rPr>
        <w:t>第二部分  南昌市青山湖区住房保障中心单位2025年单位预算表</w:t>
      </w:r>
    </w:p>
    <w:p w14:paraId="567F6E84">
      <w:pPr>
        <w:spacing w:line="500" w:lineRule="exact"/>
        <w:ind w:firstLine="560" w:firstLineChars="200"/>
        <w:rPr>
          <w:rFonts w:ascii="仿宋_GB2312" w:eastAsia="仿宋_GB2312"/>
          <w:sz w:val="28"/>
          <w:szCs w:val="28"/>
        </w:rPr>
      </w:pPr>
      <w:r>
        <w:rPr>
          <w:rFonts w:hint="eastAsia" w:ascii="仿宋_GB2312" w:eastAsia="仿宋_GB2312"/>
          <w:sz w:val="28"/>
          <w:szCs w:val="28"/>
        </w:rPr>
        <w:t>一、《收支预算总表》</w:t>
      </w:r>
    </w:p>
    <w:p w14:paraId="49E0B10A">
      <w:pPr>
        <w:spacing w:line="500" w:lineRule="exact"/>
        <w:ind w:firstLine="560" w:firstLineChars="200"/>
        <w:rPr>
          <w:rFonts w:ascii="仿宋_GB2312" w:eastAsia="仿宋_GB2312"/>
          <w:sz w:val="28"/>
          <w:szCs w:val="28"/>
        </w:rPr>
      </w:pPr>
      <w:r>
        <w:rPr>
          <w:rFonts w:hint="eastAsia" w:ascii="仿宋_GB2312" w:eastAsia="仿宋_GB2312"/>
          <w:sz w:val="28"/>
          <w:szCs w:val="28"/>
        </w:rPr>
        <w:t>二、《单位收入总表》</w:t>
      </w:r>
    </w:p>
    <w:p w14:paraId="31A40ACB">
      <w:pPr>
        <w:spacing w:line="500" w:lineRule="exact"/>
        <w:ind w:firstLine="560" w:firstLineChars="200"/>
        <w:rPr>
          <w:rFonts w:ascii="仿宋_GB2312" w:eastAsia="仿宋_GB2312"/>
          <w:sz w:val="28"/>
          <w:szCs w:val="28"/>
        </w:rPr>
      </w:pPr>
      <w:r>
        <w:rPr>
          <w:rFonts w:hint="eastAsia" w:ascii="仿宋_GB2312" w:eastAsia="仿宋_GB2312"/>
          <w:sz w:val="28"/>
          <w:szCs w:val="28"/>
        </w:rPr>
        <w:t>三、《单位支出总表》</w:t>
      </w:r>
    </w:p>
    <w:p w14:paraId="5E05D0DB">
      <w:pPr>
        <w:spacing w:line="500" w:lineRule="exact"/>
        <w:ind w:firstLine="560" w:firstLineChars="200"/>
        <w:rPr>
          <w:rFonts w:ascii="仿宋_GB2312" w:eastAsia="仿宋_GB2312"/>
          <w:sz w:val="28"/>
          <w:szCs w:val="28"/>
        </w:rPr>
      </w:pPr>
      <w:r>
        <w:rPr>
          <w:rFonts w:hint="eastAsia" w:ascii="仿宋_GB2312" w:eastAsia="仿宋_GB2312"/>
          <w:sz w:val="28"/>
          <w:szCs w:val="28"/>
        </w:rPr>
        <w:t>四、《财政拨款收支总表》</w:t>
      </w:r>
    </w:p>
    <w:p w14:paraId="0FC44DAA">
      <w:pPr>
        <w:spacing w:line="500" w:lineRule="exact"/>
        <w:ind w:firstLine="560" w:firstLineChars="200"/>
        <w:rPr>
          <w:rFonts w:ascii="仿宋_GB2312" w:eastAsia="仿宋_GB2312"/>
          <w:sz w:val="28"/>
          <w:szCs w:val="28"/>
        </w:rPr>
      </w:pPr>
      <w:r>
        <w:rPr>
          <w:rFonts w:hint="eastAsia" w:ascii="仿宋_GB2312" w:eastAsia="仿宋_GB2312"/>
          <w:sz w:val="28"/>
          <w:szCs w:val="28"/>
        </w:rPr>
        <w:t>五、《一般公共预算支出表》</w:t>
      </w:r>
    </w:p>
    <w:p w14:paraId="686CEB4C">
      <w:pPr>
        <w:spacing w:line="500" w:lineRule="exact"/>
        <w:ind w:firstLine="560" w:firstLineChars="200"/>
        <w:rPr>
          <w:rFonts w:ascii="仿宋_GB2312" w:eastAsia="仿宋_GB2312"/>
          <w:sz w:val="28"/>
          <w:szCs w:val="28"/>
        </w:rPr>
      </w:pPr>
      <w:r>
        <w:rPr>
          <w:rFonts w:hint="eastAsia" w:ascii="仿宋_GB2312" w:eastAsia="仿宋_GB2312"/>
          <w:sz w:val="28"/>
          <w:szCs w:val="28"/>
        </w:rPr>
        <w:t>六、《一般公共预算基本支出表》</w:t>
      </w:r>
    </w:p>
    <w:p w14:paraId="0E078CED">
      <w:pPr>
        <w:spacing w:line="500" w:lineRule="exact"/>
        <w:ind w:firstLine="560" w:firstLineChars="200"/>
        <w:rPr>
          <w:rFonts w:ascii="仿宋_GB2312" w:eastAsia="仿宋_GB2312"/>
          <w:sz w:val="28"/>
          <w:szCs w:val="28"/>
        </w:rPr>
      </w:pPr>
      <w:r>
        <w:rPr>
          <w:rFonts w:hint="eastAsia" w:ascii="仿宋_GB2312" w:eastAsia="仿宋_GB2312"/>
          <w:sz w:val="28"/>
          <w:szCs w:val="28"/>
        </w:rPr>
        <w:t>七、《财政拨款“三公”经费支出表》</w:t>
      </w:r>
    </w:p>
    <w:p w14:paraId="3C7EB5A7">
      <w:pPr>
        <w:spacing w:line="500" w:lineRule="exact"/>
        <w:ind w:firstLine="560" w:firstLineChars="200"/>
        <w:rPr>
          <w:rFonts w:ascii="仿宋_GB2312" w:eastAsia="仿宋_GB2312"/>
          <w:sz w:val="28"/>
          <w:szCs w:val="28"/>
        </w:rPr>
      </w:pPr>
      <w:r>
        <w:rPr>
          <w:rFonts w:hint="eastAsia" w:ascii="仿宋_GB2312" w:eastAsia="仿宋_GB2312"/>
          <w:sz w:val="28"/>
          <w:szCs w:val="28"/>
        </w:rPr>
        <w:t>八、《政府性基金预算支出表》</w:t>
      </w:r>
    </w:p>
    <w:p w14:paraId="0E933901">
      <w:pPr>
        <w:spacing w:line="500" w:lineRule="exact"/>
        <w:ind w:firstLine="560" w:firstLineChars="200"/>
        <w:rPr>
          <w:rFonts w:ascii="仿宋_GB2312" w:eastAsia="仿宋_GB2312"/>
          <w:sz w:val="28"/>
          <w:szCs w:val="28"/>
        </w:rPr>
      </w:pPr>
      <w:r>
        <w:rPr>
          <w:rFonts w:hint="eastAsia" w:ascii="仿宋_GB2312" w:eastAsia="仿宋_GB2312"/>
          <w:sz w:val="28"/>
          <w:szCs w:val="28"/>
        </w:rPr>
        <w:t>九、《国有资本经营预算支出表》</w:t>
      </w:r>
    </w:p>
    <w:p w14:paraId="190A378B">
      <w:pPr>
        <w:spacing w:line="500" w:lineRule="exact"/>
        <w:ind w:firstLine="560" w:firstLineChars="200"/>
        <w:rPr>
          <w:rFonts w:ascii="仿宋_GB2312" w:eastAsia="仿宋_GB2312"/>
          <w:sz w:val="28"/>
          <w:szCs w:val="28"/>
        </w:rPr>
      </w:pPr>
      <w:r>
        <w:rPr>
          <w:rFonts w:hint="eastAsia" w:ascii="仿宋_GB2312" w:eastAsia="仿宋_GB2312"/>
          <w:sz w:val="28"/>
          <w:szCs w:val="28"/>
        </w:rPr>
        <w:t>十、《项目支出绩效目标表》</w:t>
      </w:r>
    </w:p>
    <w:p w14:paraId="339EF1FF">
      <w:pPr>
        <w:widowControl/>
        <w:spacing w:line="500" w:lineRule="exact"/>
        <w:ind w:firstLine="562" w:firstLineChars="200"/>
        <w:rPr>
          <w:rFonts w:ascii="仿宋_GB2312" w:eastAsia="仿宋_GB2312"/>
          <w:b/>
          <w:sz w:val="28"/>
          <w:szCs w:val="28"/>
        </w:rPr>
      </w:pPr>
      <w:r>
        <w:rPr>
          <w:rFonts w:hint="eastAsia" w:ascii="仿宋_GB2312" w:eastAsia="仿宋_GB2312"/>
          <w:b/>
          <w:sz w:val="28"/>
          <w:szCs w:val="28"/>
        </w:rPr>
        <w:t>第三部分  南昌市青山湖区住房保障中心单位2025年单位预算情况说明</w:t>
      </w:r>
    </w:p>
    <w:p w14:paraId="5BDE7DF7">
      <w:pPr>
        <w:spacing w:line="500" w:lineRule="exact"/>
        <w:ind w:firstLine="560" w:firstLineChars="200"/>
        <w:rPr>
          <w:rFonts w:ascii="仿宋_GB2312" w:eastAsia="仿宋_GB2312"/>
          <w:sz w:val="28"/>
          <w:szCs w:val="28"/>
        </w:rPr>
      </w:pPr>
      <w:r>
        <w:rPr>
          <w:rFonts w:hint="eastAsia" w:ascii="仿宋_GB2312" w:eastAsia="仿宋_GB2312"/>
          <w:sz w:val="28"/>
          <w:szCs w:val="28"/>
        </w:rPr>
        <w:t>一、2025年单位预算收支情况说明</w:t>
      </w:r>
    </w:p>
    <w:p w14:paraId="650FF151">
      <w:pPr>
        <w:spacing w:line="500" w:lineRule="exact"/>
        <w:ind w:firstLine="560" w:firstLineChars="200"/>
        <w:rPr>
          <w:rFonts w:ascii="仿宋_GB2312" w:eastAsia="仿宋_GB2312"/>
          <w:sz w:val="28"/>
          <w:szCs w:val="28"/>
        </w:rPr>
      </w:pPr>
      <w:r>
        <w:rPr>
          <w:rFonts w:hint="eastAsia" w:ascii="仿宋_GB2312" w:eastAsia="仿宋_GB2312"/>
          <w:sz w:val="28"/>
          <w:szCs w:val="28"/>
        </w:rPr>
        <w:t>二、2025年“三公”经费预算情况说明</w:t>
      </w:r>
    </w:p>
    <w:p w14:paraId="631AA8FD">
      <w:pPr>
        <w:widowControl/>
        <w:spacing w:line="500" w:lineRule="exact"/>
        <w:ind w:firstLine="562" w:firstLineChars="200"/>
        <w:rPr>
          <w:rFonts w:ascii="仿宋_GB2312" w:eastAsia="仿宋_GB2312"/>
          <w:b/>
          <w:sz w:val="28"/>
          <w:szCs w:val="28"/>
        </w:rPr>
      </w:pPr>
      <w:r>
        <w:rPr>
          <w:rFonts w:hint="eastAsia" w:ascii="仿宋_GB2312" w:eastAsia="仿宋_GB2312"/>
          <w:b/>
          <w:sz w:val="28"/>
          <w:szCs w:val="28"/>
        </w:rPr>
        <w:t>第四部分  名词解释</w:t>
      </w:r>
    </w:p>
    <w:p w14:paraId="4A48DA90"/>
    <w:p w14:paraId="27A52D38"/>
    <w:p w14:paraId="4D8CA8D1">
      <w:pPr>
        <w:spacing w:line="500" w:lineRule="exact"/>
        <w:ind w:firstLine="1260" w:firstLineChars="450"/>
        <w:rPr>
          <w:rFonts w:ascii="方正小标宋简体" w:eastAsia="方正小标宋简体"/>
          <w:sz w:val="28"/>
          <w:szCs w:val="28"/>
        </w:rPr>
      </w:pPr>
      <w:r>
        <w:rPr>
          <w:rFonts w:hint="eastAsia" w:ascii="方正小标宋简体" w:eastAsia="方正小标宋简体"/>
          <w:sz w:val="28"/>
          <w:szCs w:val="28"/>
        </w:rPr>
        <w:t>第一部分  南昌市青山湖区住房保障中心单位概况</w:t>
      </w:r>
    </w:p>
    <w:p w14:paraId="30A6D214">
      <w:pPr>
        <w:spacing w:line="500" w:lineRule="exact"/>
        <w:rPr>
          <w:rFonts w:ascii="仿宋_GB2312" w:eastAsia="仿宋_GB2312"/>
          <w:sz w:val="28"/>
          <w:szCs w:val="28"/>
        </w:rPr>
      </w:pPr>
    </w:p>
    <w:p w14:paraId="4AD6347B">
      <w:pPr>
        <w:spacing w:line="500" w:lineRule="exact"/>
        <w:ind w:firstLine="560" w:firstLineChars="200"/>
        <w:rPr>
          <w:rFonts w:ascii="黑体" w:eastAsia="黑体"/>
          <w:sz w:val="28"/>
          <w:szCs w:val="28"/>
        </w:rPr>
      </w:pPr>
      <w:r>
        <w:rPr>
          <w:rFonts w:hint="eastAsia" w:ascii="黑体" w:eastAsia="黑体"/>
          <w:sz w:val="28"/>
          <w:szCs w:val="28"/>
        </w:rPr>
        <w:t>一、单位主要职责</w:t>
      </w:r>
    </w:p>
    <w:p w14:paraId="708B3472">
      <w:pPr>
        <w:spacing w:line="500" w:lineRule="exact"/>
        <w:ind w:firstLine="560" w:firstLineChars="200"/>
        <w:rPr>
          <w:rFonts w:ascii="仿宋_GB2312" w:eastAsia="仿宋_GB2312"/>
          <w:sz w:val="28"/>
          <w:szCs w:val="28"/>
        </w:rPr>
      </w:pPr>
      <w:r>
        <w:rPr>
          <w:rFonts w:hint="eastAsia" w:ascii="仿宋_GB2312" w:eastAsia="仿宋_GB2312"/>
          <w:sz w:val="28"/>
          <w:szCs w:val="28"/>
        </w:rPr>
        <w:t>区住房保障中心单位是区住建局部门所属预算单位，主要职责是：</w:t>
      </w:r>
    </w:p>
    <w:p w14:paraId="58B349AD">
      <w:pPr>
        <w:spacing w:line="500" w:lineRule="exact"/>
        <w:ind w:firstLine="560" w:firstLineChars="200"/>
        <w:rPr>
          <w:rFonts w:ascii="仿宋_GB2312" w:eastAsia="仿宋_GB2312"/>
          <w:sz w:val="28"/>
          <w:szCs w:val="28"/>
        </w:rPr>
      </w:pPr>
      <w:r>
        <w:rPr>
          <w:rFonts w:hint="eastAsia" w:ascii="仿宋_GB2312" w:eastAsia="仿宋_GB2312"/>
          <w:sz w:val="28"/>
          <w:szCs w:val="28"/>
        </w:rPr>
        <w:t>（一）负责房屋租赁市场管理，房屋租赁登记备案，核发《房屋租赁证》。</w:t>
      </w:r>
    </w:p>
    <w:p w14:paraId="0ED19D76">
      <w:pPr>
        <w:spacing w:line="500" w:lineRule="exact"/>
        <w:ind w:firstLine="560" w:firstLineChars="200"/>
        <w:rPr>
          <w:rFonts w:ascii="仿宋_GB2312" w:eastAsia="仿宋_GB2312"/>
          <w:sz w:val="28"/>
          <w:szCs w:val="28"/>
        </w:rPr>
      </w:pPr>
      <w:r>
        <w:rPr>
          <w:rFonts w:hint="eastAsia" w:ascii="仿宋_GB2312" w:eastAsia="仿宋_GB2312"/>
          <w:sz w:val="28"/>
          <w:szCs w:val="28"/>
        </w:rPr>
        <w:t>（二）负责辖区范围内住宅小区物业管理的监督指导工作和考核工作，指导和推动业主委员会的组建工作。</w:t>
      </w:r>
    </w:p>
    <w:p w14:paraId="664D72C0">
      <w:pPr>
        <w:spacing w:line="500" w:lineRule="exact"/>
        <w:ind w:firstLine="560" w:firstLineChars="200"/>
        <w:rPr>
          <w:rFonts w:ascii="仿宋_GB2312" w:eastAsia="仿宋_GB2312"/>
          <w:sz w:val="28"/>
          <w:szCs w:val="28"/>
        </w:rPr>
      </w:pPr>
      <w:r>
        <w:rPr>
          <w:rFonts w:hint="eastAsia" w:ascii="仿宋_GB2312" w:eastAsia="仿宋_GB2312"/>
          <w:sz w:val="28"/>
          <w:szCs w:val="28"/>
        </w:rPr>
        <w:t>（三）负责办理直管公房和统管公房的房改初审、报批及公房维修工作。</w:t>
      </w:r>
    </w:p>
    <w:p w14:paraId="5B1A605C">
      <w:pPr>
        <w:spacing w:line="500" w:lineRule="exact"/>
        <w:ind w:firstLine="560" w:firstLineChars="200"/>
        <w:rPr>
          <w:rFonts w:ascii="仿宋_GB2312" w:eastAsia="仿宋_GB2312"/>
          <w:sz w:val="28"/>
          <w:szCs w:val="28"/>
        </w:rPr>
      </w:pPr>
      <w:r>
        <w:rPr>
          <w:rFonts w:hint="eastAsia" w:ascii="仿宋_GB2312" w:eastAsia="仿宋_GB2312"/>
          <w:sz w:val="28"/>
          <w:szCs w:val="28"/>
        </w:rPr>
        <w:t>（四）负责全区住宅与非住宅装饰装修审核发证工作。</w:t>
      </w:r>
    </w:p>
    <w:p w14:paraId="30087E97">
      <w:pPr>
        <w:spacing w:line="500" w:lineRule="exact"/>
        <w:ind w:firstLine="560" w:firstLineChars="200"/>
        <w:rPr>
          <w:rFonts w:ascii="黑体" w:eastAsia="黑体"/>
          <w:sz w:val="28"/>
          <w:szCs w:val="28"/>
        </w:rPr>
      </w:pPr>
      <w:r>
        <w:rPr>
          <w:rFonts w:hint="eastAsia" w:ascii="黑体" w:eastAsia="黑体"/>
          <w:sz w:val="28"/>
          <w:szCs w:val="28"/>
        </w:rPr>
        <w:t>二、机构设置及人员情况</w:t>
      </w:r>
    </w:p>
    <w:p w14:paraId="4D9AE561">
      <w:pPr>
        <w:spacing w:line="500" w:lineRule="exact"/>
        <w:ind w:firstLine="560" w:firstLineChars="200"/>
        <w:rPr>
          <w:rFonts w:ascii="仿宋_GB2312" w:eastAsia="仿宋_GB2312"/>
          <w:sz w:val="28"/>
          <w:szCs w:val="28"/>
        </w:rPr>
      </w:pPr>
      <w:r>
        <w:rPr>
          <w:rFonts w:hint="eastAsia" w:ascii="仿宋_GB2312" w:eastAsia="仿宋_GB2312"/>
          <w:sz w:val="28"/>
          <w:szCs w:val="28"/>
        </w:rPr>
        <w:t>2025年南昌市青山湖区住房保障中心共有预算单位1个，包括：行政机关0个；公益一类事业单位1个。</w:t>
      </w:r>
    </w:p>
    <w:p w14:paraId="2BD9903C">
      <w:pPr>
        <w:spacing w:line="500" w:lineRule="exact"/>
        <w:ind w:firstLine="560" w:firstLineChars="200"/>
        <w:rPr>
          <w:rFonts w:ascii="仿宋_GB2312" w:eastAsia="仿宋_GB2312"/>
          <w:sz w:val="28"/>
          <w:szCs w:val="28"/>
        </w:rPr>
      </w:pPr>
      <w:r>
        <w:rPr>
          <w:rFonts w:hint="eastAsia" w:ascii="仿宋_GB2312" w:eastAsia="仿宋_GB2312"/>
          <w:sz w:val="28"/>
          <w:szCs w:val="28"/>
        </w:rPr>
        <w:t>编制人数小计14人，其中：行政编制0人、参照公务员管理的事业编制0人、全部补助事业编制14人、部分补助事业编制0人、自收自支事业编制0人。实有人数33人，其中：在职人数小计14人，包括行政人员0人、参照公务员管理的事业编制0人、全部补助事业人员</w:t>
      </w:r>
      <w:r>
        <w:rPr>
          <w:rFonts w:hint="eastAsia" w:ascii="仿宋_GB2312" w:eastAsia="仿宋_GB2312"/>
          <w:sz w:val="28"/>
          <w:szCs w:val="28"/>
          <w:lang w:val="en-US" w:eastAsia="zh-CN"/>
        </w:rPr>
        <w:t>14</w:t>
      </w:r>
      <w:r>
        <w:rPr>
          <w:rFonts w:hint="eastAsia" w:ascii="仿宋_GB2312" w:eastAsia="仿宋_GB2312"/>
          <w:sz w:val="28"/>
          <w:szCs w:val="28"/>
        </w:rPr>
        <w:t>人、部分补助事业人员0人、自收自支事业人员0人；离休人数小计0人；退休人员小计19人。遗</w:t>
      </w:r>
      <w:bookmarkStart w:id="0" w:name="_GoBack"/>
      <w:bookmarkEnd w:id="0"/>
      <w:r>
        <w:rPr>
          <w:rFonts w:hint="eastAsia" w:ascii="仿宋_GB2312" w:eastAsia="仿宋_GB2312"/>
          <w:sz w:val="28"/>
          <w:szCs w:val="28"/>
        </w:rPr>
        <w:t>属人数1人。在校学生0人，其中：高等学校0人、中等专业学校0人，其他0人。</w:t>
      </w:r>
    </w:p>
    <w:p w14:paraId="6D715417"/>
    <w:p w14:paraId="0361334F"/>
    <w:p w14:paraId="0899D252"/>
    <w:p w14:paraId="12AF7BD0"/>
    <w:p w14:paraId="0662F8D2"/>
    <w:p w14:paraId="12F82C32"/>
    <w:p w14:paraId="70306540"/>
    <w:p w14:paraId="096C7CF9"/>
    <w:p w14:paraId="551822FE"/>
    <w:p w14:paraId="694018F3"/>
    <w:p w14:paraId="27CF99A4"/>
    <w:p w14:paraId="23872E66">
      <w:pPr>
        <w:spacing w:line="500" w:lineRule="exact"/>
        <w:jc w:val="center"/>
        <w:rPr>
          <w:rFonts w:ascii="方正小标宋简体" w:eastAsia="方正小标宋简体"/>
          <w:sz w:val="28"/>
          <w:szCs w:val="28"/>
        </w:rPr>
      </w:pPr>
      <w:r>
        <w:rPr>
          <w:rFonts w:hint="eastAsia" w:ascii="方正小标宋简体" w:eastAsia="方正小标宋简体"/>
          <w:sz w:val="28"/>
          <w:szCs w:val="28"/>
        </w:rPr>
        <w:drawing>
          <wp:anchor distT="0" distB="0" distL="114300" distR="114300" simplePos="0" relativeHeight="251659264" behindDoc="1" locked="0" layoutInCell="1" allowOverlap="1">
            <wp:simplePos x="0" y="0"/>
            <wp:positionH relativeFrom="column">
              <wp:posOffset>-71755</wp:posOffset>
            </wp:positionH>
            <wp:positionV relativeFrom="paragraph">
              <wp:posOffset>690880</wp:posOffset>
            </wp:positionV>
            <wp:extent cx="5269865" cy="3721100"/>
            <wp:effectExtent l="19050" t="0" r="6985" b="0"/>
            <wp:wrapThrough wrapText="bothSides">
              <wp:wrapPolygon>
                <wp:start x="8355" y="1327"/>
                <wp:lineTo x="-78" y="2765"/>
                <wp:lineTo x="-78" y="21342"/>
                <wp:lineTo x="17490" y="21342"/>
                <wp:lineTo x="20457" y="21342"/>
                <wp:lineTo x="21629" y="21231"/>
                <wp:lineTo x="21629" y="19683"/>
                <wp:lineTo x="21316" y="19573"/>
                <wp:lineTo x="17490" y="19020"/>
                <wp:lineTo x="21551" y="19020"/>
                <wp:lineTo x="21551" y="17361"/>
                <wp:lineTo x="17490" y="17251"/>
                <wp:lineTo x="21394" y="17251"/>
                <wp:lineTo x="21629" y="17140"/>
                <wp:lineTo x="21629" y="12053"/>
                <wp:lineTo x="17490" y="11943"/>
                <wp:lineTo x="21551" y="11279"/>
                <wp:lineTo x="21551" y="10284"/>
                <wp:lineTo x="17490" y="10173"/>
                <wp:lineTo x="21551" y="9620"/>
                <wp:lineTo x="21551" y="8515"/>
                <wp:lineTo x="17490" y="8404"/>
                <wp:lineTo x="21551" y="7962"/>
                <wp:lineTo x="21551" y="6856"/>
                <wp:lineTo x="17490" y="6635"/>
                <wp:lineTo x="21551" y="6192"/>
                <wp:lineTo x="21629" y="5197"/>
                <wp:lineTo x="21316" y="4755"/>
                <wp:lineTo x="21629" y="4423"/>
                <wp:lineTo x="21629" y="2875"/>
                <wp:lineTo x="13040" y="1327"/>
                <wp:lineTo x="8355" y="1327"/>
              </wp:wrapPolygon>
            </wp:wrapThrough>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srcRect/>
                    <a:stretch>
                      <a:fillRect/>
                    </a:stretch>
                  </pic:blipFill>
                  <pic:spPr>
                    <a:xfrm>
                      <a:off x="0" y="0"/>
                      <a:ext cx="5269865" cy="3721100"/>
                    </a:xfrm>
                    <a:prstGeom prst="rect">
                      <a:avLst/>
                    </a:prstGeom>
                    <a:noFill/>
                    <a:ln w="9525">
                      <a:noFill/>
                      <a:miter lim="800000"/>
                      <a:headEnd/>
                      <a:tailEnd/>
                    </a:ln>
                  </pic:spPr>
                </pic:pic>
              </a:graphicData>
            </a:graphic>
          </wp:anchor>
        </w:drawing>
      </w:r>
      <w:r>
        <w:rPr>
          <w:rFonts w:hint="eastAsia" w:ascii="方正小标宋简体" w:eastAsia="方正小标宋简体"/>
          <w:sz w:val="28"/>
          <w:szCs w:val="28"/>
        </w:rPr>
        <w:t>第二部分  南昌市青山湖区住房保障中心单位2025年单位预算表</w:t>
      </w:r>
    </w:p>
    <w:p w14:paraId="10F1409C">
      <w:pPr>
        <w:spacing w:line="500" w:lineRule="exact"/>
        <w:rPr>
          <w:rFonts w:ascii="方正小标宋简体" w:eastAsia="方正小标宋简体"/>
          <w:sz w:val="28"/>
          <w:szCs w:val="28"/>
        </w:rPr>
      </w:pPr>
    </w:p>
    <w:p w14:paraId="75D90CD1">
      <w:pPr>
        <w:spacing w:line="500" w:lineRule="exact"/>
        <w:rPr>
          <w:rFonts w:ascii="方正小标宋简体" w:eastAsia="方正小标宋简体"/>
          <w:sz w:val="28"/>
          <w:szCs w:val="28"/>
        </w:rPr>
      </w:pPr>
    </w:p>
    <w:p w14:paraId="4239BC15">
      <w:pPr>
        <w:spacing w:line="500" w:lineRule="exact"/>
        <w:rPr>
          <w:rFonts w:ascii="方正小标宋简体" w:eastAsia="方正小标宋简体"/>
          <w:sz w:val="28"/>
          <w:szCs w:val="28"/>
        </w:rPr>
      </w:pPr>
    </w:p>
    <w:p w14:paraId="2FA11569"/>
    <w:p w14:paraId="5CEEE43E"/>
    <w:p w14:paraId="316AF571"/>
    <w:p w14:paraId="32F2047C"/>
    <w:p w14:paraId="7684782A">
      <w:r>
        <w:rPr>
          <w:rFonts w:hint="eastAsia"/>
        </w:rPr>
        <w:drawing>
          <wp:anchor distT="0" distB="0" distL="114300" distR="114300" simplePos="0" relativeHeight="251660288" behindDoc="0" locked="0" layoutInCell="1" allowOverlap="1">
            <wp:simplePos x="0" y="0"/>
            <wp:positionH relativeFrom="column">
              <wp:posOffset>-18415</wp:posOffset>
            </wp:positionH>
            <wp:positionV relativeFrom="paragraph">
              <wp:posOffset>37465</wp:posOffset>
            </wp:positionV>
            <wp:extent cx="5271135" cy="2583180"/>
            <wp:effectExtent l="19050" t="0" r="5715"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cstate="print"/>
                    <a:srcRect/>
                    <a:stretch>
                      <a:fillRect/>
                    </a:stretch>
                  </pic:blipFill>
                  <pic:spPr>
                    <a:xfrm>
                      <a:off x="0" y="0"/>
                      <a:ext cx="5271135" cy="2583180"/>
                    </a:xfrm>
                    <a:prstGeom prst="rect">
                      <a:avLst/>
                    </a:prstGeom>
                    <a:noFill/>
                    <a:ln w="9525">
                      <a:noFill/>
                      <a:miter lim="800000"/>
                      <a:headEnd/>
                      <a:tailEnd/>
                    </a:ln>
                  </pic:spPr>
                </pic:pic>
              </a:graphicData>
            </a:graphic>
          </wp:anchor>
        </w:drawing>
      </w:r>
    </w:p>
    <w:p w14:paraId="1BAFC7D7"/>
    <w:p w14:paraId="47ADBFD7"/>
    <w:p w14:paraId="69B6A43D">
      <w:r>
        <w:rPr>
          <w:rFonts w:hint="eastAsia"/>
        </w:rPr>
        <w:drawing>
          <wp:inline distT="0" distB="0" distL="0" distR="0">
            <wp:extent cx="5690235" cy="2816860"/>
            <wp:effectExtent l="19050" t="0" r="5316"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cstate="print"/>
                    <a:srcRect/>
                    <a:stretch>
                      <a:fillRect/>
                    </a:stretch>
                  </pic:blipFill>
                  <pic:spPr>
                    <a:xfrm>
                      <a:off x="0" y="0"/>
                      <a:ext cx="5692276" cy="2818101"/>
                    </a:xfrm>
                    <a:prstGeom prst="rect">
                      <a:avLst/>
                    </a:prstGeom>
                    <a:noFill/>
                    <a:ln w="9525">
                      <a:noFill/>
                      <a:miter lim="800000"/>
                      <a:headEnd/>
                      <a:tailEnd/>
                    </a:ln>
                  </pic:spPr>
                </pic:pic>
              </a:graphicData>
            </a:graphic>
          </wp:inline>
        </w:drawing>
      </w:r>
    </w:p>
    <w:p w14:paraId="727BDD87"/>
    <w:p w14:paraId="2D44F09F"/>
    <w:p w14:paraId="04403613"/>
    <w:p w14:paraId="60A0AD33"/>
    <w:p w14:paraId="1A660AF7">
      <w:r>
        <w:rPr>
          <w:rFonts w:hint="eastAsia"/>
        </w:rPr>
        <w:drawing>
          <wp:inline distT="0" distB="0" distL="0" distR="0">
            <wp:extent cx="5696585" cy="2987675"/>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cstate="print"/>
                    <a:srcRect/>
                    <a:stretch>
                      <a:fillRect/>
                    </a:stretch>
                  </pic:blipFill>
                  <pic:spPr>
                    <a:xfrm>
                      <a:off x="0" y="0"/>
                      <a:ext cx="5699203" cy="2988862"/>
                    </a:xfrm>
                    <a:prstGeom prst="rect">
                      <a:avLst/>
                    </a:prstGeom>
                    <a:noFill/>
                    <a:ln w="9525">
                      <a:noFill/>
                      <a:miter lim="800000"/>
                      <a:headEnd/>
                      <a:tailEnd/>
                    </a:ln>
                  </pic:spPr>
                </pic:pic>
              </a:graphicData>
            </a:graphic>
          </wp:inline>
        </w:drawing>
      </w:r>
    </w:p>
    <w:p w14:paraId="06B46E61"/>
    <w:p w14:paraId="273F86CC"/>
    <w:p w14:paraId="5829DA89"/>
    <w:p w14:paraId="76261BE6"/>
    <w:p w14:paraId="13B01F48"/>
    <w:p w14:paraId="29BDBBD1"/>
    <w:p w14:paraId="611C71CD"/>
    <w:p w14:paraId="39B4A6D9"/>
    <w:p w14:paraId="3E9DA13B"/>
    <w:p w14:paraId="1047068A">
      <w:r>
        <w:drawing>
          <wp:inline distT="0" distB="0" distL="0" distR="0">
            <wp:extent cx="5269230" cy="2817495"/>
            <wp:effectExtent l="19050" t="0" r="761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8" cstate="print"/>
                    <a:srcRect/>
                    <a:stretch>
                      <a:fillRect/>
                    </a:stretch>
                  </pic:blipFill>
                  <pic:spPr>
                    <a:xfrm>
                      <a:off x="0" y="0"/>
                      <a:ext cx="5274310" cy="2820339"/>
                    </a:xfrm>
                    <a:prstGeom prst="rect">
                      <a:avLst/>
                    </a:prstGeom>
                    <a:noFill/>
                    <a:ln w="9525">
                      <a:noFill/>
                      <a:miter lim="800000"/>
                      <a:headEnd/>
                      <a:tailEnd/>
                    </a:ln>
                  </pic:spPr>
                </pic:pic>
              </a:graphicData>
            </a:graphic>
          </wp:inline>
        </w:drawing>
      </w:r>
    </w:p>
    <w:p w14:paraId="6E45387A"/>
    <w:p w14:paraId="7D87DAA4"/>
    <w:p w14:paraId="48846E87"/>
    <w:p w14:paraId="17DA6BD9"/>
    <w:p w14:paraId="0B1838BE"/>
    <w:p w14:paraId="1157362F"/>
    <w:p w14:paraId="16EFA6BF"/>
    <w:p w14:paraId="7F8CBD0E"/>
    <w:p w14:paraId="55B56A52"/>
    <w:p w14:paraId="57CC1755"/>
    <w:p w14:paraId="1394E11C">
      <w:r>
        <w:drawing>
          <wp:inline distT="0" distB="0" distL="0" distR="0">
            <wp:extent cx="5274310" cy="6617335"/>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srcRect/>
                    <a:stretch>
                      <a:fillRect/>
                    </a:stretch>
                  </pic:blipFill>
                  <pic:spPr>
                    <a:xfrm>
                      <a:off x="0" y="0"/>
                      <a:ext cx="5274310" cy="6617714"/>
                    </a:xfrm>
                    <a:prstGeom prst="rect">
                      <a:avLst/>
                    </a:prstGeom>
                    <a:noFill/>
                    <a:ln w="9525">
                      <a:noFill/>
                      <a:miter lim="800000"/>
                      <a:headEnd/>
                      <a:tailEnd/>
                    </a:ln>
                  </pic:spPr>
                </pic:pic>
              </a:graphicData>
            </a:graphic>
          </wp:inline>
        </w:drawing>
      </w:r>
    </w:p>
    <w:p w14:paraId="1E546845"/>
    <w:p w14:paraId="34303B36"/>
    <w:p w14:paraId="07F0C15C"/>
    <w:p w14:paraId="3850F361"/>
    <w:p w14:paraId="1FEDAB4F"/>
    <w:p w14:paraId="7C671DA3"/>
    <w:p w14:paraId="1293B7FC"/>
    <w:p w14:paraId="31E4EAFB"/>
    <w:p w14:paraId="4C3F7E81"/>
    <w:p w14:paraId="22DF90EB"/>
    <w:p w14:paraId="109C72EE">
      <w:r>
        <w:drawing>
          <wp:inline distT="0" distB="0" distL="0" distR="0">
            <wp:extent cx="5626735" cy="2040255"/>
            <wp:effectExtent l="1905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 cstate="print"/>
                    <a:srcRect/>
                    <a:stretch>
                      <a:fillRect/>
                    </a:stretch>
                  </pic:blipFill>
                  <pic:spPr>
                    <a:xfrm>
                      <a:off x="0" y="0"/>
                      <a:ext cx="5636433" cy="2044328"/>
                    </a:xfrm>
                    <a:prstGeom prst="rect">
                      <a:avLst/>
                    </a:prstGeom>
                    <a:noFill/>
                    <a:ln w="9525">
                      <a:noFill/>
                      <a:miter lim="800000"/>
                      <a:headEnd/>
                      <a:tailEnd/>
                    </a:ln>
                  </pic:spPr>
                </pic:pic>
              </a:graphicData>
            </a:graphic>
          </wp:inline>
        </w:drawing>
      </w:r>
    </w:p>
    <w:p w14:paraId="66CD9764"/>
    <w:p w14:paraId="166276C4"/>
    <w:p w14:paraId="7C364E98"/>
    <w:p w14:paraId="32FC21F8"/>
    <w:p w14:paraId="6B40B6ED">
      <w:r>
        <w:drawing>
          <wp:inline distT="0" distB="0" distL="0" distR="0">
            <wp:extent cx="5849620" cy="1498600"/>
            <wp:effectExtent l="1905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1" cstate="print"/>
                    <a:srcRect/>
                    <a:stretch>
                      <a:fillRect/>
                    </a:stretch>
                  </pic:blipFill>
                  <pic:spPr>
                    <a:xfrm>
                      <a:off x="0" y="0"/>
                      <a:ext cx="5857453" cy="1500986"/>
                    </a:xfrm>
                    <a:prstGeom prst="rect">
                      <a:avLst/>
                    </a:prstGeom>
                    <a:noFill/>
                    <a:ln w="9525">
                      <a:noFill/>
                      <a:miter lim="800000"/>
                      <a:headEnd/>
                      <a:tailEnd/>
                    </a:ln>
                  </pic:spPr>
                </pic:pic>
              </a:graphicData>
            </a:graphic>
          </wp:inline>
        </w:drawing>
      </w:r>
    </w:p>
    <w:p w14:paraId="181AB9D9"/>
    <w:p w14:paraId="2EA52A91"/>
    <w:p w14:paraId="46656B9A"/>
    <w:p w14:paraId="1EE96A24"/>
    <w:p w14:paraId="194CD22C">
      <w:r>
        <w:drawing>
          <wp:inline distT="0" distB="0" distL="0" distR="0">
            <wp:extent cx="5849620" cy="1720215"/>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cstate="print"/>
                    <a:srcRect/>
                    <a:stretch>
                      <a:fillRect/>
                    </a:stretch>
                  </pic:blipFill>
                  <pic:spPr>
                    <a:xfrm>
                      <a:off x="0" y="0"/>
                      <a:ext cx="5871955" cy="1727265"/>
                    </a:xfrm>
                    <a:prstGeom prst="rect">
                      <a:avLst/>
                    </a:prstGeom>
                    <a:noFill/>
                    <a:ln w="9525">
                      <a:noFill/>
                      <a:miter lim="800000"/>
                      <a:headEnd/>
                      <a:tailEnd/>
                    </a:ln>
                  </pic:spPr>
                </pic:pic>
              </a:graphicData>
            </a:graphic>
          </wp:inline>
        </w:drawing>
      </w:r>
    </w:p>
    <w:p w14:paraId="36ACBD12"/>
    <w:p w14:paraId="4B036D04"/>
    <w:p w14:paraId="5C92FB5F"/>
    <w:p w14:paraId="79086759">
      <w:r>
        <w:drawing>
          <wp:inline distT="0" distB="0" distL="0" distR="0">
            <wp:extent cx="5274310" cy="8348980"/>
            <wp:effectExtent l="1905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 cstate="print"/>
                    <a:srcRect/>
                    <a:stretch>
                      <a:fillRect/>
                    </a:stretch>
                  </pic:blipFill>
                  <pic:spPr>
                    <a:xfrm>
                      <a:off x="0" y="0"/>
                      <a:ext cx="5274310" cy="8349421"/>
                    </a:xfrm>
                    <a:prstGeom prst="rect">
                      <a:avLst/>
                    </a:prstGeom>
                    <a:noFill/>
                    <a:ln w="9525">
                      <a:noFill/>
                      <a:miter lim="800000"/>
                      <a:headEnd/>
                      <a:tailEnd/>
                    </a:ln>
                  </pic:spPr>
                </pic:pic>
              </a:graphicData>
            </a:graphic>
          </wp:inline>
        </w:drawing>
      </w:r>
    </w:p>
    <w:p w14:paraId="48F30278"/>
    <w:p w14:paraId="6937E3F2">
      <w:pPr>
        <w:spacing w:line="500" w:lineRule="exact"/>
        <w:jc w:val="center"/>
        <w:rPr>
          <w:rFonts w:ascii="方正小标宋简体" w:eastAsia="方正小标宋简体"/>
          <w:sz w:val="28"/>
          <w:szCs w:val="28"/>
        </w:rPr>
      </w:pPr>
      <w:r>
        <w:rPr>
          <w:rFonts w:hint="eastAsia" w:ascii="方正小标宋简体" w:eastAsia="方正小标宋简体"/>
          <w:sz w:val="28"/>
          <w:szCs w:val="28"/>
        </w:rPr>
        <w:t>第三部分  南昌市青山湖区住房保障中心单位2025年单位预算情况说明</w:t>
      </w:r>
    </w:p>
    <w:p w14:paraId="366A0E65">
      <w:pPr>
        <w:spacing w:line="500" w:lineRule="exact"/>
        <w:ind w:firstLine="560" w:firstLineChars="200"/>
        <w:rPr>
          <w:rFonts w:ascii="仿宋_GB2312" w:eastAsia="仿宋_GB2312"/>
          <w:sz w:val="28"/>
          <w:szCs w:val="28"/>
        </w:rPr>
      </w:pPr>
    </w:p>
    <w:p w14:paraId="17E8198A">
      <w:pPr>
        <w:spacing w:line="500" w:lineRule="exact"/>
        <w:ind w:firstLine="560" w:firstLineChars="200"/>
        <w:rPr>
          <w:rFonts w:ascii="黑体" w:eastAsia="黑体"/>
          <w:sz w:val="28"/>
          <w:szCs w:val="28"/>
        </w:rPr>
      </w:pPr>
      <w:r>
        <w:rPr>
          <w:rFonts w:hint="eastAsia" w:ascii="黑体" w:eastAsia="黑体"/>
          <w:sz w:val="28"/>
          <w:szCs w:val="28"/>
        </w:rPr>
        <w:t>一、2025年单位预算收支情况说明</w:t>
      </w:r>
    </w:p>
    <w:p w14:paraId="08AC2E47">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(一)收入预算情况</w:t>
      </w:r>
    </w:p>
    <w:p w14:paraId="3DF416A1">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保障中心单位收入预算总额为364.73万元，较上年增加37.43万元，增长11.4%,主要原因是2025年度新增一名编制人员和其他收入增加。其中：财政拨款收入314.73万元，较上年预算安排增加17.43万元，主要原因是2025年度新增一名编制人员;教育收费资金收入0万元，较上年预算安排增加0万元，主要原因是无;事业收入0万元，较上年预算安排增加0万元，主要原因是无;事业单位经营收入0万元，较上年预算安排增加0万元，主要原因是无;附属单位上缴收入0万元，较上年预算安排增加0万元，主要原因是无;上级补助收入0万元，较上年预算安排增加0万元，主要原因是无;其他收入50万元，较上年预算安排增加20万元，主要原因是其他资金余额增加; 使用非财政拨款结余0万元，较上年预算安排增加0万元，主要原因是无非财政拨款结余;上年结转(结余)0万元，较上年预算安排增加0万元，主要原因是无上年结转(结余)。</w:t>
      </w:r>
    </w:p>
    <w:p w14:paraId="6865A5B6">
      <w:pPr>
        <w:spacing w:line="500" w:lineRule="exact"/>
        <w:ind w:firstLine="562" w:firstLineChars="200"/>
        <w:rPr>
          <w:rFonts w:ascii="仿宋_GB2312" w:eastAsia="仿宋_GB2312"/>
          <w:b/>
          <w:sz w:val="28"/>
          <w:szCs w:val="28"/>
        </w:rPr>
      </w:pPr>
      <w:r>
        <w:rPr>
          <w:rFonts w:hint="eastAsia" w:ascii="仿宋_GB2312" w:eastAsia="仿宋_GB2312"/>
          <w:b/>
          <w:sz w:val="28"/>
          <w:szCs w:val="28"/>
        </w:rPr>
        <w:t xml:space="preserve"> (二)支出预算情况</w:t>
      </w:r>
    </w:p>
    <w:p w14:paraId="34F7924B">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2025年区保障中心单位支出预算总额为364.73万元，较上年增加37.43万元，增长11.4%,主要原因是2025年度新增一名编制人员。</w:t>
      </w:r>
    </w:p>
    <w:p w14:paraId="6EF061CA">
      <w:pPr>
        <w:spacing w:line="500" w:lineRule="exact"/>
        <w:ind w:firstLine="560" w:firstLineChars="200"/>
        <w:rPr>
          <w:rFonts w:ascii="仿宋_GB2312" w:eastAsia="仿宋_GB2312"/>
          <w:sz w:val="28"/>
          <w:szCs w:val="28"/>
        </w:rPr>
      </w:pPr>
      <w:r>
        <w:rPr>
          <w:rFonts w:hint="eastAsia" w:ascii="仿宋_GB2312" w:eastAsia="仿宋_GB2312"/>
          <w:sz w:val="28"/>
          <w:szCs w:val="28"/>
        </w:rPr>
        <w:t>其中：按支出项目类别划分：基本支出354.33万元，较上年预算安排增加40.03万元，主要原因是2025年度新增一名编制人员和项目支出;其中：工资福利支出278.89万元、商品和服务支出72.74万元、对个人和家庭的补助2.7万元、资本性支出0万元；项目支出10.4万元，较上年预算安排减少2.6万元，主要原因是削减财政开支;其中：工资福利支出0万元、商品和服务支出10.4万元、对个人和家庭的补助0万元、债务利息及费用支出0万元、资本性支出(基本建设)0万元，资本性支出0万元，对企业补助0万元，其他支出0万元。</w:t>
      </w:r>
    </w:p>
    <w:p w14:paraId="2516225E">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按支出功能科目划分：城乡社区支出364.73万元，较上年预算安排增加37.43万元，主要原因是新增人员经费;外交0万元，较上年预算安排增加0万元，主要原因是无外交支出。</w:t>
      </w:r>
    </w:p>
    <w:p w14:paraId="1E0E85D8">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按支出经济分类划分：工资福利支出278.89万元，较上年预算安排增加19.57万元，主要原因是新增人员经费;商品和服务支出83.14万元，较上年预算安排增加17.6万元，主要原因是项目支出需求增加; 对个人和家庭的补助2.7万元，较上年预算安排增加0.26万元，主要原因是遗属生活补助标准增加。。</w:t>
      </w:r>
    </w:p>
    <w:p w14:paraId="2C93BF87">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 xml:space="preserve"> (三)财政拨款支出情况</w:t>
      </w:r>
    </w:p>
    <w:p w14:paraId="6206AFFD">
      <w:pPr>
        <w:spacing w:line="500" w:lineRule="exact"/>
        <w:ind w:firstLine="560" w:firstLineChars="200"/>
        <w:rPr>
          <w:rFonts w:ascii="仿宋_GB2312" w:eastAsia="仿宋_GB2312"/>
          <w:sz w:val="28"/>
          <w:szCs w:val="28"/>
        </w:rPr>
      </w:pPr>
      <w:r>
        <w:rPr>
          <w:rFonts w:hint="eastAsia" w:ascii="仿宋_GB2312" w:eastAsia="仿宋_GB2312"/>
          <w:sz w:val="28"/>
          <w:szCs w:val="28"/>
        </w:rPr>
        <w:t>2025年区住房保障中心财政拨款支出预算314.73万元，较上年增加增加17.43万元，上升5.8%,主要原因是2025年人员经费支出增加。</w:t>
      </w:r>
    </w:p>
    <w:p w14:paraId="64235B7C">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按支出功能科目划分：城乡社区支出314.73万元，较上年预算安排增加17.43万元，主要原因是2025年人员经费支出增加。</w:t>
      </w:r>
    </w:p>
    <w:p w14:paraId="5CEE84DF">
      <w:pPr>
        <w:spacing w:line="500" w:lineRule="exact"/>
        <w:ind w:firstLine="560" w:firstLineChars="200"/>
        <w:rPr>
          <w:rFonts w:ascii="仿宋_GB2312" w:eastAsia="仿宋_GB2312"/>
          <w:sz w:val="28"/>
          <w:szCs w:val="28"/>
        </w:rPr>
      </w:pPr>
      <w:r>
        <w:rPr>
          <w:rFonts w:hint="eastAsia" w:ascii="仿宋_GB2312" w:eastAsia="仿宋_GB2312"/>
          <w:sz w:val="28"/>
          <w:szCs w:val="28"/>
        </w:rPr>
        <w:t>按支出项目类别划分：基本支出304.33万元，较上年预算安排增加20.03万元，主要原因是2025年度新增一名编制人员;其中：工资福利支出278.89万元、商品和服务支出22.74万元、对个人和家庭的补助2.7万元、资本性支出0万元；项目支出10.4万元，较上年预算安排减少2.6万元，主要原因是削减财政开支;其中：工资福利支出0万元、商品和服务支出10.4万元、对个人和家庭的补助0万元、债务利息及费用支出0万元、资本性支出(基本建设)0万元，资本性支出0万元，对企业补助0万元，其他支出0万元。</w:t>
      </w:r>
    </w:p>
    <w:p w14:paraId="55BE3E31">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 xml:space="preserve"> (四)政府性基金情况</w:t>
      </w:r>
    </w:p>
    <w:p w14:paraId="29548C8F">
      <w:pPr>
        <w:spacing w:line="500" w:lineRule="exact"/>
        <w:ind w:firstLine="560" w:firstLineChars="200"/>
        <w:rPr>
          <w:rFonts w:ascii="仿宋_GB2312" w:eastAsia="仿宋_GB2312"/>
          <w:bCs/>
          <w:sz w:val="28"/>
          <w:szCs w:val="28"/>
        </w:rPr>
      </w:pPr>
      <w:r>
        <w:rPr>
          <w:rFonts w:hint="eastAsia" w:ascii="仿宋_GB2312" w:eastAsia="仿宋_GB2312"/>
          <w:bCs/>
          <w:sz w:val="28"/>
          <w:szCs w:val="28"/>
        </w:rPr>
        <w:t>本单位没有使用政府性基金预算拨款安排的支出</w:t>
      </w:r>
    </w:p>
    <w:p w14:paraId="1EF45F09">
      <w:pPr>
        <w:numPr>
          <w:ilvl w:val="0"/>
          <w:numId w:val="1"/>
        </w:num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国有资本经营情况</w:t>
      </w:r>
    </w:p>
    <w:p w14:paraId="0FF05359">
      <w:pPr>
        <w:spacing w:line="500" w:lineRule="exact"/>
        <w:ind w:firstLine="560" w:firstLineChars="200"/>
        <w:rPr>
          <w:rFonts w:ascii="仿宋_GB2312" w:eastAsia="仿宋_GB2312"/>
          <w:sz w:val="28"/>
          <w:szCs w:val="28"/>
        </w:rPr>
      </w:pPr>
      <w:r>
        <w:rPr>
          <w:rFonts w:hint="eastAsia" w:ascii="仿宋_GB2312" w:eastAsia="仿宋_GB2312"/>
          <w:sz w:val="28"/>
          <w:szCs w:val="28"/>
        </w:rPr>
        <w:t>本单位没有使用国有资本经营预算拨款安排的支出</w:t>
      </w:r>
    </w:p>
    <w:p w14:paraId="7311DC40">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(六)机关运行经费等重要情况说明</w:t>
      </w:r>
    </w:p>
    <w:p w14:paraId="4D8F2EC5">
      <w:pPr>
        <w:spacing w:line="500" w:lineRule="exact"/>
        <w:ind w:firstLine="560" w:firstLineChars="200"/>
        <w:rPr>
          <w:rFonts w:ascii="仿宋_GB2312" w:eastAsia="仿宋_GB2312"/>
          <w:sz w:val="28"/>
          <w:szCs w:val="28"/>
        </w:rPr>
      </w:pPr>
      <w:r>
        <w:rPr>
          <w:rFonts w:hint="eastAsia" w:ascii="仿宋_GB2312" w:eastAsia="仿宋_GB2312"/>
          <w:sz w:val="28"/>
          <w:szCs w:val="28"/>
        </w:rPr>
        <w:t>本单位非行政参公单位，无机关运行经费</w:t>
      </w:r>
    </w:p>
    <w:p w14:paraId="478CD9FE">
      <w:pPr>
        <w:spacing w:line="500" w:lineRule="exact"/>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sz w:val="28"/>
          <w:szCs w:val="28"/>
        </w:rPr>
        <w:t>(七)政府采购情况说明</w:t>
      </w:r>
    </w:p>
    <w:p w14:paraId="3C182A3C">
      <w:pPr>
        <w:spacing w:line="500" w:lineRule="exact"/>
        <w:ind w:firstLine="560" w:firstLineChars="200"/>
        <w:rPr>
          <w:rFonts w:ascii="仿宋_GB2312" w:eastAsia="仿宋_GB2312"/>
          <w:sz w:val="28"/>
          <w:szCs w:val="28"/>
        </w:rPr>
      </w:pPr>
      <w:r>
        <w:rPr>
          <w:rFonts w:hint="eastAsia" w:ascii="仿宋_GB2312" w:eastAsia="仿宋_GB2312"/>
          <w:sz w:val="28"/>
          <w:szCs w:val="28"/>
        </w:rPr>
        <w:t>2025年单位所属各单位政府采购预算总额0万元。其中，政府采购货物预算0万元，政府采购工程预算0万元，政府采购服务预算0万元。</w:t>
      </w:r>
    </w:p>
    <w:p w14:paraId="41952330">
      <w:pPr>
        <w:widowControl/>
        <w:spacing w:line="500" w:lineRule="exact"/>
        <w:ind w:firstLine="562" w:firstLineChars="200"/>
        <w:jc w:val="left"/>
        <w:rPr>
          <w:rFonts w:ascii="楷体_GB2312" w:hAnsi="楷体_GB2312" w:eastAsia="楷体_GB2312" w:cs="楷体_GB2312"/>
          <w:b/>
          <w:sz w:val="28"/>
          <w:szCs w:val="28"/>
        </w:rPr>
      </w:pPr>
      <w:r>
        <w:rPr>
          <w:rFonts w:hint="eastAsia" w:ascii="楷体_GB2312" w:hAnsi="楷体_GB2312" w:eastAsia="楷体_GB2312" w:cs="楷体_GB2312"/>
          <w:b/>
          <w:sz w:val="28"/>
          <w:szCs w:val="28"/>
        </w:rPr>
        <w:t>(八)国有资产占有使用情况</w:t>
      </w:r>
    </w:p>
    <w:p w14:paraId="3671A500">
      <w:pPr>
        <w:spacing w:line="500" w:lineRule="exact"/>
        <w:ind w:firstLine="560" w:firstLineChars="200"/>
        <w:rPr>
          <w:rFonts w:ascii="仿宋_GB2312" w:eastAsia="仿宋_GB2312"/>
          <w:sz w:val="28"/>
          <w:szCs w:val="28"/>
        </w:rPr>
      </w:pPr>
      <w:r>
        <w:rPr>
          <w:rFonts w:hint="eastAsia" w:ascii="仿宋_GB2312" w:eastAsia="仿宋_GB2312"/>
          <w:sz w:val="28"/>
          <w:szCs w:val="28"/>
        </w:rPr>
        <w:t>截至2023年7月31日，单位共有车辆0辆，其中，一般公务用车实有数0辆。</w:t>
      </w:r>
    </w:p>
    <w:p w14:paraId="330AA4C1">
      <w:pPr>
        <w:spacing w:line="500" w:lineRule="exact"/>
        <w:ind w:firstLine="560" w:firstLineChars="200"/>
        <w:rPr>
          <w:rFonts w:ascii="仿宋_GB2312" w:eastAsia="仿宋_GB2312"/>
          <w:sz w:val="28"/>
          <w:szCs w:val="28"/>
        </w:rPr>
      </w:pPr>
      <w:r>
        <w:rPr>
          <w:rFonts w:hint="eastAsia" w:ascii="仿宋_GB2312" w:eastAsia="仿宋_GB2312"/>
          <w:sz w:val="28"/>
          <w:szCs w:val="28"/>
        </w:rPr>
        <w:t>2025年单位预算安排购置车辆0辆，安排购置单位价值200万元以上大型设备0万元.</w:t>
      </w:r>
    </w:p>
    <w:p w14:paraId="55C55C7C">
      <w:pPr>
        <w:widowControl/>
        <w:spacing w:line="500" w:lineRule="exact"/>
        <w:ind w:firstLine="562" w:firstLineChars="200"/>
        <w:jc w:val="left"/>
        <w:rPr>
          <w:rFonts w:ascii="楷体_GB2312" w:hAnsi="楷体_GB2312" w:eastAsia="楷体_GB2312" w:cs="楷体_GB2312"/>
          <w:b/>
          <w:sz w:val="28"/>
          <w:szCs w:val="28"/>
        </w:rPr>
      </w:pPr>
      <w:r>
        <w:rPr>
          <w:rFonts w:hint="eastAsia" w:ascii="楷体_GB2312" w:hAnsi="楷体_GB2312" w:eastAsia="楷体_GB2312" w:cs="楷体_GB2312"/>
          <w:b/>
          <w:sz w:val="28"/>
          <w:szCs w:val="28"/>
        </w:rPr>
        <w:t xml:space="preserve"> (九)</w:t>
      </w:r>
      <w:r>
        <w:rPr>
          <w:rFonts w:hint="eastAsia"/>
        </w:rPr>
        <w:t xml:space="preserve"> </w:t>
      </w:r>
      <w:r>
        <w:rPr>
          <w:rFonts w:hint="eastAsia" w:ascii="楷体_GB2312" w:hAnsi="楷体_GB2312" w:eastAsia="楷体_GB2312" w:cs="楷体_GB2312"/>
          <w:b/>
          <w:sz w:val="28"/>
          <w:szCs w:val="28"/>
        </w:rPr>
        <w:t>保障中心公房管理和维修工作经费项目情况说明</w:t>
      </w:r>
    </w:p>
    <w:p w14:paraId="4F3A569E">
      <w:pPr>
        <w:widowControl/>
        <w:spacing w:line="5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1、直管公房管理和维修工作经费项目：</w:t>
      </w:r>
    </w:p>
    <w:p w14:paraId="7CD1723B">
      <w:pPr>
        <w:spacing w:line="500" w:lineRule="exact"/>
        <w:ind w:firstLine="840" w:firstLineChars="300"/>
        <w:jc w:val="left"/>
        <w:rPr>
          <w:rFonts w:ascii="仿宋_GB2312" w:eastAsia="仿宋_GB2312"/>
          <w:sz w:val="28"/>
          <w:szCs w:val="28"/>
        </w:rPr>
      </w:pPr>
      <w:r>
        <w:rPr>
          <w:rFonts w:hint="eastAsia" w:ascii="仿宋_GB2312" w:eastAsia="仿宋_GB2312"/>
          <w:sz w:val="28"/>
          <w:szCs w:val="28"/>
        </w:rPr>
        <w:t>1）项目概述</w:t>
      </w:r>
    </w:p>
    <w:p w14:paraId="59C7CD4C">
      <w:pPr>
        <w:spacing w:line="500" w:lineRule="exact"/>
        <w:ind w:firstLine="560" w:firstLineChars="200"/>
        <w:rPr>
          <w:rFonts w:ascii="仿宋_GB2312" w:eastAsia="仿宋_GB2312"/>
          <w:sz w:val="28"/>
          <w:szCs w:val="28"/>
        </w:rPr>
      </w:pPr>
      <w:r>
        <w:rPr>
          <w:rFonts w:hint="eastAsia" w:ascii="仿宋_GB2312" w:eastAsia="仿宋_GB2312"/>
          <w:sz w:val="28"/>
          <w:szCs w:val="28"/>
        </w:rPr>
        <w:t>2025年度南昌市青山湖区住房保障中心在部门预算批复说明下，获得了</w:t>
      </w:r>
      <w:r>
        <w:rPr>
          <w:rFonts w:hint="eastAsia" w:ascii="仿宋_GB2312" w:hAnsi="仿宋_GB2312" w:eastAsia="仿宋_GB2312" w:cs="仿宋_GB2312"/>
          <w:sz w:val="28"/>
          <w:szCs w:val="28"/>
        </w:rPr>
        <w:t>直管公房管理和维修工作经费10.4</w:t>
      </w:r>
      <w:r>
        <w:rPr>
          <w:rFonts w:hint="eastAsia" w:ascii="仿宋_GB2312" w:eastAsia="仿宋_GB2312"/>
          <w:sz w:val="28"/>
          <w:szCs w:val="28"/>
        </w:rPr>
        <w:t>万元，主要用于完成直管公房房改及维修工作；协调优化物业纠纷、排除物业消防安全隐患、指导业主委员会筹备工作，践行群众路线，一心为民,办好事办实事。</w:t>
      </w:r>
    </w:p>
    <w:p w14:paraId="7D0F479D">
      <w:pPr>
        <w:spacing w:line="500" w:lineRule="exact"/>
        <w:ind w:firstLine="560" w:firstLineChars="200"/>
        <w:rPr>
          <w:rFonts w:ascii="仿宋_GB2312" w:eastAsia="仿宋_GB2312"/>
          <w:sz w:val="28"/>
          <w:szCs w:val="28"/>
        </w:rPr>
      </w:pPr>
      <w:r>
        <w:rPr>
          <w:rFonts w:hint="eastAsia" w:ascii="仿宋_GB2312" w:eastAsia="仿宋_GB2312"/>
          <w:sz w:val="28"/>
          <w:szCs w:val="28"/>
        </w:rPr>
        <w:t>2)立项依据</w:t>
      </w:r>
    </w:p>
    <w:p w14:paraId="079B86A1">
      <w:pPr>
        <w:spacing w:line="500" w:lineRule="exact"/>
        <w:ind w:firstLine="840" w:firstLineChars="300"/>
        <w:rPr>
          <w:rFonts w:ascii="仿宋_GB2312" w:eastAsia="仿宋_GB2312"/>
          <w:sz w:val="28"/>
          <w:szCs w:val="28"/>
        </w:rPr>
      </w:pPr>
      <w:r>
        <w:rPr>
          <w:rFonts w:hint="eastAsia" w:ascii="仿宋_GB2312" w:eastAsia="仿宋_GB2312"/>
          <w:sz w:val="28"/>
          <w:szCs w:val="28"/>
        </w:rPr>
        <w:t>根据单位实际运转设立项目运转成本。</w:t>
      </w:r>
    </w:p>
    <w:p w14:paraId="7ADB3600">
      <w:pPr>
        <w:spacing w:line="500" w:lineRule="exact"/>
        <w:ind w:firstLine="700" w:firstLineChars="250"/>
        <w:rPr>
          <w:rFonts w:ascii="仿宋_GB2312" w:eastAsia="仿宋_GB2312"/>
          <w:sz w:val="28"/>
          <w:szCs w:val="28"/>
        </w:rPr>
      </w:pPr>
      <w:r>
        <w:rPr>
          <w:rFonts w:hint="eastAsia" w:ascii="仿宋_GB2312" w:eastAsia="仿宋_GB2312"/>
          <w:sz w:val="28"/>
          <w:szCs w:val="28"/>
        </w:rPr>
        <w:t>3）实施主体：青山湖区住房保障中心</w:t>
      </w:r>
    </w:p>
    <w:p w14:paraId="34DE72B0">
      <w:pPr>
        <w:spacing w:line="500" w:lineRule="exact"/>
        <w:ind w:firstLine="700" w:firstLineChars="250"/>
        <w:rPr>
          <w:rFonts w:ascii="仿宋_GB2312" w:eastAsia="仿宋_GB2312"/>
          <w:sz w:val="28"/>
          <w:szCs w:val="28"/>
        </w:rPr>
      </w:pPr>
      <w:r>
        <w:rPr>
          <w:rFonts w:hint="eastAsia" w:ascii="仿宋_GB2312" w:eastAsia="仿宋_GB2312"/>
          <w:sz w:val="28"/>
          <w:szCs w:val="28"/>
        </w:rPr>
        <w:t>4)实施方案：单位按照工作流程进度按时完成工作。</w:t>
      </w:r>
    </w:p>
    <w:p w14:paraId="54C498D9">
      <w:pPr>
        <w:spacing w:line="500" w:lineRule="exact"/>
        <w:ind w:left="700"/>
        <w:jc w:val="left"/>
        <w:rPr>
          <w:rFonts w:ascii="仿宋_GB2312" w:eastAsia="仿宋_GB2312"/>
          <w:sz w:val="28"/>
          <w:szCs w:val="28"/>
        </w:rPr>
      </w:pPr>
      <w:r>
        <w:rPr>
          <w:rFonts w:hint="eastAsia" w:ascii="仿宋_GB2312" w:eastAsia="仿宋_GB2312"/>
          <w:sz w:val="28"/>
          <w:szCs w:val="28"/>
        </w:rPr>
        <w:t>5）实施周期：2025.01.01-2025.12.31</w:t>
      </w:r>
    </w:p>
    <w:p w14:paraId="125D5747">
      <w:pPr>
        <w:spacing w:line="500" w:lineRule="exact"/>
        <w:ind w:firstLine="560" w:firstLineChars="200"/>
        <w:rPr>
          <w:rFonts w:ascii="仿宋_GB2312" w:eastAsia="仿宋_GB2312"/>
          <w:sz w:val="28"/>
          <w:szCs w:val="28"/>
        </w:rPr>
      </w:pPr>
      <w:r>
        <w:rPr>
          <w:rFonts w:hint="eastAsia" w:ascii="仿宋_GB2312" w:eastAsia="仿宋_GB2312"/>
          <w:sz w:val="28"/>
          <w:szCs w:val="28"/>
        </w:rPr>
        <w:t xml:space="preserve"> 6）年度预算安排：安排预算10.4万元，主要用于直管公房房改及维修工作；协调优化物业纠纷、排除物业消防安全隐患、指导业主委员会筹备工作，践行群众路线，一心为民,办好事办实事。</w:t>
      </w:r>
    </w:p>
    <w:p w14:paraId="34B74930">
      <w:pPr>
        <w:widowControl/>
        <w:spacing w:line="500" w:lineRule="exact"/>
        <w:ind w:firstLine="560" w:firstLineChars="200"/>
        <w:jc w:val="left"/>
        <w:rPr>
          <w:rFonts w:ascii="黑体" w:eastAsia="黑体"/>
          <w:sz w:val="28"/>
          <w:szCs w:val="28"/>
        </w:rPr>
      </w:pPr>
      <w:r>
        <w:rPr>
          <w:rFonts w:hint="eastAsia" w:ascii="黑体" w:eastAsia="黑体"/>
          <w:sz w:val="28"/>
          <w:szCs w:val="28"/>
        </w:rPr>
        <w:t>二、2025年“三公”经费预算情况说明</w:t>
      </w:r>
    </w:p>
    <w:p w14:paraId="04C20498">
      <w:pPr>
        <w:spacing w:line="500" w:lineRule="exact"/>
        <w:ind w:firstLine="560" w:firstLineChars="200"/>
        <w:rPr>
          <w:rFonts w:ascii="仿宋_GB2312" w:eastAsia="仿宋_GB2312"/>
          <w:sz w:val="28"/>
          <w:szCs w:val="28"/>
        </w:rPr>
      </w:pPr>
      <w:r>
        <w:rPr>
          <w:rFonts w:hint="eastAsia" w:ascii="仿宋_GB2312" w:eastAsia="仿宋_GB2312"/>
          <w:sz w:val="28"/>
          <w:szCs w:val="28"/>
        </w:rPr>
        <w:t>2024年青山湖区住房保障中心“三公”经费财政拨款安排0万元。其中：</w:t>
      </w:r>
    </w:p>
    <w:p w14:paraId="4B4E045A">
      <w:pPr>
        <w:spacing w:line="500" w:lineRule="exact"/>
        <w:ind w:firstLine="560" w:firstLineChars="200"/>
        <w:rPr>
          <w:rFonts w:ascii="仿宋_GB2312" w:eastAsia="仿宋_GB2312"/>
          <w:sz w:val="28"/>
          <w:szCs w:val="28"/>
        </w:rPr>
      </w:pPr>
      <w:r>
        <w:rPr>
          <w:rFonts w:hint="eastAsia" w:ascii="仿宋_GB2312" w:eastAsia="仿宋_GB2312"/>
          <w:sz w:val="28"/>
          <w:szCs w:val="28"/>
        </w:rPr>
        <w:t>1.因公出国(境)经费0万元，比上年增加/减少0万元。主要原因与上年保持一致。</w:t>
      </w:r>
    </w:p>
    <w:p w14:paraId="5CEF1DC5">
      <w:pPr>
        <w:spacing w:line="500" w:lineRule="exact"/>
        <w:ind w:firstLine="560" w:firstLineChars="200"/>
        <w:rPr>
          <w:rFonts w:ascii="仿宋_GB2312" w:eastAsia="仿宋_GB2312"/>
          <w:sz w:val="28"/>
          <w:szCs w:val="28"/>
        </w:rPr>
      </w:pPr>
      <w:r>
        <w:rPr>
          <w:rFonts w:hint="eastAsia" w:ascii="仿宋_GB2312" w:eastAsia="仿宋_GB2312"/>
          <w:sz w:val="28"/>
          <w:szCs w:val="28"/>
        </w:rPr>
        <w:t>2.公务接待费0万元，比上年增加/减少0万元。主要原因是与上年保持一致。</w:t>
      </w:r>
    </w:p>
    <w:p w14:paraId="2E6234BB">
      <w:pPr>
        <w:spacing w:line="500" w:lineRule="exact"/>
        <w:ind w:firstLine="560" w:firstLineChars="200"/>
        <w:rPr>
          <w:rFonts w:ascii="仿宋_GB2312" w:eastAsia="仿宋_GB2312"/>
          <w:sz w:val="28"/>
          <w:szCs w:val="28"/>
        </w:rPr>
      </w:pPr>
      <w:r>
        <w:rPr>
          <w:rFonts w:hint="eastAsia" w:ascii="仿宋_GB2312" w:eastAsia="仿宋_GB2312"/>
          <w:sz w:val="28"/>
          <w:szCs w:val="28"/>
        </w:rPr>
        <w:t>3.公务用车运行维护费0万元，比上年增加/减少0万元。主要原因与上年保持一致。</w:t>
      </w:r>
    </w:p>
    <w:p w14:paraId="42CF87AD">
      <w:pPr>
        <w:spacing w:line="500" w:lineRule="exact"/>
        <w:ind w:firstLine="560" w:firstLineChars="200"/>
        <w:rPr>
          <w:rFonts w:ascii="仿宋_GB2312" w:eastAsia="仿宋_GB2312"/>
          <w:sz w:val="28"/>
          <w:szCs w:val="28"/>
        </w:rPr>
      </w:pPr>
      <w:r>
        <w:rPr>
          <w:rFonts w:hint="eastAsia" w:ascii="仿宋_GB2312" w:eastAsia="仿宋_GB2312"/>
          <w:sz w:val="28"/>
          <w:szCs w:val="28"/>
        </w:rPr>
        <w:t>4.公务用车购置费0万元，比上年增加/减少0万元。主要原因与上年保持一致。</w:t>
      </w:r>
    </w:p>
    <w:p w14:paraId="3047CAFE">
      <w:pPr>
        <w:spacing w:line="500" w:lineRule="exact"/>
        <w:jc w:val="center"/>
        <w:rPr>
          <w:rFonts w:ascii="方正小标宋简体" w:eastAsia="方正小标宋简体"/>
          <w:sz w:val="28"/>
          <w:szCs w:val="28"/>
        </w:rPr>
      </w:pPr>
      <w:r>
        <w:rPr>
          <w:rFonts w:hint="eastAsia" w:ascii="方正小标宋简体" w:eastAsia="方正小标宋简体"/>
          <w:sz w:val="28"/>
          <w:szCs w:val="28"/>
        </w:rPr>
        <w:t>第四部分  名词解释</w:t>
      </w:r>
    </w:p>
    <w:p w14:paraId="2CA70F14">
      <w:pPr>
        <w:spacing w:line="500" w:lineRule="exact"/>
        <w:ind w:firstLine="560" w:firstLineChars="200"/>
        <w:rPr>
          <w:rFonts w:ascii="仿宋_GB2312" w:eastAsia="仿宋_GB2312"/>
          <w:sz w:val="28"/>
          <w:szCs w:val="28"/>
        </w:rPr>
      </w:pPr>
    </w:p>
    <w:p w14:paraId="23FD540B">
      <w:pPr>
        <w:widowControl/>
        <w:spacing w:line="500" w:lineRule="exact"/>
        <w:ind w:firstLine="560" w:firstLineChars="200"/>
        <w:jc w:val="left"/>
        <w:rPr>
          <w:rFonts w:ascii="黑体" w:eastAsia="黑体"/>
          <w:sz w:val="28"/>
          <w:szCs w:val="28"/>
        </w:rPr>
      </w:pPr>
      <w:r>
        <w:rPr>
          <w:rFonts w:hint="eastAsia" w:ascii="黑体" w:eastAsia="黑体"/>
          <w:sz w:val="28"/>
          <w:szCs w:val="28"/>
        </w:rPr>
        <w:t>一、收入科目</w:t>
      </w:r>
    </w:p>
    <w:p w14:paraId="6DE90E61">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(一)财政拨款：指市级财政当年拨付的资金。</w:t>
      </w:r>
    </w:p>
    <w:p w14:paraId="58508782">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(二)教育收费资金收入：指实行专项管理的高中以上学费、住宿费，高校委托培养费，函大、电大、夜大及短训班培训费等教育收费取得的收入。</w:t>
      </w:r>
    </w:p>
    <w:p w14:paraId="30029A04">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(三)事业收入：指事业单位开展专业业务活动及辅助活动取得的收入。</w:t>
      </w:r>
    </w:p>
    <w:p w14:paraId="1BCDA6D9">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(四)事业单位经营收入：指事业单位在专业业务活动及辅助活动之外开展非独立核算经营活动取得的收入。</w:t>
      </w:r>
    </w:p>
    <w:p w14:paraId="0442DC9E">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(五)附属单位上缴收入：指事业单位附属的独立核算单位按规定标准或比例缴纳的各项收入。包括附属的事业单位上缴的收入和附属的企业上缴的利润等。</w:t>
      </w:r>
    </w:p>
    <w:p w14:paraId="62C91EED">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(六)上级补助收入：指事业单位从主管部门和上级单位取得的非财政补助收入。</w:t>
      </w:r>
    </w:p>
    <w:p w14:paraId="3FF8784D">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(七)其他收入：指除财政拨款、事业收入、事业单位经营收入等以外的各项收入。</w:t>
      </w:r>
    </w:p>
    <w:p w14:paraId="3327F26F">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(八)使用非财政拨款结余：指历年滚存非限定用途的非财政拨款结余弥补本年度收支差额的数额。</w:t>
      </w:r>
    </w:p>
    <w:p w14:paraId="0614B437">
      <w:pPr>
        <w:widowControl/>
        <w:spacing w:line="500" w:lineRule="exact"/>
        <w:ind w:firstLine="560" w:firstLineChars="200"/>
        <w:rPr>
          <w:rFonts w:ascii="仿宋_GB2312" w:eastAsia="仿宋_GB2312"/>
          <w:sz w:val="28"/>
          <w:szCs w:val="28"/>
        </w:rPr>
      </w:pPr>
      <w:r>
        <w:rPr>
          <w:rFonts w:hint="eastAsia" w:ascii="仿宋_GB2312" w:eastAsia="仿宋_GB2312"/>
          <w:sz w:val="28"/>
          <w:szCs w:val="28"/>
        </w:rPr>
        <w:t>(九)上年结转结余：指以前年度全部结转和结余的资金数，包括当年结转结余资金和历年滚存结转结余资金。</w:t>
      </w:r>
    </w:p>
    <w:p w14:paraId="7B66DB91">
      <w:pPr>
        <w:widowControl/>
        <w:spacing w:line="500" w:lineRule="exact"/>
        <w:ind w:firstLine="560" w:firstLineChars="200"/>
        <w:jc w:val="left"/>
        <w:rPr>
          <w:rFonts w:ascii="黑体" w:eastAsia="黑体"/>
          <w:sz w:val="28"/>
          <w:szCs w:val="28"/>
        </w:rPr>
      </w:pPr>
      <w:r>
        <w:rPr>
          <w:rFonts w:hint="eastAsia" w:ascii="黑体" w:eastAsia="黑体"/>
          <w:sz w:val="28"/>
          <w:szCs w:val="28"/>
        </w:rPr>
        <w:t>二、支出科目</w:t>
      </w:r>
    </w:p>
    <w:p w14:paraId="31BFBA61">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（一）一般公共服务（类）人大事务（款）行政运行（项）：反映各级人大行政单位（包括实行公务员管理的事业单位）的基本支出。</w:t>
      </w:r>
    </w:p>
    <w:p w14:paraId="55F90C2F">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（二）工资福利支出：反映单位开支的在职职工和编外长期聘用人员的各类劳动报酬，以及为上述人员缴纳的各项社会保险费用等。</w:t>
      </w:r>
    </w:p>
    <w:p w14:paraId="4EED2D0D">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（三）资本性支出：反映切块由发展改革部门安排的基本建设支出。</w:t>
      </w:r>
    </w:p>
    <w:p w14:paraId="12D3CC4E">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（四）委托业务费：反映因委托外单位办理业务而支付的委托业务费。</w:t>
      </w:r>
    </w:p>
    <w:p w14:paraId="0B98D2FC">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（五）公务接待费：反映单位按规定开支的各类公务接待费用。</w:t>
      </w:r>
    </w:p>
    <w:p w14:paraId="016AB2DE">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（六）工会经费:反映单位按规定提取或安排的工会经费。</w:t>
      </w:r>
    </w:p>
    <w:p w14:paraId="6CB4F748">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（七）福利费：反映单位按规定提取的职工福利费。</w:t>
      </w:r>
    </w:p>
    <w:p w14:paraId="16D908BA">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（八）咨询费：反映单位咨询方面的支出。</w:t>
      </w:r>
    </w:p>
    <w:p w14:paraId="2ACB034E">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（九）维修（护）费：反映单位日常开支的固定资产（不包括车船等交通工具）修理和维护费用，网络信息系统运行与维护费用，以及按规定提取的修购基金。</w:t>
      </w:r>
    </w:p>
    <w:p w14:paraId="5D2375FF">
      <w:pPr>
        <w:spacing w:line="50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（十）劳务费：反映支付给外单位和个人的劳务费用，如临时聘用人员、钟点工工资、稿费、翻译费、评审费等。</w:t>
      </w:r>
    </w:p>
    <w:p w14:paraId="417CCF42">
      <w:pPr>
        <w:widowControl/>
        <w:spacing w:line="500" w:lineRule="exact"/>
        <w:ind w:firstLine="560" w:firstLineChars="200"/>
        <w:jc w:val="left"/>
        <w:rPr>
          <w:rFonts w:ascii="黑体" w:eastAsia="黑体"/>
          <w:sz w:val="28"/>
          <w:szCs w:val="28"/>
        </w:rPr>
      </w:pPr>
      <w:r>
        <w:rPr>
          <w:rFonts w:hint="eastAsia" w:ascii="黑体" w:eastAsia="黑体"/>
          <w:sz w:val="28"/>
          <w:szCs w:val="28"/>
        </w:rPr>
        <w:t>三、相关专业名词</w:t>
      </w:r>
    </w:p>
    <w:p w14:paraId="036EE483">
      <w:pPr>
        <w:spacing w:line="500" w:lineRule="exact"/>
        <w:ind w:firstLine="560" w:firstLineChars="200"/>
        <w:rPr>
          <w:rFonts w:ascii="仿宋_GB2312" w:eastAsia="仿宋_GB2312"/>
          <w:sz w:val="28"/>
          <w:szCs w:val="28"/>
        </w:rPr>
      </w:pPr>
      <w:r>
        <w:rPr>
          <w:rFonts w:hint="eastAsia" w:ascii="仿宋_GB2312" w:eastAsia="仿宋_GB2312"/>
          <w:sz w:val="28"/>
          <w:szCs w:val="28"/>
        </w:rPr>
        <w:t>(一)机关运行费：指用一般公共预算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4645C1FC">
      <w:pPr>
        <w:spacing w:line="500" w:lineRule="exact"/>
        <w:ind w:firstLine="560" w:firstLineChars="200"/>
        <w:rPr>
          <w:rFonts w:ascii="仿宋_GB2312" w:eastAsia="仿宋_GB2312"/>
          <w:sz w:val="28"/>
          <w:szCs w:val="28"/>
        </w:rPr>
      </w:pPr>
      <w:r>
        <w:rPr>
          <w:rFonts w:hint="eastAsia" w:ascii="仿宋_GB2312" w:eastAsia="仿宋_GB2312"/>
          <w:sz w:val="28"/>
          <w:szCs w:val="28"/>
        </w:rPr>
        <w:t>(二)“三公”经费：指用财政拨款安排的因公出国(境)费、公务用车购置及运行维护费和公务接待费。其中，因公出国</w:t>
      </w:r>
      <w:r>
        <w:rPr>
          <w:rFonts w:hint="eastAsia" w:ascii="仿宋_GB2312" w:eastAsia="仿宋_GB2312"/>
          <w:sz w:val="28"/>
          <w:szCs w:val="28"/>
        </w:rPr>
        <w:tab/>
      </w:r>
      <w:r>
        <w:rPr>
          <w:rFonts w:hint="eastAsia" w:ascii="仿宋_GB2312" w:eastAsia="仿宋_GB2312"/>
          <w:sz w:val="28"/>
          <w:szCs w:val="28"/>
        </w:rPr>
        <w:t>(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78ABAB94">
      <w:pPr>
        <w:spacing w:line="500" w:lineRule="exact"/>
        <w:ind w:firstLine="560" w:firstLineChars="200"/>
        <w:rPr>
          <w:rFonts w:ascii="仿宋_GB2312" w:eastAsia="仿宋_GB2312"/>
          <w:sz w:val="28"/>
          <w:szCs w:val="28"/>
        </w:rPr>
      </w:pPr>
      <w:r>
        <w:rPr>
          <w:rFonts w:hint="eastAsia" w:ascii="仿宋_GB2312" w:eastAsia="仿宋_GB2312"/>
          <w:sz w:val="28"/>
          <w:szCs w:val="28"/>
        </w:rPr>
        <w:t>(三)基本支出：指为保障机构正常运转、完成日常工作任务而发生的人员支出和公用支出。</w:t>
      </w:r>
    </w:p>
    <w:p w14:paraId="4A23CF14">
      <w:pPr>
        <w:spacing w:line="500" w:lineRule="exact"/>
        <w:ind w:firstLine="560" w:firstLineChars="200"/>
        <w:rPr>
          <w:rFonts w:ascii="仿宋_GB2312" w:eastAsia="仿宋_GB2312"/>
          <w:sz w:val="28"/>
          <w:szCs w:val="28"/>
        </w:rPr>
      </w:pPr>
      <w:r>
        <w:rPr>
          <w:rFonts w:hint="eastAsia" w:ascii="仿宋_GB2312" w:eastAsia="仿宋_GB2312"/>
          <w:sz w:val="28"/>
          <w:szCs w:val="28"/>
        </w:rPr>
        <w:t>(四)项目支出：指在基本支出之外为完成特定行政任务或事业发展目标所发生的支出。</w:t>
      </w:r>
    </w:p>
    <w:p w14:paraId="631FF9A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BBF536"/>
    <w:multiLevelType w:val="singleLevel"/>
    <w:tmpl w:val="50BBF536"/>
    <w:lvl w:ilvl="0" w:tentative="0">
      <w:start w:val="5"/>
      <w:numFmt w:val="chineseCounting"/>
      <w:suff w:val="nothing"/>
      <w:lvlText w:val="（%1）"/>
      <w:lvlJc w:val="left"/>
      <w:rPr>
        <w:rFonts w:hint="eastAsia" w:ascii="楷体_GB2312" w:hAnsi="楷体_GB2312" w:eastAsia="楷体_GB2312" w:cs="楷体_GB2312"/>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272AD"/>
    <w:rsid w:val="00035CAF"/>
    <w:rsid w:val="000421DD"/>
    <w:rsid w:val="001B27C1"/>
    <w:rsid w:val="00471472"/>
    <w:rsid w:val="00523C3A"/>
    <w:rsid w:val="006F09BD"/>
    <w:rsid w:val="00711B3F"/>
    <w:rsid w:val="00A10464"/>
    <w:rsid w:val="00A76A47"/>
    <w:rsid w:val="00A925FF"/>
    <w:rsid w:val="00CE58F7"/>
    <w:rsid w:val="00DF12AA"/>
    <w:rsid w:val="00E20B50"/>
    <w:rsid w:val="00F272AD"/>
    <w:rsid w:val="00F95F3C"/>
    <w:rsid w:val="62B91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uiPriority w:val="99"/>
    <w:rPr>
      <w:sz w:val="18"/>
      <w:szCs w:val="18"/>
    </w:rPr>
  </w:style>
  <w:style w:type="character" w:customStyle="1" w:styleId="8">
    <w:name w:val="页脚 Char"/>
    <w:basedOn w:val="6"/>
    <w:link w:val="3"/>
    <w:semiHidden/>
    <w:uiPriority w:val="99"/>
    <w:rPr>
      <w:sz w:val="18"/>
      <w:szCs w:val="18"/>
    </w:rPr>
  </w:style>
  <w:style w:type="character" w:customStyle="1" w:styleId="9">
    <w:name w:val="批注框文本 Char"/>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emf"/><Relationship Id="rId8" Type="http://schemas.openxmlformats.org/officeDocument/2006/relationships/image" Target="media/image5.emf"/><Relationship Id="rId7" Type="http://schemas.openxmlformats.org/officeDocument/2006/relationships/image" Target="media/image4.emf"/><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emf"/><Relationship Id="rId12" Type="http://schemas.openxmlformats.org/officeDocument/2006/relationships/image" Target="media/image9.emf"/><Relationship Id="rId11" Type="http://schemas.openxmlformats.org/officeDocument/2006/relationships/image" Target="media/image8.emf"/><Relationship Id="rId10" Type="http://schemas.openxmlformats.org/officeDocument/2006/relationships/image" Target="media/image7.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14</Pages>
  <Words>4013</Words>
  <Characters>4280</Characters>
  <Lines>31</Lines>
  <Paragraphs>8</Paragraphs>
  <TotalTime>57</TotalTime>
  <ScaleCrop>false</ScaleCrop>
  <LinksUpToDate>false</LinksUpToDate>
  <CharactersWithSpaces>4307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2025-02-08T07:42:00Z</dcterms:created>
  <dc:creator>Microsoft</dc:creator>
  <cp:lastModifiedBy>丁可谦</cp:lastModifiedBy>
  <dcterms:modified xsi:type="dcterms:W3CDTF">2025-02-13T06:13:30Z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eyJoZGlkIjoiZDVmYmFhYWY5NzRmM2ZjMTJiZTM3YWE2OGZkM2VkNmYiLCJ1c2VySWQiOiI5MjY4ODQ1MTkifQ==</vt:lpwstr>
  </property>
  <property fmtid="{D5CDD505-2E9C-101B-9397-08002B2CF9AE}" pid="3" name="KSOProductBuildVer">
    <vt:lpwstr>2052-12.1.0.19302</vt:lpwstr>
  </property>
  <property fmtid="{D5CDD505-2E9C-101B-9397-08002B2CF9AE}" pid="4" name="ICV">
    <vt:lpwstr>793FA2532D42407DB3B0EE660519DFC8_12</vt:lpwstr>
  </property>
</Properties>
</file>