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2C1" w:rsidRDefault="006F32C1" w:rsidP="006F32C1">
      <w:pPr>
        <w:spacing w:line="500" w:lineRule="exact"/>
        <w:jc w:val="center"/>
        <w:rPr>
          <w:b/>
          <w:sz w:val="44"/>
          <w:szCs w:val="44"/>
        </w:rPr>
      </w:pPr>
      <w:r>
        <w:rPr>
          <w:rFonts w:hint="eastAsia"/>
          <w:b/>
          <w:sz w:val="44"/>
          <w:szCs w:val="44"/>
        </w:rPr>
        <w:t>南昌市青山湖区住房和城乡建设局</w:t>
      </w:r>
    </w:p>
    <w:p w:rsidR="006F32C1" w:rsidRDefault="006F32C1" w:rsidP="006F32C1">
      <w:pPr>
        <w:spacing w:line="500" w:lineRule="exact"/>
        <w:jc w:val="center"/>
        <w:rPr>
          <w:b/>
          <w:sz w:val="44"/>
          <w:szCs w:val="44"/>
        </w:rPr>
      </w:pPr>
      <w:r>
        <w:rPr>
          <w:rFonts w:hint="eastAsia"/>
          <w:b/>
          <w:sz w:val="44"/>
          <w:szCs w:val="44"/>
        </w:rPr>
        <w:t>2025</w:t>
      </w:r>
      <w:r>
        <w:rPr>
          <w:rFonts w:hint="eastAsia"/>
          <w:b/>
          <w:sz w:val="44"/>
          <w:szCs w:val="44"/>
        </w:rPr>
        <w:t>年单位预算</w:t>
      </w:r>
    </w:p>
    <w:p w:rsidR="006F32C1" w:rsidRDefault="006F32C1" w:rsidP="006F32C1">
      <w:pPr>
        <w:spacing w:line="500" w:lineRule="exact"/>
        <w:jc w:val="center"/>
        <w:rPr>
          <w:rFonts w:ascii="楷体_GB2312" w:eastAsia="楷体_GB2312" w:hAnsi="楷体_GB2312" w:cs="楷体_GB2312"/>
          <w:b/>
          <w:sz w:val="32"/>
          <w:szCs w:val="32"/>
        </w:rPr>
      </w:pPr>
    </w:p>
    <w:p w:rsidR="006F32C1" w:rsidRDefault="006F32C1" w:rsidP="006F32C1">
      <w:pPr>
        <w:spacing w:line="246" w:lineRule="auto"/>
        <w:rPr>
          <w:rFonts w:ascii="仿宋_GB2312" w:eastAsia="仿宋_GB2312" w:hAnsi="仿宋_GB2312" w:cs="仿宋_GB2312"/>
        </w:rPr>
      </w:pPr>
    </w:p>
    <w:p w:rsidR="006F32C1" w:rsidRDefault="006F32C1" w:rsidP="006F32C1">
      <w:pPr>
        <w:spacing w:line="246" w:lineRule="auto"/>
        <w:rPr>
          <w:rFonts w:ascii="仿宋_GB2312" w:eastAsia="仿宋_GB2312" w:hAnsi="仿宋_GB2312" w:cs="仿宋_GB2312"/>
        </w:rPr>
      </w:pPr>
    </w:p>
    <w:p w:rsidR="006F32C1" w:rsidRDefault="006F32C1" w:rsidP="006F32C1">
      <w:pPr>
        <w:spacing w:line="500" w:lineRule="exact"/>
        <w:jc w:val="center"/>
        <w:rPr>
          <w:rFonts w:ascii="黑体" w:eastAsia="黑体"/>
          <w:sz w:val="32"/>
          <w:szCs w:val="32"/>
        </w:rPr>
      </w:pPr>
      <w:r>
        <w:rPr>
          <w:rFonts w:ascii="黑体" w:eastAsia="黑体" w:hint="eastAsia"/>
          <w:sz w:val="32"/>
          <w:szCs w:val="32"/>
        </w:rPr>
        <w:t>目  录</w:t>
      </w:r>
    </w:p>
    <w:p w:rsidR="006F32C1" w:rsidRDefault="006F32C1" w:rsidP="006F32C1">
      <w:pPr>
        <w:spacing w:line="252" w:lineRule="auto"/>
        <w:rPr>
          <w:rFonts w:ascii="仿宋_GB2312" w:eastAsia="仿宋_GB2312" w:hAnsi="仿宋_GB2312" w:cs="仿宋_GB2312"/>
        </w:rPr>
      </w:pPr>
    </w:p>
    <w:p w:rsidR="006F32C1" w:rsidRDefault="006F32C1" w:rsidP="006F32C1">
      <w:pPr>
        <w:spacing w:line="253" w:lineRule="auto"/>
        <w:rPr>
          <w:rFonts w:ascii="仿宋_GB2312" w:eastAsia="仿宋_GB2312" w:hAnsi="仿宋_GB2312" w:cs="仿宋_GB2312"/>
        </w:rPr>
      </w:pPr>
    </w:p>
    <w:p w:rsidR="006F32C1" w:rsidRDefault="006F32C1" w:rsidP="00E8329E">
      <w:pPr>
        <w:widowControl/>
        <w:spacing w:line="500" w:lineRule="exact"/>
        <w:ind w:firstLineChars="200" w:firstLine="560"/>
        <w:rPr>
          <w:rFonts w:ascii="仿宋_GB2312" w:eastAsia="仿宋_GB2312"/>
          <w:b/>
          <w:sz w:val="28"/>
          <w:szCs w:val="28"/>
        </w:rPr>
      </w:pPr>
      <w:r>
        <w:rPr>
          <w:rFonts w:ascii="仿宋_GB2312" w:eastAsia="仿宋_GB2312" w:hint="eastAsia"/>
          <w:b/>
          <w:sz w:val="28"/>
          <w:szCs w:val="28"/>
        </w:rPr>
        <w:t>第一部分  南昌市青山湖区住房和城乡建设局单位概况</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一、单位主要职责</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二、机构设置及人员情况</w:t>
      </w:r>
    </w:p>
    <w:p w:rsidR="006F32C1" w:rsidRDefault="006F32C1" w:rsidP="00E8329E">
      <w:pPr>
        <w:widowControl/>
        <w:spacing w:line="500" w:lineRule="exact"/>
        <w:ind w:firstLineChars="200" w:firstLine="560"/>
        <w:rPr>
          <w:rFonts w:ascii="仿宋_GB2312" w:eastAsia="仿宋_GB2312"/>
          <w:sz w:val="28"/>
          <w:szCs w:val="28"/>
        </w:rPr>
      </w:pPr>
      <w:r>
        <w:rPr>
          <w:rFonts w:ascii="仿宋_GB2312" w:eastAsia="仿宋_GB2312" w:hint="eastAsia"/>
          <w:b/>
          <w:sz w:val="28"/>
          <w:szCs w:val="28"/>
        </w:rPr>
        <w:t>第二部分  南昌市青山湖区住房和城乡建设局单位2025年单位预算表</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一、《收支预算总表》</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二、《单位收入总表》</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三、《单位支出总表》</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四、《财政拨款收支总表》</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五、《一般公共预算支出表》</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六、《一般公共预算基本支出表》</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七、《财政拨款“三公”经费支出表》</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八、《政府性基金预算支出表》</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九、《国有资本经营预算支出表》</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十、《项目支出绩效目标表》</w:t>
      </w:r>
    </w:p>
    <w:p w:rsidR="006F32C1" w:rsidRDefault="006F32C1" w:rsidP="00E8329E">
      <w:pPr>
        <w:widowControl/>
        <w:spacing w:line="500" w:lineRule="exact"/>
        <w:ind w:firstLineChars="200" w:firstLine="560"/>
        <w:rPr>
          <w:rFonts w:ascii="仿宋_GB2312" w:eastAsia="仿宋_GB2312"/>
          <w:b/>
          <w:sz w:val="28"/>
          <w:szCs w:val="28"/>
        </w:rPr>
      </w:pPr>
      <w:r>
        <w:rPr>
          <w:rFonts w:ascii="仿宋_GB2312" w:eastAsia="仿宋_GB2312" w:hint="eastAsia"/>
          <w:b/>
          <w:sz w:val="28"/>
          <w:szCs w:val="28"/>
        </w:rPr>
        <w:t>第三部分  南昌市青山湖区住房和城乡建设局单位2025年单位预算情况说明</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一、2025年单位预算收支情况说明</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二、2025年“三公”经费预算情况说明</w:t>
      </w:r>
    </w:p>
    <w:p w:rsidR="006F32C1" w:rsidRDefault="006F32C1" w:rsidP="00E8329E">
      <w:pPr>
        <w:widowControl/>
        <w:spacing w:line="500" w:lineRule="exact"/>
        <w:ind w:firstLineChars="200" w:firstLine="560"/>
        <w:rPr>
          <w:rFonts w:ascii="仿宋_GB2312" w:eastAsia="仿宋_GB2312"/>
          <w:b/>
          <w:sz w:val="28"/>
          <w:szCs w:val="28"/>
        </w:rPr>
      </w:pPr>
      <w:r>
        <w:rPr>
          <w:rFonts w:ascii="仿宋_GB2312" w:eastAsia="仿宋_GB2312" w:hint="eastAsia"/>
          <w:b/>
          <w:sz w:val="28"/>
          <w:szCs w:val="28"/>
        </w:rPr>
        <w:t>第四部分  名词解释</w:t>
      </w:r>
    </w:p>
    <w:p w:rsidR="006F32C1" w:rsidRDefault="006F32C1" w:rsidP="00E8329E">
      <w:pPr>
        <w:widowControl/>
        <w:spacing w:line="500" w:lineRule="exact"/>
        <w:ind w:firstLineChars="200" w:firstLine="560"/>
        <w:rPr>
          <w:rFonts w:ascii="仿宋_GB2312" w:eastAsia="仿宋_GB2312"/>
          <w:b/>
          <w:sz w:val="28"/>
          <w:szCs w:val="28"/>
        </w:rPr>
        <w:sectPr w:rsidR="006F32C1">
          <w:pgSz w:w="11900" w:h="16830"/>
          <w:pgMar w:top="1430" w:right="1785" w:bottom="400" w:left="1684" w:header="0" w:footer="0" w:gutter="0"/>
          <w:cols w:space="720"/>
        </w:sectPr>
      </w:pPr>
    </w:p>
    <w:p w:rsidR="006F32C1" w:rsidRDefault="006F32C1" w:rsidP="006F32C1">
      <w:pPr>
        <w:spacing w:line="500" w:lineRule="exact"/>
        <w:ind w:firstLineChars="450" w:firstLine="1260"/>
        <w:rPr>
          <w:rFonts w:ascii="方正小标宋简体" w:eastAsia="方正小标宋简体"/>
          <w:sz w:val="28"/>
          <w:szCs w:val="28"/>
        </w:rPr>
      </w:pPr>
    </w:p>
    <w:p w:rsidR="006F32C1" w:rsidRDefault="006F32C1" w:rsidP="006F32C1">
      <w:pPr>
        <w:spacing w:line="500" w:lineRule="exact"/>
        <w:ind w:firstLineChars="450" w:firstLine="1260"/>
        <w:rPr>
          <w:rFonts w:ascii="方正小标宋简体" w:eastAsia="方正小标宋简体"/>
          <w:sz w:val="28"/>
          <w:szCs w:val="28"/>
        </w:rPr>
      </w:pPr>
      <w:r>
        <w:rPr>
          <w:rFonts w:ascii="方正小标宋简体" w:eastAsia="方正小标宋简体" w:hint="eastAsia"/>
          <w:sz w:val="28"/>
          <w:szCs w:val="28"/>
        </w:rPr>
        <w:t>第一部分  南昌市青山湖区</w:t>
      </w:r>
      <w:r w:rsidRPr="006F32C1">
        <w:rPr>
          <w:rFonts w:ascii="方正小标宋简体" w:eastAsia="方正小标宋简体" w:hint="eastAsia"/>
          <w:sz w:val="28"/>
          <w:szCs w:val="28"/>
        </w:rPr>
        <w:t>和城乡建设局</w:t>
      </w:r>
      <w:r>
        <w:rPr>
          <w:rFonts w:ascii="方正小标宋简体" w:eastAsia="方正小标宋简体" w:hint="eastAsia"/>
          <w:sz w:val="28"/>
          <w:szCs w:val="28"/>
        </w:rPr>
        <w:t>本级单位概况</w:t>
      </w:r>
    </w:p>
    <w:p w:rsidR="006F32C1" w:rsidRDefault="006F32C1" w:rsidP="006F32C1">
      <w:pPr>
        <w:spacing w:line="500" w:lineRule="exact"/>
        <w:rPr>
          <w:rFonts w:ascii="仿宋_GB2312" w:eastAsia="仿宋_GB2312"/>
          <w:sz w:val="28"/>
          <w:szCs w:val="28"/>
        </w:rPr>
      </w:pPr>
    </w:p>
    <w:p w:rsidR="006F32C1" w:rsidRDefault="006F32C1" w:rsidP="006F32C1">
      <w:pPr>
        <w:spacing w:line="500" w:lineRule="exact"/>
        <w:ind w:firstLineChars="200" w:firstLine="560"/>
        <w:rPr>
          <w:rFonts w:ascii="黑体" w:eastAsia="黑体"/>
          <w:sz w:val="28"/>
          <w:szCs w:val="28"/>
        </w:rPr>
      </w:pPr>
      <w:r>
        <w:rPr>
          <w:rFonts w:ascii="黑体" w:eastAsia="黑体" w:hint="eastAsia"/>
          <w:sz w:val="28"/>
          <w:szCs w:val="28"/>
        </w:rPr>
        <w:t>一、单位主要职责</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区住建局本级单位是区住建局部门所属预算单位，主要职责是：</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（一）贯彻执行国家、省、市、区建筑行业、人民防空、住房保障、房屋征收及城市住房制度改革的法律、法规。</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（二）负责研究拟定住房和城乡规划建设长期、中期、年度发展规划并指导组织实施。</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三）贯彻落实国家关于旧城改造工作的法律、法规和政策；受委托组织起草有关旧城改造方面的规范性文件，经审议通过后负责组织实施。按照南昌市的统一规划和部署，结合我区国民经济和社会发展的总体目标和规划，负责制订旧城改造和土地收储的总体规划、年度计划和阶段性任务，并组织实施。负责与市、区相关职能部门进行对接，协调解决在旧城改造和土地收储过程中出现的相关问题。负责对旧城改造和土地收储工作各项考核指标的日常统计和报送，并会同相关部门对全区旧城改造和土地收储任务完成情况进行检查考核。</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四）负责建筑业的行业管理，培养规范和指导辖区内建筑市场；协调指导辖区内在省、市报建的建设工程的质量安全监管；负责组织全区建筑工程的招投标；负责招投标单位的招投标资格审查并备案，依法查处招投标活动中的违法行为。</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（五）负责</w:t>
      </w:r>
      <w:proofErr w:type="gramStart"/>
      <w:r>
        <w:rPr>
          <w:rFonts w:ascii="仿宋_GB2312" w:eastAsia="仿宋_GB2312" w:hint="eastAsia"/>
          <w:sz w:val="28"/>
          <w:szCs w:val="28"/>
        </w:rPr>
        <w:t>全区住宅</w:t>
      </w:r>
      <w:proofErr w:type="gramEnd"/>
      <w:r>
        <w:rPr>
          <w:rFonts w:ascii="仿宋_GB2312" w:eastAsia="仿宋_GB2312" w:hint="eastAsia"/>
          <w:sz w:val="28"/>
          <w:szCs w:val="28"/>
        </w:rPr>
        <w:t>与非住宅装饰装修审核发证工作。</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（六）负责全区商品房屋住宅租赁、非住宅租赁管理备案登记，核发《房屋租赁证》。</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（七）负责辖区范围内住宅小区物业管理的监督指导工作和考核工作，指导和推动业主委员会的组建工作。</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（八）负责办理直管公房和统管公房的房改初审、报批及公房维</w:t>
      </w:r>
      <w:r>
        <w:rPr>
          <w:rFonts w:ascii="仿宋_GB2312" w:eastAsia="仿宋_GB2312" w:hint="eastAsia"/>
          <w:sz w:val="28"/>
          <w:szCs w:val="28"/>
        </w:rPr>
        <w:lastRenderedPageBreak/>
        <w:t>修工作。</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（九）负责全区低收入家庭的住房保障初审工作，</w:t>
      </w:r>
      <w:proofErr w:type="gramStart"/>
      <w:r>
        <w:rPr>
          <w:rFonts w:ascii="仿宋_GB2312" w:eastAsia="仿宋_GB2312" w:hint="eastAsia"/>
          <w:sz w:val="28"/>
          <w:szCs w:val="28"/>
        </w:rPr>
        <w:t>承接市</w:t>
      </w:r>
      <w:proofErr w:type="gramEnd"/>
      <w:r>
        <w:rPr>
          <w:rFonts w:ascii="仿宋_GB2312" w:eastAsia="仿宋_GB2312" w:hint="eastAsia"/>
          <w:sz w:val="28"/>
          <w:szCs w:val="28"/>
        </w:rPr>
        <w:t>安排在我区的保障性住房的建设与管理工作。</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十）负责发布我区国有土地上房屋的《房屋征收决定》及集体土地上房屋的《房屋拆迁公告》；负责我区国有土地和集体土地上房屋征收纠纷的行政调解工作；负责我区国有土地上房屋的征收补偿安置、安全管理和监督检查工作；负责全区房屋征收工作年度考核和房屋征迁工作的业务指导、检查和监督。</w:t>
      </w:r>
    </w:p>
    <w:p w:rsidR="006F32C1" w:rsidRDefault="006F32C1" w:rsidP="006F32C1">
      <w:pPr>
        <w:spacing w:line="500" w:lineRule="exact"/>
        <w:ind w:firstLineChars="200" w:firstLine="560"/>
      </w:pPr>
      <w:r>
        <w:rPr>
          <w:rFonts w:ascii="仿宋_GB2312" w:eastAsia="仿宋_GB2312" w:hint="eastAsia"/>
          <w:sz w:val="28"/>
          <w:szCs w:val="28"/>
        </w:rPr>
        <w:t>（十一）承办区政府、区人武部、区国防动员委员会交办的其他工作。</w:t>
      </w:r>
    </w:p>
    <w:p w:rsidR="006F32C1" w:rsidRDefault="006F32C1" w:rsidP="006F32C1">
      <w:pPr>
        <w:spacing w:line="500" w:lineRule="exact"/>
        <w:ind w:firstLineChars="200" w:firstLine="560"/>
        <w:rPr>
          <w:rFonts w:ascii="黑体" w:eastAsia="黑体"/>
          <w:sz w:val="28"/>
          <w:szCs w:val="28"/>
        </w:rPr>
      </w:pPr>
      <w:r>
        <w:rPr>
          <w:rFonts w:ascii="黑体" w:eastAsia="黑体" w:hint="eastAsia"/>
          <w:sz w:val="28"/>
          <w:szCs w:val="28"/>
        </w:rPr>
        <w:t>二、机构设置及人员情况</w:t>
      </w:r>
    </w:p>
    <w:p w:rsidR="006F32C1" w:rsidRPr="00863CAC" w:rsidRDefault="006F32C1" w:rsidP="006F32C1">
      <w:pPr>
        <w:spacing w:line="500" w:lineRule="exact"/>
        <w:ind w:firstLineChars="200" w:firstLine="560"/>
        <w:rPr>
          <w:rFonts w:ascii="仿宋_GB2312" w:eastAsia="仿宋_GB2312"/>
          <w:sz w:val="28"/>
          <w:szCs w:val="28"/>
        </w:rPr>
      </w:pPr>
      <w:r w:rsidRPr="00863CAC">
        <w:rPr>
          <w:rFonts w:ascii="仿宋_GB2312" w:eastAsia="仿宋_GB2312" w:hint="eastAsia"/>
          <w:sz w:val="28"/>
          <w:szCs w:val="28"/>
        </w:rPr>
        <w:t>2024年南昌市青山湖区住建局本级内设股室7个，包括：党政办、建筑安全管理股、建筑品质与发展股、住房管理股、工程推进股、财务室、房屋征收管理办公室。</w:t>
      </w:r>
    </w:p>
    <w:p w:rsidR="006F32C1" w:rsidRDefault="006F32C1" w:rsidP="006F32C1">
      <w:pPr>
        <w:spacing w:line="500" w:lineRule="exact"/>
        <w:ind w:firstLineChars="200" w:firstLine="560"/>
        <w:rPr>
          <w:rFonts w:ascii="仿宋_GB2312" w:eastAsia="仿宋_GB2312"/>
          <w:sz w:val="28"/>
          <w:szCs w:val="28"/>
        </w:rPr>
      </w:pPr>
      <w:r>
        <w:rPr>
          <w:rFonts w:ascii="仿宋_GB2312" w:eastAsia="仿宋_GB2312" w:hint="eastAsia"/>
          <w:sz w:val="28"/>
          <w:szCs w:val="28"/>
        </w:rPr>
        <w:t>编制人数小计8人，其中：行政编制7人、参照公务员管理的事业编制1人、全部补助事业编制0人、部分补助事业编制0人、自收自</w:t>
      </w:r>
      <w:proofErr w:type="gramStart"/>
      <w:r>
        <w:rPr>
          <w:rFonts w:ascii="仿宋_GB2312" w:eastAsia="仿宋_GB2312" w:hint="eastAsia"/>
          <w:sz w:val="28"/>
          <w:szCs w:val="28"/>
        </w:rPr>
        <w:t>支事业</w:t>
      </w:r>
      <w:proofErr w:type="gramEnd"/>
      <w:r>
        <w:rPr>
          <w:rFonts w:ascii="仿宋_GB2312" w:eastAsia="仿宋_GB2312" w:hint="eastAsia"/>
          <w:sz w:val="28"/>
          <w:szCs w:val="28"/>
        </w:rPr>
        <w:t>编制0人。实有人数29人，其中：在职人数小计8人，包括行政人员7人、参照公务员管理的事业编制1人、全部补助事业人员0人、部分补助事业人员0人、自收自</w:t>
      </w:r>
      <w:proofErr w:type="gramStart"/>
      <w:r>
        <w:rPr>
          <w:rFonts w:ascii="仿宋_GB2312" w:eastAsia="仿宋_GB2312" w:hint="eastAsia"/>
          <w:sz w:val="28"/>
          <w:szCs w:val="28"/>
        </w:rPr>
        <w:t>支事业</w:t>
      </w:r>
      <w:proofErr w:type="gramEnd"/>
      <w:r>
        <w:rPr>
          <w:rFonts w:ascii="仿宋_GB2312" w:eastAsia="仿宋_GB2312" w:hint="eastAsia"/>
          <w:sz w:val="28"/>
          <w:szCs w:val="28"/>
        </w:rPr>
        <w:t>人员0人；离休人数小计0人；退休人员小计21人。遗属人数0人。在校学生0人，其中：高等学校0人、中等专业学校0人，其他0人。</w:t>
      </w:r>
    </w:p>
    <w:p w:rsidR="006F32C1" w:rsidRDefault="006F32C1" w:rsidP="006F32C1">
      <w:pPr>
        <w:spacing w:line="500" w:lineRule="exact"/>
        <w:ind w:firstLineChars="200" w:firstLine="560"/>
        <w:rPr>
          <w:rFonts w:ascii="仿宋_GB2312" w:eastAsia="仿宋_GB2312"/>
          <w:sz w:val="28"/>
          <w:szCs w:val="28"/>
        </w:rPr>
      </w:pPr>
    </w:p>
    <w:p w:rsidR="006F32C1" w:rsidRDefault="006F32C1" w:rsidP="006F32C1">
      <w:pPr>
        <w:spacing w:line="500" w:lineRule="exact"/>
        <w:ind w:firstLineChars="200" w:firstLine="560"/>
        <w:rPr>
          <w:rFonts w:ascii="仿宋_GB2312" w:eastAsia="仿宋_GB2312"/>
          <w:sz w:val="28"/>
          <w:szCs w:val="28"/>
        </w:rPr>
      </w:pPr>
    </w:p>
    <w:p w:rsidR="006F32C1" w:rsidRDefault="006F32C1" w:rsidP="006F32C1">
      <w:pPr>
        <w:spacing w:line="500" w:lineRule="exact"/>
        <w:ind w:firstLineChars="200" w:firstLine="560"/>
        <w:rPr>
          <w:rFonts w:ascii="仿宋_GB2312" w:eastAsia="仿宋_GB2312"/>
          <w:sz w:val="28"/>
          <w:szCs w:val="28"/>
        </w:rPr>
      </w:pPr>
    </w:p>
    <w:p w:rsidR="006F32C1" w:rsidRDefault="006F32C1" w:rsidP="006F32C1">
      <w:pPr>
        <w:spacing w:line="500" w:lineRule="exact"/>
        <w:ind w:firstLineChars="200" w:firstLine="560"/>
        <w:rPr>
          <w:rFonts w:ascii="仿宋_GB2312" w:eastAsia="仿宋_GB2312"/>
          <w:sz w:val="28"/>
          <w:szCs w:val="28"/>
        </w:rPr>
      </w:pPr>
    </w:p>
    <w:p w:rsidR="006F32C1" w:rsidRDefault="006F32C1" w:rsidP="006F32C1">
      <w:pPr>
        <w:spacing w:line="500" w:lineRule="exact"/>
        <w:ind w:firstLineChars="200" w:firstLine="560"/>
        <w:rPr>
          <w:rFonts w:ascii="仿宋_GB2312" w:eastAsia="仿宋_GB2312"/>
          <w:sz w:val="28"/>
          <w:szCs w:val="28"/>
        </w:rPr>
      </w:pPr>
    </w:p>
    <w:p w:rsidR="006F32C1" w:rsidRDefault="006F32C1" w:rsidP="006F32C1">
      <w:pPr>
        <w:spacing w:line="500" w:lineRule="exact"/>
        <w:ind w:firstLineChars="200" w:firstLine="560"/>
        <w:rPr>
          <w:rFonts w:ascii="仿宋_GB2312" w:eastAsia="仿宋_GB2312"/>
          <w:sz w:val="28"/>
          <w:szCs w:val="28"/>
        </w:rPr>
      </w:pPr>
    </w:p>
    <w:p w:rsidR="006F32C1" w:rsidRDefault="006F32C1" w:rsidP="006F32C1">
      <w:pPr>
        <w:spacing w:line="500" w:lineRule="exact"/>
        <w:ind w:firstLineChars="200" w:firstLine="560"/>
        <w:rPr>
          <w:rFonts w:ascii="仿宋_GB2312" w:eastAsia="仿宋_GB2312"/>
          <w:sz w:val="28"/>
          <w:szCs w:val="28"/>
        </w:rPr>
      </w:pPr>
    </w:p>
    <w:p w:rsidR="006F32C1" w:rsidRDefault="006F32C1" w:rsidP="006F32C1">
      <w:pPr>
        <w:spacing w:line="500" w:lineRule="exact"/>
        <w:jc w:val="center"/>
        <w:rPr>
          <w:rFonts w:ascii="方正小标宋简体" w:eastAsia="方正小标宋简体"/>
          <w:sz w:val="28"/>
          <w:szCs w:val="28"/>
        </w:rPr>
      </w:pPr>
      <w:r>
        <w:rPr>
          <w:rFonts w:ascii="方正小标宋简体" w:eastAsia="方正小标宋简体" w:hint="eastAsia"/>
          <w:sz w:val="28"/>
          <w:szCs w:val="28"/>
        </w:rPr>
        <w:t>第二部分  南昌市青山湖区住房和城乡建设局本级单位2025年单位预算表</w:t>
      </w:r>
    </w:p>
    <w:p w:rsidR="000F641D" w:rsidRDefault="006F32C1">
      <w:r>
        <w:rPr>
          <w:noProof/>
        </w:rPr>
        <w:drawing>
          <wp:inline distT="0" distB="0" distL="0" distR="0">
            <wp:extent cx="5930487" cy="4643252"/>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930357" cy="4643150"/>
                    </a:xfrm>
                    <a:prstGeom prst="rect">
                      <a:avLst/>
                    </a:prstGeom>
                    <a:noFill/>
                    <a:ln w="9525">
                      <a:noFill/>
                      <a:miter lim="800000"/>
                      <a:headEnd/>
                      <a:tailEnd/>
                    </a:ln>
                  </pic:spPr>
                </pic:pic>
              </a:graphicData>
            </a:graphic>
          </wp:inline>
        </w:drawing>
      </w:r>
    </w:p>
    <w:p w:rsidR="006F32C1" w:rsidRDefault="006F32C1"/>
    <w:p w:rsidR="006F32C1" w:rsidRDefault="006F32C1"/>
    <w:p w:rsidR="006F32C1" w:rsidRDefault="006F32C1"/>
    <w:p w:rsidR="006F32C1" w:rsidRDefault="006F32C1"/>
    <w:p w:rsidR="006F32C1" w:rsidRDefault="006F32C1"/>
    <w:p w:rsidR="006F32C1" w:rsidRDefault="006F32C1"/>
    <w:p w:rsidR="006F32C1" w:rsidRDefault="006F32C1"/>
    <w:p w:rsidR="006F32C1" w:rsidRDefault="006F32C1"/>
    <w:p w:rsidR="006F32C1" w:rsidRDefault="006F32C1"/>
    <w:p w:rsidR="006F32C1" w:rsidRDefault="006F32C1"/>
    <w:p w:rsidR="006F32C1" w:rsidRDefault="006F32C1"/>
    <w:p w:rsidR="006F32C1" w:rsidRDefault="006F32C1"/>
    <w:p w:rsidR="006F32C1" w:rsidRDefault="006F32C1"/>
    <w:p w:rsidR="006F32C1" w:rsidRDefault="006F32C1"/>
    <w:p w:rsidR="006F32C1" w:rsidRDefault="006F32C1"/>
    <w:p w:rsidR="006F32C1" w:rsidRDefault="006F32C1"/>
    <w:p w:rsidR="006F32C1" w:rsidRDefault="006F32C1">
      <w:r w:rsidRPr="006F32C1">
        <w:rPr>
          <w:noProof/>
        </w:rPr>
        <w:lastRenderedPageBreak/>
        <w:drawing>
          <wp:inline distT="0" distB="0" distL="0" distR="0">
            <wp:extent cx="5261487" cy="3562597"/>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274310" cy="3571280"/>
                    </a:xfrm>
                    <a:prstGeom prst="rect">
                      <a:avLst/>
                    </a:prstGeom>
                    <a:noFill/>
                    <a:ln w="9525">
                      <a:noFill/>
                      <a:miter lim="800000"/>
                      <a:headEnd/>
                      <a:tailEnd/>
                    </a:ln>
                  </pic:spPr>
                </pic:pic>
              </a:graphicData>
            </a:graphic>
          </wp:inline>
        </w:drawing>
      </w:r>
    </w:p>
    <w:p w:rsidR="006F32C1" w:rsidRDefault="006F32C1"/>
    <w:p w:rsidR="006F32C1" w:rsidRDefault="006F32C1"/>
    <w:p w:rsidR="006F32C1" w:rsidRDefault="006F32C1">
      <w:r w:rsidRPr="006F32C1">
        <w:rPr>
          <w:noProof/>
        </w:rPr>
        <w:drawing>
          <wp:inline distT="0" distB="0" distL="0" distR="0">
            <wp:extent cx="5274805" cy="4061361"/>
            <wp:effectExtent l="19050" t="0" r="20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274310" cy="4060980"/>
                    </a:xfrm>
                    <a:prstGeom prst="rect">
                      <a:avLst/>
                    </a:prstGeom>
                    <a:noFill/>
                    <a:ln w="9525">
                      <a:noFill/>
                      <a:miter lim="800000"/>
                      <a:headEnd/>
                      <a:tailEnd/>
                    </a:ln>
                  </pic:spPr>
                </pic:pic>
              </a:graphicData>
            </a:graphic>
          </wp:inline>
        </w:drawing>
      </w:r>
    </w:p>
    <w:p w:rsidR="006F32C1" w:rsidRDefault="006F32C1"/>
    <w:p w:rsidR="006F32C1" w:rsidRDefault="006F32C1"/>
    <w:p w:rsidR="006F32C1" w:rsidRDefault="006F32C1"/>
    <w:p w:rsidR="006F32C1" w:rsidRDefault="006F32C1">
      <w:r w:rsidRPr="006F32C1">
        <w:rPr>
          <w:noProof/>
        </w:rPr>
        <w:lastRenderedPageBreak/>
        <w:drawing>
          <wp:inline distT="0" distB="0" distL="0" distR="0">
            <wp:extent cx="5879812" cy="3930733"/>
            <wp:effectExtent l="19050" t="0" r="6638"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885880" cy="3934790"/>
                    </a:xfrm>
                    <a:prstGeom prst="rect">
                      <a:avLst/>
                    </a:prstGeom>
                    <a:noFill/>
                    <a:ln w="9525">
                      <a:noFill/>
                      <a:miter lim="800000"/>
                      <a:headEnd/>
                      <a:tailEnd/>
                    </a:ln>
                  </pic:spPr>
                </pic:pic>
              </a:graphicData>
            </a:graphic>
          </wp:inline>
        </w:drawing>
      </w:r>
    </w:p>
    <w:p w:rsidR="006F32C1" w:rsidRDefault="006F32C1"/>
    <w:p w:rsidR="006F32C1" w:rsidRDefault="006F32C1"/>
    <w:p w:rsidR="006F32C1" w:rsidRDefault="006F32C1"/>
    <w:p w:rsidR="006F32C1" w:rsidRDefault="006F32C1"/>
    <w:p w:rsidR="006F32C1" w:rsidRDefault="006F32C1">
      <w:r w:rsidRPr="006F32C1">
        <w:rPr>
          <w:noProof/>
        </w:rPr>
        <w:drawing>
          <wp:inline distT="0" distB="0" distL="0" distR="0">
            <wp:extent cx="5799859" cy="3526971"/>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5800397" cy="3527298"/>
                    </a:xfrm>
                    <a:prstGeom prst="rect">
                      <a:avLst/>
                    </a:prstGeom>
                    <a:noFill/>
                    <a:ln w="9525">
                      <a:noFill/>
                      <a:miter lim="800000"/>
                      <a:headEnd/>
                      <a:tailEnd/>
                    </a:ln>
                  </pic:spPr>
                </pic:pic>
              </a:graphicData>
            </a:graphic>
          </wp:inline>
        </w:drawing>
      </w:r>
    </w:p>
    <w:p w:rsidR="006F32C1" w:rsidRDefault="006F32C1"/>
    <w:p w:rsidR="006F32C1" w:rsidRDefault="006F32C1"/>
    <w:p w:rsidR="006F32C1" w:rsidRDefault="00B016DB">
      <w:r w:rsidRPr="00B016DB">
        <w:rPr>
          <w:noProof/>
        </w:rPr>
        <w:lastRenderedPageBreak/>
        <w:drawing>
          <wp:inline distT="0" distB="0" distL="0" distR="0">
            <wp:extent cx="5269744" cy="7196447"/>
            <wp:effectExtent l="19050" t="0" r="7106"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5274310" cy="7202683"/>
                    </a:xfrm>
                    <a:prstGeom prst="rect">
                      <a:avLst/>
                    </a:prstGeom>
                    <a:noFill/>
                    <a:ln w="9525">
                      <a:noFill/>
                      <a:miter lim="800000"/>
                      <a:headEnd/>
                      <a:tailEnd/>
                    </a:ln>
                  </pic:spPr>
                </pic:pic>
              </a:graphicData>
            </a:graphic>
          </wp:inline>
        </w:drawing>
      </w:r>
    </w:p>
    <w:p w:rsidR="00B016DB" w:rsidRDefault="00B016DB"/>
    <w:p w:rsidR="00B016DB" w:rsidRDefault="00B016DB"/>
    <w:p w:rsidR="00B016DB" w:rsidRDefault="00B016DB"/>
    <w:p w:rsidR="00B016DB" w:rsidRDefault="00B016DB"/>
    <w:p w:rsidR="00B016DB" w:rsidRDefault="00B016DB"/>
    <w:p w:rsidR="00B016DB" w:rsidRDefault="00B016DB"/>
    <w:p w:rsidR="00B016DB" w:rsidRDefault="00B016DB"/>
    <w:p w:rsidR="00B016DB" w:rsidRDefault="00B016DB">
      <w:r w:rsidRPr="00B016DB">
        <w:rPr>
          <w:noProof/>
        </w:rPr>
        <w:lastRenderedPageBreak/>
        <w:drawing>
          <wp:inline distT="0" distB="0" distL="0" distR="0">
            <wp:extent cx="5989864" cy="2410691"/>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5989302" cy="2410465"/>
                    </a:xfrm>
                    <a:prstGeom prst="rect">
                      <a:avLst/>
                    </a:prstGeom>
                    <a:noFill/>
                    <a:ln w="9525">
                      <a:noFill/>
                      <a:miter lim="800000"/>
                      <a:headEnd/>
                      <a:tailEnd/>
                    </a:ln>
                  </pic:spPr>
                </pic:pic>
              </a:graphicData>
            </a:graphic>
          </wp:inline>
        </w:drawing>
      </w:r>
    </w:p>
    <w:p w:rsidR="00B016DB" w:rsidRDefault="00B016DB"/>
    <w:p w:rsidR="00B016DB" w:rsidRDefault="00B016DB"/>
    <w:p w:rsidR="00B016DB" w:rsidRDefault="00B016DB"/>
    <w:p w:rsidR="00B016DB" w:rsidRDefault="00B016DB"/>
    <w:p w:rsidR="00B016DB" w:rsidRDefault="00B016DB"/>
    <w:p w:rsidR="00B016DB" w:rsidRDefault="00B016DB">
      <w:r w:rsidRPr="00B016DB">
        <w:rPr>
          <w:noProof/>
        </w:rPr>
        <w:drawing>
          <wp:inline distT="0" distB="0" distL="0" distR="0">
            <wp:extent cx="5846726" cy="1496291"/>
            <wp:effectExtent l="19050" t="0" r="1624"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5854875" cy="1498376"/>
                    </a:xfrm>
                    <a:prstGeom prst="rect">
                      <a:avLst/>
                    </a:prstGeom>
                    <a:noFill/>
                    <a:ln w="9525">
                      <a:noFill/>
                      <a:miter lim="800000"/>
                      <a:headEnd/>
                      <a:tailEnd/>
                    </a:ln>
                  </pic:spPr>
                </pic:pic>
              </a:graphicData>
            </a:graphic>
          </wp:inline>
        </w:drawing>
      </w:r>
    </w:p>
    <w:p w:rsidR="00B016DB" w:rsidRDefault="00B016DB"/>
    <w:p w:rsidR="00B016DB" w:rsidRDefault="00B016DB"/>
    <w:p w:rsidR="00B016DB" w:rsidRDefault="00B016DB"/>
    <w:p w:rsidR="00B016DB" w:rsidRDefault="00B016DB">
      <w:r w:rsidRPr="00B016DB">
        <w:rPr>
          <w:noProof/>
        </w:rPr>
        <w:drawing>
          <wp:inline distT="0" distB="0" distL="0" distR="0">
            <wp:extent cx="5846091" cy="1864426"/>
            <wp:effectExtent l="19050" t="0" r="2259"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5846177" cy="1864453"/>
                    </a:xfrm>
                    <a:prstGeom prst="rect">
                      <a:avLst/>
                    </a:prstGeom>
                    <a:noFill/>
                    <a:ln w="9525">
                      <a:noFill/>
                      <a:miter lim="800000"/>
                      <a:headEnd/>
                      <a:tailEnd/>
                    </a:ln>
                  </pic:spPr>
                </pic:pic>
              </a:graphicData>
            </a:graphic>
          </wp:inline>
        </w:drawing>
      </w:r>
    </w:p>
    <w:p w:rsidR="00B016DB" w:rsidRDefault="00B016DB">
      <w:pPr>
        <w:rPr>
          <w:rFonts w:hint="eastAsia"/>
        </w:rPr>
      </w:pPr>
    </w:p>
    <w:p w:rsidR="00676F10" w:rsidRDefault="00676F10">
      <w:pPr>
        <w:rPr>
          <w:rFonts w:hint="eastAsia"/>
        </w:rPr>
      </w:pPr>
    </w:p>
    <w:p w:rsidR="00676F10" w:rsidRDefault="00676F10">
      <w:pPr>
        <w:rPr>
          <w:rFonts w:hint="eastAsia"/>
        </w:rPr>
      </w:pPr>
    </w:p>
    <w:p w:rsidR="00676F10" w:rsidRDefault="00676F10">
      <w:pPr>
        <w:rPr>
          <w:rFonts w:hint="eastAsia"/>
        </w:rPr>
      </w:pPr>
    </w:p>
    <w:p w:rsidR="00676F10" w:rsidRDefault="00676F10">
      <w:pPr>
        <w:rPr>
          <w:rFonts w:hint="eastAsia"/>
        </w:rPr>
      </w:pPr>
    </w:p>
    <w:p w:rsidR="00676F10" w:rsidRDefault="00676F10">
      <w:pPr>
        <w:rPr>
          <w:rFonts w:hint="eastAsia"/>
        </w:rPr>
      </w:pPr>
      <w:r w:rsidRPr="00676F10">
        <w:lastRenderedPageBreak/>
        <w:drawing>
          <wp:inline distT="0" distB="0" distL="0" distR="0">
            <wp:extent cx="5274310" cy="8205529"/>
            <wp:effectExtent l="19050" t="0" r="254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5274310" cy="8205529"/>
                    </a:xfrm>
                    <a:prstGeom prst="rect">
                      <a:avLst/>
                    </a:prstGeom>
                    <a:noFill/>
                    <a:ln w="9525">
                      <a:noFill/>
                      <a:miter lim="800000"/>
                      <a:headEnd/>
                      <a:tailEnd/>
                    </a:ln>
                  </pic:spPr>
                </pic:pic>
              </a:graphicData>
            </a:graphic>
          </wp:inline>
        </w:drawing>
      </w:r>
    </w:p>
    <w:p w:rsidR="00676F10" w:rsidRDefault="00676F10"/>
    <w:p w:rsidR="00B016DB" w:rsidRDefault="00B016DB"/>
    <w:p w:rsidR="00B016DB" w:rsidRDefault="00676F10">
      <w:r w:rsidRPr="00676F10">
        <w:lastRenderedPageBreak/>
        <w:drawing>
          <wp:inline distT="0" distB="0" distL="0" distR="0">
            <wp:extent cx="5274310" cy="8150588"/>
            <wp:effectExtent l="19050" t="0" r="2540" b="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5274310" cy="8150588"/>
                    </a:xfrm>
                    <a:prstGeom prst="rect">
                      <a:avLst/>
                    </a:prstGeom>
                    <a:noFill/>
                    <a:ln w="9525">
                      <a:noFill/>
                      <a:miter lim="800000"/>
                      <a:headEnd/>
                      <a:tailEnd/>
                    </a:ln>
                  </pic:spPr>
                </pic:pic>
              </a:graphicData>
            </a:graphic>
          </wp:inline>
        </w:drawing>
      </w:r>
    </w:p>
    <w:p w:rsidR="00B016DB" w:rsidRDefault="00B016DB"/>
    <w:p w:rsidR="00B016DB" w:rsidRDefault="00B016DB"/>
    <w:p w:rsidR="00B016DB" w:rsidRDefault="00B016DB" w:rsidP="00B016DB">
      <w:pPr>
        <w:spacing w:line="500" w:lineRule="exact"/>
        <w:jc w:val="center"/>
        <w:rPr>
          <w:rFonts w:ascii="方正小标宋简体" w:eastAsia="方正小标宋简体"/>
          <w:sz w:val="28"/>
          <w:szCs w:val="28"/>
        </w:rPr>
      </w:pPr>
      <w:r>
        <w:rPr>
          <w:rFonts w:ascii="方正小标宋简体" w:eastAsia="方正小标宋简体" w:hint="eastAsia"/>
          <w:sz w:val="28"/>
          <w:szCs w:val="28"/>
        </w:rPr>
        <w:lastRenderedPageBreak/>
        <w:t>第三部分  南昌市青山湖区住房和城乡建设局本级单位2025年单位预算情况说明</w:t>
      </w:r>
    </w:p>
    <w:p w:rsidR="00B016DB" w:rsidRDefault="00B016DB" w:rsidP="00B016DB">
      <w:pPr>
        <w:spacing w:line="500" w:lineRule="exact"/>
        <w:ind w:firstLineChars="200" w:firstLine="560"/>
        <w:rPr>
          <w:rFonts w:ascii="仿宋_GB2312" w:eastAsia="仿宋_GB2312"/>
          <w:sz w:val="28"/>
          <w:szCs w:val="28"/>
        </w:rPr>
      </w:pPr>
    </w:p>
    <w:p w:rsidR="00B016DB" w:rsidRDefault="00B016DB" w:rsidP="00B016DB">
      <w:pPr>
        <w:spacing w:line="500" w:lineRule="exact"/>
        <w:ind w:firstLineChars="200" w:firstLine="560"/>
        <w:rPr>
          <w:rFonts w:ascii="黑体" w:eastAsia="黑体"/>
          <w:sz w:val="28"/>
          <w:szCs w:val="28"/>
        </w:rPr>
      </w:pPr>
      <w:r>
        <w:rPr>
          <w:rFonts w:ascii="黑体" w:eastAsia="黑体" w:hint="eastAsia"/>
          <w:sz w:val="28"/>
          <w:szCs w:val="28"/>
        </w:rPr>
        <w:t>一、2025年单位预算收支情况说明</w:t>
      </w:r>
    </w:p>
    <w:p w:rsidR="00B016DB" w:rsidRDefault="00B016DB" w:rsidP="00E8329E">
      <w:pPr>
        <w:spacing w:line="500" w:lineRule="exact"/>
        <w:ind w:firstLineChars="200" w:firstLine="560"/>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proofErr w:type="gramStart"/>
      <w:r>
        <w:rPr>
          <w:rFonts w:ascii="楷体_GB2312" w:eastAsia="楷体_GB2312" w:hAnsi="楷体_GB2312" w:cs="楷体_GB2312" w:hint="eastAsia"/>
          <w:b/>
          <w:sz w:val="28"/>
          <w:szCs w:val="28"/>
        </w:rPr>
        <w:t>一</w:t>
      </w:r>
      <w:proofErr w:type="gramEnd"/>
      <w:r>
        <w:rPr>
          <w:rFonts w:ascii="楷体_GB2312" w:eastAsia="楷体_GB2312" w:hAnsi="楷体_GB2312" w:cs="楷体_GB2312" w:hint="eastAsia"/>
          <w:b/>
          <w:sz w:val="28"/>
          <w:szCs w:val="28"/>
        </w:rPr>
        <w:t>)收入预算情况</w:t>
      </w:r>
    </w:p>
    <w:p w:rsidR="00B016DB" w:rsidRDefault="00B016DB" w:rsidP="00B016DB">
      <w:pPr>
        <w:spacing w:line="500" w:lineRule="exact"/>
        <w:ind w:firstLineChars="200" w:firstLine="560"/>
        <w:rPr>
          <w:rFonts w:ascii="仿宋_GB2312" w:eastAsia="仿宋_GB2312"/>
          <w:sz w:val="28"/>
          <w:szCs w:val="28"/>
        </w:rPr>
      </w:pPr>
      <w:r>
        <w:rPr>
          <w:rFonts w:ascii="仿宋_GB2312" w:eastAsia="仿宋_GB2312" w:hint="eastAsia"/>
          <w:sz w:val="28"/>
          <w:szCs w:val="28"/>
        </w:rPr>
        <w:t>2025年区住建局本级单位收入预算总额为767.8万元，较上年增加488.84万元，增长175.2%,主要原因是本年度其他资金余额增加。其中：财政拨款收入267.8万元，较上年预算安排减少6.16万元，主要原因是减少人员开支;</w:t>
      </w:r>
      <w:r w:rsidRPr="00B016DB">
        <w:rPr>
          <w:rFonts w:ascii="仿宋_GB2312" w:eastAsia="仿宋_GB2312" w:hint="eastAsia"/>
          <w:sz w:val="28"/>
          <w:szCs w:val="28"/>
        </w:rPr>
        <w:t xml:space="preserve"> </w:t>
      </w:r>
      <w:r>
        <w:rPr>
          <w:rFonts w:ascii="仿宋_GB2312" w:eastAsia="仿宋_GB2312" w:hint="eastAsia"/>
          <w:sz w:val="28"/>
          <w:szCs w:val="28"/>
        </w:rPr>
        <w:t>教育收费资金收入0万元，较上年预算安排增加0万元，主要原因是无教育收费资金收入;事业收入0万元，较上年预算安排增加0万元，主要原因是无事业收入;事业单位经营收入0万元，较上年预算安排增加0万元，主要原因是无事业单位经营收入;附属单位上缴收入0万元，较上年预算安排增加0万元，主要原因是附属单位上缴收入;上级补助收入0万元，较上年预算安排增加0万元，主要原因是无上级补助收入;其他收入500万元，较上年预算安排增加495万元，主要原因是其他资金余额增加;使用非财政拨款结余0万元，较上年预算安排增加0万元，主要原因是无非财政拨款结余;上年结转(结余)0元，较上年预算安排增加0万元，主要原因是</w:t>
      </w:r>
      <w:proofErr w:type="gramStart"/>
      <w:r>
        <w:rPr>
          <w:rFonts w:ascii="仿宋_GB2312" w:eastAsia="仿宋_GB2312" w:hint="eastAsia"/>
          <w:sz w:val="28"/>
          <w:szCs w:val="28"/>
        </w:rPr>
        <w:t>无上年</w:t>
      </w:r>
      <w:proofErr w:type="gramEnd"/>
      <w:r>
        <w:rPr>
          <w:rFonts w:ascii="仿宋_GB2312" w:eastAsia="仿宋_GB2312" w:hint="eastAsia"/>
          <w:sz w:val="28"/>
          <w:szCs w:val="28"/>
        </w:rPr>
        <w:t>结转结余。</w:t>
      </w:r>
    </w:p>
    <w:p w:rsidR="00B016DB" w:rsidRDefault="00B016DB" w:rsidP="00B016DB">
      <w:pPr>
        <w:spacing w:line="500" w:lineRule="exact"/>
        <w:ind w:firstLineChars="200" w:firstLine="560"/>
        <w:rPr>
          <w:rFonts w:ascii="仿宋_GB2312" w:eastAsia="仿宋_GB2312"/>
          <w:sz w:val="28"/>
          <w:szCs w:val="28"/>
        </w:rPr>
      </w:pPr>
      <w:r>
        <w:rPr>
          <w:rFonts w:ascii="仿宋_GB2312" w:eastAsia="仿宋_GB2312" w:hint="eastAsia"/>
          <w:sz w:val="28"/>
          <w:szCs w:val="28"/>
        </w:rPr>
        <w:t xml:space="preserve"> (二)支出预算情况</w:t>
      </w:r>
    </w:p>
    <w:p w:rsidR="00B016DB" w:rsidRDefault="00B016DB" w:rsidP="00B016DB">
      <w:pPr>
        <w:spacing w:line="500" w:lineRule="exact"/>
        <w:ind w:firstLineChars="200" w:firstLine="560"/>
        <w:rPr>
          <w:rFonts w:ascii="仿宋_GB2312" w:eastAsia="仿宋_GB2312"/>
          <w:sz w:val="28"/>
          <w:szCs w:val="28"/>
        </w:rPr>
      </w:pPr>
      <w:r>
        <w:rPr>
          <w:rFonts w:ascii="仿宋_GB2312" w:eastAsia="仿宋_GB2312" w:hint="eastAsia"/>
          <w:sz w:val="28"/>
          <w:szCs w:val="28"/>
        </w:rPr>
        <w:t>2025年区住建局本级单位支出预算总额为767.8万元，较上年增加488.84万元，增长175.2%,主要原因是本年度其他资金余额增加。其中：按支出项目类别划分：基本支出</w:t>
      </w:r>
      <w:r w:rsidR="00814933">
        <w:rPr>
          <w:rFonts w:ascii="仿宋_GB2312" w:eastAsia="仿宋_GB2312" w:hint="eastAsia"/>
          <w:sz w:val="28"/>
          <w:szCs w:val="28"/>
        </w:rPr>
        <w:t>744.6</w:t>
      </w:r>
      <w:r>
        <w:rPr>
          <w:rFonts w:ascii="仿宋_GB2312" w:eastAsia="仿宋_GB2312" w:hint="eastAsia"/>
          <w:sz w:val="28"/>
          <w:szCs w:val="28"/>
        </w:rPr>
        <w:t>万元，较上年预算安排增加</w:t>
      </w:r>
      <w:r w:rsidR="00814933">
        <w:rPr>
          <w:rFonts w:ascii="仿宋_GB2312" w:eastAsia="仿宋_GB2312" w:hint="eastAsia"/>
          <w:sz w:val="28"/>
          <w:szCs w:val="28"/>
        </w:rPr>
        <w:t>494.64</w:t>
      </w:r>
      <w:r>
        <w:rPr>
          <w:rFonts w:ascii="仿宋_GB2312" w:eastAsia="仿宋_GB2312" w:hint="eastAsia"/>
          <w:sz w:val="28"/>
          <w:szCs w:val="28"/>
        </w:rPr>
        <w:t>万元，主要原因是</w:t>
      </w:r>
      <w:r w:rsidR="00814933">
        <w:rPr>
          <w:rFonts w:ascii="仿宋_GB2312" w:eastAsia="仿宋_GB2312" w:hint="eastAsia"/>
          <w:sz w:val="28"/>
          <w:szCs w:val="28"/>
        </w:rPr>
        <w:t>本年度其他资金余额增加</w:t>
      </w:r>
      <w:r>
        <w:rPr>
          <w:rFonts w:ascii="仿宋_GB2312" w:eastAsia="仿宋_GB2312" w:hint="eastAsia"/>
          <w:sz w:val="28"/>
          <w:szCs w:val="28"/>
        </w:rPr>
        <w:t>;其中：工资福利支出</w:t>
      </w:r>
      <w:r w:rsidR="00814933">
        <w:rPr>
          <w:rFonts w:ascii="仿宋_GB2312" w:eastAsia="仿宋_GB2312" w:hint="eastAsia"/>
          <w:sz w:val="28"/>
          <w:szCs w:val="28"/>
        </w:rPr>
        <w:t>229.09</w:t>
      </w:r>
      <w:r>
        <w:rPr>
          <w:rFonts w:ascii="仿宋_GB2312" w:eastAsia="仿宋_GB2312" w:hint="eastAsia"/>
          <w:sz w:val="28"/>
          <w:szCs w:val="28"/>
        </w:rPr>
        <w:t>万元、商品和服务支出</w:t>
      </w:r>
      <w:r w:rsidR="00814933">
        <w:rPr>
          <w:rFonts w:ascii="仿宋_GB2312" w:eastAsia="仿宋_GB2312" w:hint="eastAsia"/>
          <w:sz w:val="28"/>
          <w:szCs w:val="28"/>
        </w:rPr>
        <w:t>514.29</w:t>
      </w:r>
      <w:r>
        <w:rPr>
          <w:rFonts w:ascii="仿宋_GB2312" w:eastAsia="仿宋_GB2312" w:hint="eastAsia"/>
          <w:sz w:val="28"/>
          <w:szCs w:val="28"/>
        </w:rPr>
        <w:t>万元、对个人和家庭的补助</w:t>
      </w:r>
      <w:r w:rsidR="00814933">
        <w:rPr>
          <w:rFonts w:ascii="仿宋_GB2312" w:eastAsia="仿宋_GB2312" w:hint="eastAsia"/>
          <w:sz w:val="28"/>
          <w:szCs w:val="28"/>
        </w:rPr>
        <w:t>1.22</w:t>
      </w:r>
      <w:r>
        <w:rPr>
          <w:rFonts w:ascii="仿宋_GB2312" w:eastAsia="仿宋_GB2312" w:hint="eastAsia"/>
          <w:sz w:val="28"/>
          <w:szCs w:val="28"/>
        </w:rPr>
        <w:t>万元、资本性支出</w:t>
      </w:r>
      <w:r w:rsidR="00814933">
        <w:rPr>
          <w:rFonts w:ascii="仿宋_GB2312" w:eastAsia="仿宋_GB2312" w:hint="eastAsia"/>
          <w:sz w:val="28"/>
          <w:szCs w:val="28"/>
        </w:rPr>
        <w:t>0</w:t>
      </w:r>
      <w:r>
        <w:rPr>
          <w:rFonts w:ascii="仿宋_GB2312" w:eastAsia="仿宋_GB2312" w:hint="eastAsia"/>
          <w:sz w:val="28"/>
          <w:szCs w:val="28"/>
        </w:rPr>
        <w:t>万元；项目支出</w:t>
      </w:r>
      <w:r w:rsidR="00814933">
        <w:rPr>
          <w:rFonts w:ascii="仿宋_GB2312" w:eastAsia="仿宋_GB2312" w:hint="eastAsia"/>
          <w:sz w:val="28"/>
          <w:szCs w:val="28"/>
        </w:rPr>
        <w:t>23.2</w:t>
      </w:r>
      <w:r>
        <w:rPr>
          <w:rFonts w:ascii="仿宋_GB2312" w:eastAsia="仿宋_GB2312" w:hint="eastAsia"/>
          <w:sz w:val="28"/>
          <w:szCs w:val="28"/>
        </w:rPr>
        <w:t>万元，较上年预算安排</w:t>
      </w:r>
      <w:r w:rsidR="00814933">
        <w:rPr>
          <w:rFonts w:ascii="仿宋_GB2312" w:eastAsia="仿宋_GB2312" w:hint="eastAsia"/>
          <w:sz w:val="28"/>
          <w:szCs w:val="28"/>
        </w:rPr>
        <w:t>减少</w:t>
      </w:r>
      <w:r w:rsidR="00BC684C">
        <w:rPr>
          <w:rFonts w:ascii="仿宋_GB2312" w:eastAsia="仿宋_GB2312" w:hint="eastAsia"/>
          <w:sz w:val="28"/>
          <w:szCs w:val="28"/>
        </w:rPr>
        <w:t>5.8</w:t>
      </w:r>
      <w:r>
        <w:rPr>
          <w:rFonts w:ascii="仿宋_GB2312" w:eastAsia="仿宋_GB2312" w:hint="eastAsia"/>
          <w:sz w:val="28"/>
          <w:szCs w:val="28"/>
        </w:rPr>
        <w:t>万元，主要原因是</w:t>
      </w:r>
      <w:r w:rsidR="00BC684C">
        <w:rPr>
          <w:rFonts w:ascii="仿宋_GB2312" w:eastAsia="仿宋_GB2312" w:hint="eastAsia"/>
          <w:sz w:val="28"/>
          <w:szCs w:val="28"/>
        </w:rPr>
        <w:t>本年度减少项目开支</w:t>
      </w:r>
      <w:r>
        <w:rPr>
          <w:rFonts w:ascii="仿宋_GB2312" w:eastAsia="仿宋_GB2312" w:hint="eastAsia"/>
          <w:sz w:val="28"/>
          <w:szCs w:val="28"/>
        </w:rPr>
        <w:t>;其中：</w:t>
      </w:r>
      <w:r>
        <w:rPr>
          <w:rFonts w:ascii="仿宋_GB2312" w:eastAsia="仿宋_GB2312" w:hint="eastAsia"/>
          <w:sz w:val="28"/>
          <w:szCs w:val="28"/>
        </w:rPr>
        <w:lastRenderedPageBreak/>
        <w:t>工资福利支出</w:t>
      </w:r>
      <w:r w:rsidR="00BC684C">
        <w:rPr>
          <w:rFonts w:ascii="仿宋_GB2312" w:eastAsia="仿宋_GB2312" w:hint="eastAsia"/>
          <w:sz w:val="28"/>
          <w:szCs w:val="28"/>
        </w:rPr>
        <w:t>0</w:t>
      </w:r>
      <w:r>
        <w:rPr>
          <w:rFonts w:ascii="仿宋_GB2312" w:eastAsia="仿宋_GB2312" w:hint="eastAsia"/>
          <w:sz w:val="28"/>
          <w:szCs w:val="28"/>
        </w:rPr>
        <w:t>万元、商品和服务支出</w:t>
      </w:r>
      <w:r w:rsidR="00BC684C">
        <w:rPr>
          <w:rFonts w:ascii="仿宋_GB2312" w:eastAsia="仿宋_GB2312" w:hint="eastAsia"/>
          <w:sz w:val="28"/>
          <w:szCs w:val="28"/>
        </w:rPr>
        <w:t>23.2</w:t>
      </w:r>
      <w:r>
        <w:rPr>
          <w:rFonts w:ascii="仿宋_GB2312" w:eastAsia="仿宋_GB2312" w:hint="eastAsia"/>
          <w:sz w:val="28"/>
          <w:szCs w:val="28"/>
        </w:rPr>
        <w:t>万元、对个人和家庭的补助</w:t>
      </w:r>
      <w:r w:rsidR="00BC684C">
        <w:rPr>
          <w:rFonts w:ascii="仿宋_GB2312" w:eastAsia="仿宋_GB2312" w:hint="eastAsia"/>
          <w:sz w:val="28"/>
          <w:szCs w:val="28"/>
        </w:rPr>
        <w:t>0</w:t>
      </w:r>
      <w:r>
        <w:rPr>
          <w:rFonts w:ascii="仿宋_GB2312" w:eastAsia="仿宋_GB2312" w:hint="eastAsia"/>
          <w:sz w:val="28"/>
          <w:szCs w:val="28"/>
        </w:rPr>
        <w:t>万元、债务利息及费用支出</w:t>
      </w:r>
      <w:r w:rsidR="00BC684C">
        <w:rPr>
          <w:rFonts w:ascii="仿宋_GB2312" w:eastAsia="仿宋_GB2312" w:hint="eastAsia"/>
          <w:sz w:val="28"/>
          <w:szCs w:val="28"/>
        </w:rPr>
        <w:t>0</w:t>
      </w:r>
      <w:r>
        <w:rPr>
          <w:rFonts w:ascii="仿宋_GB2312" w:eastAsia="仿宋_GB2312" w:hint="eastAsia"/>
          <w:sz w:val="28"/>
          <w:szCs w:val="28"/>
        </w:rPr>
        <w:t>万元、资本性支出(基本建设)</w:t>
      </w:r>
      <w:r w:rsidR="00BC684C">
        <w:rPr>
          <w:rFonts w:ascii="仿宋_GB2312" w:eastAsia="仿宋_GB2312" w:hint="eastAsia"/>
          <w:sz w:val="28"/>
          <w:szCs w:val="28"/>
        </w:rPr>
        <w:t>0</w:t>
      </w:r>
      <w:r>
        <w:rPr>
          <w:rFonts w:ascii="仿宋_GB2312" w:eastAsia="仿宋_GB2312" w:hint="eastAsia"/>
          <w:sz w:val="28"/>
          <w:szCs w:val="28"/>
        </w:rPr>
        <w:t>万元，资本性支出</w:t>
      </w:r>
      <w:r w:rsidR="00BC684C">
        <w:rPr>
          <w:rFonts w:ascii="仿宋_GB2312" w:eastAsia="仿宋_GB2312" w:hint="eastAsia"/>
          <w:sz w:val="28"/>
          <w:szCs w:val="28"/>
        </w:rPr>
        <w:t>0</w:t>
      </w:r>
      <w:r>
        <w:rPr>
          <w:rFonts w:ascii="仿宋_GB2312" w:eastAsia="仿宋_GB2312" w:hint="eastAsia"/>
          <w:sz w:val="28"/>
          <w:szCs w:val="28"/>
        </w:rPr>
        <w:t>万元，对企业补助</w:t>
      </w:r>
      <w:r w:rsidR="00BC684C">
        <w:rPr>
          <w:rFonts w:ascii="仿宋_GB2312" w:eastAsia="仿宋_GB2312" w:hint="eastAsia"/>
          <w:sz w:val="28"/>
          <w:szCs w:val="28"/>
        </w:rPr>
        <w:t>0</w:t>
      </w:r>
      <w:r>
        <w:rPr>
          <w:rFonts w:ascii="仿宋_GB2312" w:eastAsia="仿宋_GB2312" w:hint="eastAsia"/>
          <w:sz w:val="28"/>
          <w:szCs w:val="28"/>
        </w:rPr>
        <w:t>万元，其他支出</w:t>
      </w:r>
      <w:r w:rsidR="00BC684C">
        <w:rPr>
          <w:rFonts w:ascii="仿宋_GB2312" w:eastAsia="仿宋_GB2312" w:hint="eastAsia"/>
          <w:sz w:val="28"/>
          <w:szCs w:val="28"/>
        </w:rPr>
        <w:t>0</w:t>
      </w:r>
      <w:r>
        <w:rPr>
          <w:rFonts w:ascii="仿宋_GB2312" w:eastAsia="仿宋_GB2312" w:hint="eastAsia"/>
          <w:sz w:val="28"/>
          <w:szCs w:val="28"/>
        </w:rPr>
        <w:t>万元。</w:t>
      </w:r>
    </w:p>
    <w:p w:rsidR="00BC684C" w:rsidRDefault="00BC684C" w:rsidP="00BC684C">
      <w:pPr>
        <w:spacing w:line="500" w:lineRule="exact"/>
        <w:ind w:firstLineChars="200" w:firstLine="560"/>
        <w:rPr>
          <w:rFonts w:ascii="仿宋_GB2312" w:eastAsia="仿宋_GB2312"/>
          <w:sz w:val="28"/>
          <w:szCs w:val="28"/>
        </w:rPr>
      </w:pPr>
      <w:r>
        <w:rPr>
          <w:rFonts w:ascii="仿宋_GB2312" w:eastAsia="仿宋_GB2312" w:hint="eastAsia"/>
          <w:sz w:val="28"/>
          <w:szCs w:val="28"/>
        </w:rPr>
        <w:t>按支出功能科目划分：城乡社区支出767.8万元，较上年预算安排增加488.84万元，增长175.2%,主要原因是本年度其他资金余额增加。</w:t>
      </w:r>
    </w:p>
    <w:p w:rsidR="00BC684C" w:rsidRDefault="00BC684C" w:rsidP="00264220">
      <w:pPr>
        <w:spacing w:line="500" w:lineRule="exact"/>
        <w:ind w:firstLineChars="200" w:firstLine="560"/>
        <w:rPr>
          <w:rFonts w:ascii="仿宋_GB2312" w:eastAsia="仿宋_GB2312"/>
          <w:sz w:val="28"/>
          <w:szCs w:val="28"/>
        </w:rPr>
      </w:pPr>
      <w:r>
        <w:rPr>
          <w:rFonts w:ascii="仿宋_GB2312" w:eastAsia="仿宋_GB2312" w:hint="eastAsia"/>
          <w:sz w:val="28"/>
          <w:szCs w:val="28"/>
        </w:rPr>
        <w:t>按支出经济分类划分：工资福利支出229.09万元，较上年预算安排</w:t>
      </w:r>
      <w:r w:rsidR="00264220">
        <w:rPr>
          <w:rFonts w:ascii="仿宋_GB2312" w:eastAsia="仿宋_GB2312" w:hint="eastAsia"/>
          <w:sz w:val="28"/>
          <w:szCs w:val="28"/>
        </w:rPr>
        <w:t>增加1.35</w:t>
      </w:r>
      <w:r>
        <w:rPr>
          <w:rFonts w:ascii="仿宋_GB2312" w:eastAsia="仿宋_GB2312" w:hint="eastAsia"/>
          <w:sz w:val="28"/>
          <w:szCs w:val="28"/>
        </w:rPr>
        <w:t>万元，主要原因是</w:t>
      </w:r>
      <w:r w:rsidR="00264220">
        <w:rPr>
          <w:rFonts w:ascii="仿宋_GB2312" w:eastAsia="仿宋_GB2312" w:hint="eastAsia"/>
          <w:sz w:val="28"/>
          <w:szCs w:val="28"/>
        </w:rPr>
        <w:t>增加人员经费</w:t>
      </w:r>
      <w:r>
        <w:rPr>
          <w:rFonts w:ascii="仿宋_GB2312" w:eastAsia="仿宋_GB2312" w:hint="eastAsia"/>
          <w:sz w:val="28"/>
          <w:szCs w:val="28"/>
        </w:rPr>
        <w:t>;商品和服务</w:t>
      </w:r>
      <w:r w:rsidR="00264220">
        <w:rPr>
          <w:rFonts w:ascii="仿宋_GB2312" w:eastAsia="仿宋_GB2312" w:hint="eastAsia"/>
          <w:sz w:val="28"/>
          <w:szCs w:val="28"/>
        </w:rPr>
        <w:t>537.49</w:t>
      </w:r>
      <w:r>
        <w:rPr>
          <w:rFonts w:ascii="仿宋_GB2312" w:eastAsia="仿宋_GB2312" w:hint="eastAsia"/>
          <w:sz w:val="28"/>
          <w:szCs w:val="28"/>
        </w:rPr>
        <w:t>万元，较上年预算安排</w:t>
      </w:r>
      <w:r w:rsidR="00264220">
        <w:rPr>
          <w:rFonts w:ascii="仿宋_GB2312" w:eastAsia="仿宋_GB2312" w:hint="eastAsia"/>
          <w:sz w:val="28"/>
          <w:szCs w:val="28"/>
        </w:rPr>
        <w:t>增加487.24</w:t>
      </w:r>
      <w:r>
        <w:rPr>
          <w:rFonts w:ascii="仿宋_GB2312" w:eastAsia="仿宋_GB2312" w:hint="eastAsia"/>
          <w:sz w:val="28"/>
          <w:szCs w:val="28"/>
        </w:rPr>
        <w:t>万元，主要原因是</w:t>
      </w:r>
      <w:r w:rsidR="00264220">
        <w:rPr>
          <w:rFonts w:ascii="仿宋_GB2312" w:eastAsia="仿宋_GB2312" w:hint="eastAsia"/>
          <w:sz w:val="28"/>
          <w:szCs w:val="28"/>
        </w:rPr>
        <w:t>本年度其他资金余额增加</w:t>
      </w:r>
      <w:r>
        <w:rPr>
          <w:rFonts w:ascii="仿宋_GB2312" w:eastAsia="仿宋_GB2312" w:hint="eastAsia"/>
          <w:sz w:val="28"/>
          <w:szCs w:val="28"/>
        </w:rPr>
        <w:t>;对个人和家庭的补助</w:t>
      </w:r>
      <w:r w:rsidR="00264220">
        <w:rPr>
          <w:rFonts w:ascii="仿宋_GB2312" w:eastAsia="仿宋_GB2312" w:hint="eastAsia"/>
          <w:sz w:val="28"/>
          <w:szCs w:val="28"/>
        </w:rPr>
        <w:t>1.22</w:t>
      </w:r>
      <w:r>
        <w:rPr>
          <w:rFonts w:ascii="仿宋_GB2312" w:eastAsia="仿宋_GB2312" w:hint="eastAsia"/>
          <w:sz w:val="28"/>
          <w:szCs w:val="28"/>
        </w:rPr>
        <w:t>万元，较上年预算安排增加0.2</w:t>
      </w:r>
      <w:r w:rsidR="00264220">
        <w:rPr>
          <w:rFonts w:ascii="仿宋_GB2312" w:eastAsia="仿宋_GB2312" w:hint="eastAsia"/>
          <w:sz w:val="28"/>
          <w:szCs w:val="28"/>
        </w:rPr>
        <w:t>5</w:t>
      </w:r>
      <w:r>
        <w:rPr>
          <w:rFonts w:ascii="仿宋_GB2312" w:eastAsia="仿宋_GB2312" w:hint="eastAsia"/>
          <w:sz w:val="28"/>
          <w:szCs w:val="28"/>
        </w:rPr>
        <w:t>万元，主要原因是退休人员增加。</w:t>
      </w:r>
    </w:p>
    <w:p w:rsidR="00B016DB" w:rsidRDefault="00BC684C" w:rsidP="00E8329E">
      <w:pPr>
        <w:spacing w:line="500" w:lineRule="exact"/>
        <w:ind w:firstLineChars="200" w:firstLine="560"/>
        <w:rPr>
          <w:rFonts w:ascii="楷体_GB2312" w:eastAsia="楷体_GB2312" w:hAnsi="楷体_GB2312" w:cs="楷体_GB2312"/>
          <w:b/>
          <w:sz w:val="28"/>
          <w:szCs w:val="28"/>
        </w:rPr>
      </w:pPr>
      <w:r>
        <w:rPr>
          <w:rFonts w:ascii="楷体_GB2312" w:eastAsia="楷体_GB2312" w:hAnsi="楷体_GB2312" w:cs="楷体_GB2312" w:hint="eastAsia"/>
          <w:b/>
          <w:sz w:val="28"/>
          <w:szCs w:val="28"/>
        </w:rPr>
        <w:t xml:space="preserve"> </w:t>
      </w:r>
      <w:r w:rsidR="00B016DB">
        <w:rPr>
          <w:rFonts w:ascii="楷体_GB2312" w:eastAsia="楷体_GB2312" w:hAnsi="楷体_GB2312" w:cs="楷体_GB2312" w:hint="eastAsia"/>
          <w:b/>
          <w:sz w:val="28"/>
          <w:szCs w:val="28"/>
        </w:rPr>
        <w:t>(三)财政拨款支出情况</w:t>
      </w:r>
    </w:p>
    <w:p w:rsidR="00B016DB" w:rsidRDefault="00B016DB" w:rsidP="00B016DB">
      <w:pPr>
        <w:spacing w:line="500" w:lineRule="exact"/>
        <w:ind w:firstLineChars="200" w:firstLine="560"/>
        <w:rPr>
          <w:rFonts w:ascii="仿宋_GB2312" w:eastAsia="仿宋_GB2312"/>
          <w:sz w:val="28"/>
          <w:szCs w:val="28"/>
        </w:rPr>
      </w:pPr>
      <w:r>
        <w:rPr>
          <w:rFonts w:ascii="仿宋_GB2312" w:eastAsia="仿宋_GB2312" w:hint="eastAsia"/>
          <w:sz w:val="28"/>
          <w:szCs w:val="28"/>
        </w:rPr>
        <w:t>2025年区</w:t>
      </w:r>
      <w:r w:rsidR="00264220">
        <w:rPr>
          <w:rFonts w:ascii="仿宋_GB2312" w:eastAsia="仿宋_GB2312" w:hint="eastAsia"/>
          <w:sz w:val="28"/>
          <w:szCs w:val="28"/>
        </w:rPr>
        <w:t>住建局本级</w:t>
      </w:r>
      <w:r>
        <w:rPr>
          <w:rFonts w:ascii="仿宋_GB2312" w:eastAsia="仿宋_GB2312" w:hint="eastAsia"/>
          <w:sz w:val="28"/>
          <w:szCs w:val="28"/>
        </w:rPr>
        <w:t>单位财政拨款支出预算</w:t>
      </w:r>
      <w:r w:rsidR="00264220">
        <w:rPr>
          <w:rFonts w:ascii="仿宋_GB2312" w:eastAsia="仿宋_GB2312" w:hint="eastAsia"/>
          <w:sz w:val="28"/>
          <w:szCs w:val="28"/>
        </w:rPr>
        <w:t>267.8</w:t>
      </w:r>
      <w:r>
        <w:rPr>
          <w:rFonts w:ascii="仿宋_GB2312" w:eastAsia="仿宋_GB2312" w:hint="eastAsia"/>
          <w:sz w:val="28"/>
          <w:szCs w:val="28"/>
        </w:rPr>
        <w:t>万元，较上年减少</w:t>
      </w:r>
      <w:r w:rsidR="00264220">
        <w:rPr>
          <w:rFonts w:ascii="仿宋_GB2312" w:eastAsia="仿宋_GB2312" w:hint="eastAsia"/>
          <w:sz w:val="28"/>
          <w:szCs w:val="28"/>
        </w:rPr>
        <w:t>6.16</w:t>
      </w:r>
      <w:r>
        <w:rPr>
          <w:rFonts w:ascii="仿宋_GB2312" w:eastAsia="仿宋_GB2312" w:hint="eastAsia"/>
          <w:sz w:val="28"/>
          <w:szCs w:val="28"/>
        </w:rPr>
        <w:t>万元，下降</w:t>
      </w:r>
      <w:r w:rsidR="00264220">
        <w:rPr>
          <w:rFonts w:ascii="仿宋_GB2312" w:eastAsia="仿宋_GB2312" w:hint="eastAsia"/>
          <w:sz w:val="28"/>
          <w:szCs w:val="28"/>
        </w:rPr>
        <w:t>2.2</w:t>
      </w:r>
      <w:r>
        <w:rPr>
          <w:rFonts w:ascii="仿宋_GB2312" w:eastAsia="仿宋_GB2312" w:hint="eastAsia"/>
          <w:sz w:val="28"/>
          <w:szCs w:val="28"/>
        </w:rPr>
        <w:t>%,主要原因是</w:t>
      </w:r>
      <w:r w:rsidR="00264220">
        <w:rPr>
          <w:rFonts w:ascii="仿宋_GB2312" w:eastAsia="仿宋_GB2312" w:hint="eastAsia"/>
          <w:sz w:val="28"/>
          <w:szCs w:val="28"/>
        </w:rPr>
        <w:t>减少人员开支</w:t>
      </w:r>
      <w:r>
        <w:rPr>
          <w:rFonts w:ascii="仿宋_GB2312" w:eastAsia="仿宋_GB2312" w:hint="eastAsia"/>
          <w:sz w:val="28"/>
          <w:szCs w:val="28"/>
        </w:rPr>
        <w:t>。</w:t>
      </w:r>
    </w:p>
    <w:p w:rsidR="00264220" w:rsidRDefault="00B016DB" w:rsidP="00B016DB">
      <w:pPr>
        <w:spacing w:line="500" w:lineRule="exact"/>
        <w:ind w:firstLineChars="200" w:firstLine="560"/>
        <w:rPr>
          <w:rFonts w:ascii="仿宋_GB2312" w:eastAsia="仿宋_GB2312"/>
          <w:sz w:val="28"/>
          <w:szCs w:val="28"/>
        </w:rPr>
      </w:pPr>
      <w:r>
        <w:rPr>
          <w:rFonts w:ascii="仿宋_GB2312" w:eastAsia="仿宋_GB2312" w:hint="eastAsia"/>
          <w:sz w:val="28"/>
          <w:szCs w:val="28"/>
        </w:rPr>
        <w:t>按支出功能科目划分：</w:t>
      </w:r>
      <w:r w:rsidR="00264220">
        <w:rPr>
          <w:rFonts w:ascii="仿宋_GB2312" w:eastAsia="仿宋_GB2312" w:hint="eastAsia"/>
          <w:sz w:val="28"/>
          <w:szCs w:val="28"/>
        </w:rPr>
        <w:t>城乡社区支出267.8</w:t>
      </w:r>
      <w:r>
        <w:rPr>
          <w:rFonts w:ascii="仿宋_GB2312" w:eastAsia="仿宋_GB2312" w:hint="eastAsia"/>
          <w:sz w:val="28"/>
          <w:szCs w:val="28"/>
        </w:rPr>
        <w:t>万元，较上年预算安排</w:t>
      </w:r>
      <w:r w:rsidR="00264220">
        <w:rPr>
          <w:rFonts w:ascii="仿宋_GB2312" w:eastAsia="仿宋_GB2312" w:hint="eastAsia"/>
          <w:sz w:val="28"/>
          <w:szCs w:val="28"/>
        </w:rPr>
        <w:t>减少6.16万元</w:t>
      </w:r>
      <w:r>
        <w:rPr>
          <w:rFonts w:ascii="仿宋_GB2312" w:eastAsia="仿宋_GB2312" w:hint="eastAsia"/>
          <w:sz w:val="28"/>
          <w:szCs w:val="28"/>
        </w:rPr>
        <w:t>，主要原因是</w:t>
      </w:r>
      <w:r w:rsidR="00264220">
        <w:rPr>
          <w:rFonts w:ascii="仿宋_GB2312" w:eastAsia="仿宋_GB2312" w:hint="eastAsia"/>
          <w:sz w:val="28"/>
          <w:szCs w:val="28"/>
        </w:rPr>
        <w:t>减少人员开支</w:t>
      </w:r>
      <w:r>
        <w:rPr>
          <w:rFonts w:ascii="仿宋_GB2312" w:eastAsia="仿宋_GB2312" w:hint="eastAsia"/>
          <w:sz w:val="28"/>
          <w:szCs w:val="28"/>
        </w:rPr>
        <w:t>。</w:t>
      </w:r>
    </w:p>
    <w:p w:rsidR="00B016DB" w:rsidRDefault="00B016DB" w:rsidP="00B016DB">
      <w:pPr>
        <w:spacing w:line="500" w:lineRule="exact"/>
        <w:ind w:firstLineChars="200" w:firstLine="560"/>
        <w:rPr>
          <w:rFonts w:ascii="仿宋_GB2312" w:eastAsia="仿宋_GB2312"/>
          <w:sz w:val="28"/>
          <w:szCs w:val="28"/>
        </w:rPr>
      </w:pPr>
      <w:r>
        <w:rPr>
          <w:rFonts w:ascii="仿宋_GB2312" w:eastAsia="仿宋_GB2312" w:hint="eastAsia"/>
          <w:sz w:val="28"/>
          <w:szCs w:val="28"/>
        </w:rPr>
        <w:t>按支出项目类别划分：基本支出</w:t>
      </w:r>
      <w:r w:rsidR="00264220">
        <w:rPr>
          <w:rFonts w:ascii="仿宋_GB2312" w:eastAsia="仿宋_GB2312" w:hint="eastAsia"/>
          <w:sz w:val="28"/>
          <w:szCs w:val="28"/>
        </w:rPr>
        <w:t>244.6万元，较上年预算安排</w:t>
      </w:r>
      <w:r>
        <w:rPr>
          <w:rFonts w:ascii="仿宋_GB2312" w:eastAsia="仿宋_GB2312" w:hint="eastAsia"/>
          <w:sz w:val="28"/>
          <w:szCs w:val="28"/>
        </w:rPr>
        <w:t>减少</w:t>
      </w:r>
      <w:r w:rsidR="00264220">
        <w:rPr>
          <w:rFonts w:ascii="仿宋_GB2312" w:eastAsia="仿宋_GB2312" w:hint="eastAsia"/>
          <w:sz w:val="28"/>
          <w:szCs w:val="28"/>
        </w:rPr>
        <w:t>5.36</w:t>
      </w:r>
      <w:r>
        <w:rPr>
          <w:rFonts w:ascii="仿宋_GB2312" w:eastAsia="仿宋_GB2312" w:hint="eastAsia"/>
          <w:sz w:val="28"/>
          <w:szCs w:val="28"/>
        </w:rPr>
        <w:t>万元，主要原因是</w:t>
      </w:r>
      <w:r w:rsidR="00264220">
        <w:rPr>
          <w:rFonts w:ascii="仿宋_GB2312" w:eastAsia="仿宋_GB2312" w:hint="eastAsia"/>
          <w:sz w:val="28"/>
          <w:szCs w:val="28"/>
        </w:rPr>
        <w:t>减少人员开支</w:t>
      </w:r>
      <w:r>
        <w:rPr>
          <w:rFonts w:ascii="仿宋_GB2312" w:eastAsia="仿宋_GB2312" w:hint="eastAsia"/>
          <w:sz w:val="28"/>
          <w:szCs w:val="28"/>
        </w:rPr>
        <w:t>;其中：工资福利支出</w:t>
      </w:r>
      <w:r w:rsidR="00264220">
        <w:rPr>
          <w:rFonts w:ascii="仿宋_GB2312" w:eastAsia="仿宋_GB2312" w:hint="eastAsia"/>
          <w:sz w:val="28"/>
          <w:szCs w:val="28"/>
        </w:rPr>
        <w:t>229.09</w:t>
      </w:r>
      <w:r>
        <w:rPr>
          <w:rFonts w:ascii="仿宋_GB2312" w:eastAsia="仿宋_GB2312" w:hint="eastAsia"/>
          <w:sz w:val="28"/>
          <w:szCs w:val="28"/>
        </w:rPr>
        <w:t>万元、商品和服务支出</w:t>
      </w:r>
      <w:r w:rsidR="00264220">
        <w:rPr>
          <w:rFonts w:ascii="仿宋_GB2312" w:eastAsia="仿宋_GB2312" w:hint="eastAsia"/>
          <w:sz w:val="28"/>
          <w:szCs w:val="28"/>
        </w:rPr>
        <w:t>14.29</w:t>
      </w:r>
      <w:r>
        <w:rPr>
          <w:rFonts w:ascii="仿宋_GB2312" w:eastAsia="仿宋_GB2312" w:hint="eastAsia"/>
          <w:sz w:val="28"/>
          <w:szCs w:val="28"/>
        </w:rPr>
        <w:t>万元、对个人和家庭的补助</w:t>
      </w:r>
      <w:r w:rsidR="00264220">
        <w:rPr>
          <w:rFonts w:ascii="仿宋_GB2312" w:eastAsia="仿宋_GB2312" w:hint="eastAsia"/>
          <w:sz w:val="28"/>
          <w:szCs w:val="28"/>
        </w:rPr>
        <w:t>1.22</w:t>
      </w:r>
      <w:r>
        <w:rPr>
          <w:rFonts w:ascii="仿宋_GB2312" w:eastAsia="仿宋_GB2312" w:hint="eastAsia"/>
          <w:sz w:val="28"/>
          <w:szCs w:val="28"/>
        </w:rPr>
        <w:t>万元、资本性支出</w:t>
      </w:r>
      <w:r w:rsidR="00264220">
        <w:rPr>
          <w:rFonts w:ascii="仿宋_GB2312" w:eastAsia="仿宋_GB2312" w:hint="eastAsia"/>
          <w:sz w:val="28"/>
          <w:szCs w:val="28"/>
        </w:rPr>
        <w:t>0</w:t>
      </w:r>
      <w:r>
        <w:rPr>
          <w:rFonts w:ascii="仿宋_GB2312" w:eastAsia="仿宋_GB2312" w:hint="eastAsia"/>
          <w:sz w:val="28"/>
          <w:szCs w:val="28"/>
        </w:rPr>
        <w:t>万元；项目支出</w:t>
      </w:r>
      <w:r w:rsidR="00264220">
        <w:rPr>
          <w:rFonts w:ascii="仿宋_GB2312" w:eastAsia="仿宋_GB2312" w:hint="eastAsia"/>
          <w:sz w:val="28"/>
          <w:szCs w:val="28"/>
        </w:rPr>
        <w:t>23.2</w:t>
      </w:r>
      <w:r>
        <w:rPr>
          <w:rFonts w:ascii="仿宋_GB2312" w:eastAsia="仿宋_GB2312" w:hint="eastAsia"/>
          <w:sz w:val="28"/>
          <w:szCs w:val="28"/>
        </w:rPr>
        <w:t>万元，较上年预算安排减少</w:t>
      </w:r>
      <w:r w:rsidR="00264220">
        <w:rPr>
          <w:rFonts w:ascii="仿宋_GB2312" w:eastAsia="仿宋_GB2312" w:hint="eastAsia"/>
          <w:sz w:val="28"/>
          <w:szCs w:val="28"/>
        </w:rPr>
        <w:t>5.8</w:t>
      </w:r>
      <w:r>
        <w:rPr>
          <w:rFonts w:ascii="仿宋_GB2312" w:eastAsia="仿宋_GB2312" w:hint="eastAsia"/>
          <w:sz w:val="28"/>
          <w:szCs w:val="28"/>
        </w:rPr>
        <w:t>万元，主要原因是</w:t>
      </w:r>
      <w:r w:rsidR="00264220">
        <w:rPr>
          <w:rFonts w:ascii="仿宋_GB2312" w:eastAsia="仿宋_GB2312" w:hint="eastAsia"/>
          <w:sz w:val="28"/>
          <w:szCs w:val="28"/>
        </w:rPr>
        <w:t>减少项目开支</w:t>
      </w:r>
      <w:r>
        <w:rPr>
          <w:rFonts w:ascii="仿宋_GB2312" w:eastAsia="仿宋_GB2312" w:hint="eastAsia"/>
          <w:sz w:val="28"/>
          <w:szCs w:val="28"/>
        </w:rPr>
        <w:t>;其中：工资福利支出</w:t>
      </w:r>
      <w:r w:rsidR="00264220">
        <w:rPr>
          <w:rFonts w:ascii="仿宋_GB2312" w:eastAsia="仿宋_GB2312" w:hint="eastAsia"/>
          <w:sz w:val="28"/>
          <w:szCs w:val="28"/>
        </w:rPr>
        <w:t>0</w:t>
      </w:r>
      <w:r>
        <w:rPr>
          <w:rFonts w:ascii="仿宋_GB2312" w:eastAsia="仿宋_GB2312" w:hint="eastAsia"/>
          <w:sz w:val="28"/>
          <w:szCs w:val="28"/>
        </w:rPr>
        <w:t>万元、商品和服务支出</w:t>
      </w:r>
      <w:r w:rsidR="00264220">
        <w:rPr>
          <w:rFonts w:ascii="仿宋_GB2312" w:eastAsia="仿宋_GB2312" w:hint="eastAsia"/>
          <w:sz w:val="28"/>
          <w:szCs w:val="28"/>
        </w:rPr>
        <w:t>23.2</w:t>
      </w:r>
      <w:r>
        <w:rPr>
          <w:rFonts w:ascii="仿宋_GB2312" w:eastAsia="仿宋_GB2312" w:hint="eastAsia"/>
          <w:sz w:val="28"/>
          <w:szCs w:val="28"/>
        </w:rPr>
        <w:t>万元、对个人和家庭的补助</w:t>
      </w:r>
      <w:r w:rsidR="00264220">
        <w:rPr>
          <w:rFonts w:ascii="仿宋_GB2312" w:eastAsia="仿宋_GB2312" w:hint="eastAsia"/>
          <w:sz w:val="28"/>
          <w:szCs w:val="28"/>
        </w:rPr>
        <w:t>0</w:t>
      </w:r>
      <w:r>
        <w:rPr>
          <w:rFonts w:ascii="仿宋_GB2312" w:eastAsia="仿宋_GB2312" w:hint="eastAsia"/>
          <w:sz w:val="28"/>
          <w:szCs w:val="28"/>
        </w:rPr>
        <w:t>万元、债务利息及费用支出</w:t>
      </w:r>
      <w:r w:rsidR="00264220">
        <w:rPr>
          <w:rFonts w:ascii="仿宋_GB2312" w:eastAsia="仿宋_GB2312" w:hint="eastAsia"/>
          <w:sz w:val="28"/>
          <w:szCs w:val="28"/>
        </w:rPr>
        <w:t>0</w:t>
      </w:r>
      <w:r>
        <w:rPr>
          <w:rFonts w:ascii="仿宋_GB2312" w:eastAsia="仿宋_GB2312" w:hint="eastAsia"/>
          <w:sz w:val="28"/>
          <w:szCs w:val="28"/>
        </w:rPr>
        <w:t>万元、资本性支出(基本建设)</w:t>
      </w:r>
      <w:r w:rsidR="00264220">
        <w:rPr>
          <w:rFonts w:ascii="仿宋_GB2312" w:eastAsia="仿宋_GB2312" w:hint="eastAsia"/>
          <w:sz w:val="28"/>
          <w:szCs w:val="28"/>
        </w:rPr>
        <w:t>0</w:t>
      </w:r>
      <w:r>
        <w:rPr>
          <w:rFonts w:ascii="仿宋_GB2312" w:eastAsia="仿宋_GB2312" w:hint="eastAsia"/>
          <w:sz w:val="28"/>
          <w:szCs w:val="28"/>
        </w:rPr>
        <w:t>万元，资本性支出</w:t>
      </w:r>
      <w:r w:rsidR="00264220">
        <w:rPr>
          <w:rFonts w:ascii="仿宋_GB2312" w:eastAsia="仿宋_GB2312" w:hint="eastAsia"/>
          <w:sz w:val="28"/>
          <w:szCs w:val="28"/>
        </w:rPr>
        <w:t>0</w:t>
      </w:r>
      <w:r>
        <w:rPr>
          <w:rFonts w:ascii="仿宋_GB2312" w:eastAsia="仿宋_GB2312" w:hint="eastAsia"/>
          <w:sz w:val="28"/>
          <w:szCs w:val="28"/>
        </w:rPr>
        <w:t>万元，对企业补助</w:t>
      </w:r>
      <w:r w:rsidR="00264220">
        <w:rPr>
          <w:rFonts w:ascii="仿宋_GB2312" w:eastAsia="仿宋_GB2312" w:hint="eastAsia"/>
          <w:sz w:val="28"/>
          <w:szCs w:val="28"/>
        </w:rPr>
        <w:t>0</w:t>
      </w:r>
      <w:r>
        <w:rPr>
          <w:rFonts w:ascii="仿宋_GB2312" w:eastAsia="仿宋_GB2312" w:hint="eastAsia"/>
          <w:sz w:val="28"/>
          <w:szCs w:val="28"/>
        </w:rPr>
        <w:t>万元，其他支出</w:t>
      </w:r>
      <w:r w:rsidR="00264220">
        <w:rPr>
          <w:rFonts w:ascii="仿宋_GB2312" w:eastAsia="仿宋_GB2312" w:hint="eastAsia"/>
          <w:sz w:val="28"/>
          <w:szCs w:val="28"/>
        </w:rPr>
        <w:t>0</w:t>
      </w:r>
      <w:r>
        <w:rPr>
          <w:rFonts w:ascii="仿宋_GB2312" w:eastAsia="仿宋_GB2312" w:hint="eastAsia"/>
          <w:sz w:val="28"/>
          <w:szCs w:val="28"/>
        </w:rPr>
        <w:t>万元。</w:t>
      </w:r>
    </w:p>
    <w:p w:rsidR="00F20788" w:rsidRDefault="00F20788" w:rsidP="00E8329E">
      <w:pPr>
        <w:spacing w:line="500" w:lineRule="exact"/>
        <w:ind w:firstLineChars="200" w:firstLine="560"/>
        <w:rPr>
          <w:rFonts w:ascii="楷体_GB2312" w:eastAsia="楷体_GB2312" w:hAnsi="楷体_GB2312" w:cs="楷体_GB2312"/>
          <w:b/>
          <w:sz w:val="28"/>
          <w:szCs w:val="28"/>
        </w:rPr>
      </w:pPr>
      <w:r>
        <w:rPr>
          <w:rFonts w:ascii="楷体_GB2312" w:eastAsia="楷体_GB2312" w:hAnsi="楷体_GB2312" w:cs="楷体_GB2312" w:hint="eastAsia"/>
          <w:b/>
          <w:sz w:val="28"/>
          <w:szCs w:val="28"/>
        </w:rPr>
        <w:t>(四)政府性基金情况</w:t>
      </w:r>
    </w:p>
    <w:p w:rsidR="00F20788" w:rsidRDefault="00F20788" w:rsidP="00F20788">
      <w:pPr>
        <w:ind w:firstLineChars="200" w:firstLine="560"/>
        <w:rPr>
          <w:rFonts w:ascii="仿宋_GB2312" w:eastAsia="仿宋_GB2312"/>
          <w:sz w:val="28"/>
          <w:szCs w:val="28"/>
        </w:rPr>
      </w:pPr>
      <w:r>
        <w:rPr>
          <w:rFonts w:ascii="仿宋_GB2312" w:eastAsia="仿宋_GB2312" w:hint="eastAsia"/>
          <w:sz w:val="28"/>
          <w:szCs w:val="28"/>
        </w:rPr>
        <w:t>本单位没有使用政府性基金预算拨款安排的支出.</w:t>
      </w:r>
    </w:p>
    <w:p w:rsidR="00F20788" w:rsidRDefault="00F20788" w:rsidP="00E8329E">
      <w:pPr>
        <w:numPr>
          <w:ilvl w:val="0"/>
          <w:numId w:val="1"/>
        </w:numPr>
        <w:spacing w:line="500" w:lineRule="exact"/>
        <w:ind w:firstLineChars="200" w:firstLine="560"/>
        <w:rPr>
          <w:rFonts w:ascii="楷体_GB2312" w:eastAsia="楷体_GB2312" w:hAnsi="楷体_GB2312" w:cs="楷体_GB2312"/>
          <w:b/>
          <w:sz w:val="28"/>
          <w:szCs w:val="28"/>
        </w:rPr>
      </w:pPr>
      <w:r>
        <w:rPr>
          <w:rFonts w:ascii="楷体_GB2312" w:eastAsia="楷体_GB2312" w:hAnsi="楷体_GB2312" w:cs="楷体_GB2312" w:hint="eastAsia"/>
          <w:b/>
          <w:sz w:val="28"/>
          <w:szCs w:val="28"/>
        </w:rPr>
        <w:t>国有资本经营情况</w:t>
      </w:r>
    </w:p>
    <w:p w:rsidR="00F20788" w:rsidRDefault="00F20788" w:rsidP="00F20788">
      <w:pPr>
        <w:spacing w:line="500" w:lineRule="exact"/>
        <w:ind w:firstLineChars="200" w:firstLine="560"/>
        <w:rPr>
          <w:rFonts w:ascii="仿宋_GB2312" w:eastAsia="仿宋_GB2312"/>
          <w:sz w:val="28"/>
          <w:szCs w:val="28"/>
        </w:rPr>
      </w:pPr>
      <w:r>
        <w:rPr>
          <w:rFonts w:ascii="仿宋_GB2312" w:eastAsia="仿宋_GB2312" w:hint="eastAsia"/>
          <w:sz w:val="28"/>
          <w:szCs w:val="28"/>
        </w:rPr>
        <w:lastRenderedPageBreak/>
        <w:t>本单位没有使用国有资本经营预算拨款安排的支出.</w:t>
      </w:r>
    </w:p>
    <w:p w:rsidR="00F20788" w:rsidRDefault="00F20788" w:rsidP="00E8329E">
      <w:pPr>
        <w:spacing w:line="500" w:lineRule="exact"/>
        <w:ind w:firstLineChars="200" w:firstLine="560"/>
        <w:rPr>
          <w:rFonts w:ascii="楷体_GB2312" w:eastAsia="楷体_GB2312" w:hAnsi="楷体_GB2312" w:cs="楷体_GB2312"/>
          <w:b/>
          <w:sz w:val="28"/>
          <w:szCs w:val="28"/>
        </w:rPr>
      </w:pPr>
      <w:r>
        <w:rPr>
          <w:rFonts w:ascii="楷体_GB2312" w:eastAsia="楷体_GB2312" w:hAnsi="楷体_GB2312" w:cs="楷体_GB2312" w:hint="eastAsia"/>
          <w:b/>
          <w:sz w:val="28"/>
          <w:szCs w:val="28"/>
        </w:rPr>
        <w:t>(六)机关运行经费等重要情况说明</w:t>
      </w:r>
    </w:p>
    <w:p w:rsidR="00F20788" w:rsidRPr="00676F10" w:rsidRDefault="00F20788" w:rsidP="00F20788">
      <w:pPr>
        <w:spacing w:line="500" w:lineRule="exact"/>
        <w:ind w:firstLineChars="200" w:firstLine="560"/>
        <w:rPr>
          <w:rFonts w:ascii="仿宋_GB2312" w:eastAsia="仿宋_GB2312"/>
          <w:sz w:val="28"/>
          <w:szCs w:val="28"/>
        </w:rPr>
      </w:pPr>
      <w:r w:rsidRPr="00676F10">
        <w:rPr>
          <w:rFonts w:ascii="仿宋_GB2312" w:eastAsia="仿宋_GB2312" w:hint="eastAsia"/>
          <w:sz w:val="28"/>
          <w:szCs w:val="28"/>
        </w:rPr>
        <w:t>202</w:t>
      </w:r>
      <w:r w:rsidR="00676F10" w:rsidRPr="00676F10">
        <w:rPr>
          <w:rFonts w:ascii="仿宋_GB2312" w:eastAsia="仿宋_GB2312" w:hint="eastAsia"/>
          <w:sz w:val="28"/>
          <w:szCs w:val="28"/>
        </w:rPr>
        <w:t>5</w:t>
      </w:r>
      <w:r w:rsidRPr="00676F10">
        <w:rPr>
          <w:rFonts w:ascii="仿宋_GB2312" w:eastAsia="仿宋_GB2312" w:hint="eastAsia"/>
          <w:sz w:val="28"/>
          <w:szCs w:val="28"/>
        </w:rPr>
        <w:t>年单位机关运行经费为</w:t>
      </w:r>
      <w:r w:rsidR="00676F10" w:rsidRPr="00676F10">
        <w:rPr>
          <w:rFonts w:ascii="仿宋_GB2312" w:eastAsia="仿宋_GB2312" w:hint="eastAsia"/>
          <w:sz w:val="28"/>
          <w:szCs w:val="28"/>
        </w:rPr>
        <w:t>514.29</w:t>
      </w:r>
      <w:r w:rsidRPr="00676F10">
        <w:rPr>
          <w:rFonts w:ascii="仿宋_GB2312" w:eastAsia="仿宋_GB2312" w:hint="eastAsia"/>
          <w:sz w:val="28"/>
          <w:szCs w:val="28"/>
        </w:rPr>
        <w:t>万元，比上年预算</w:t>
      </w:r>
      <w:r w:rsidR="00676F10" w:rsidRPr="00676F10">
        <w:rPr>
          <w:rFonts w:ascii="仿宋_GB2312" w:eastAsia="仿宋_GB2312" w:hint="eastAsia"/>
          <w:sz w:val="28"/>
          <w:szCs w:val="28"/>
        </w:rPr>
        <w:t>增加493.04</w:t>
      </w:r>
      <w:r w:rsidRPr="00676F10">
        <w:rPr>
          <w:rFonts w:ascii="仿宋_GB2312" w:eastAsia="仿宋_GB2312" w:hint="eastAsia"/>
          <w:sz w:val="28"/>
          <w:szCs w:val="28"/>
        </w:rPr>
        <w:t>万元，</w:t>
      </w:r>
      <w:r w:rsidR="00676F10" w:rsidRPr="00676F10">
        <w:rPr>
          <w:rFonts w:ascii="仿宋_GB2312" w:eastAsia="仿宋_GB2312" w:hint="eastAsia"/>
          <w:sz w:val="28"/>
          <w:szCs w:val="28"/>
        </w:rPr>
        <w:t>增加2320.2</w:t>
      </w:r>
      <w:r w:rsidRPr="00676F10">
        <w:rPr>
          <w:rFonts w:ascii="仿宋_GB2312" w:eastAsia="仿宋_GB2312" w:hint="eastAsia"/>
          <w:sz w:val="28"/>
          <w:szCs w:val="28"/>
        </w:rPr>
        <w:t>%,主要原因是</w:t>
      </w:r>
      <w:r w:rsidR="00676F10" w:rsidRPr="00676F10">
        <w:rPr>
          <w:rFonts w:ascii="仿宋_GB2312" w:eastAsia="仿宋_GB2312" w:hint="eastAsia"/>
          <w:sz w:val="28"/>
          <w:szCs w:val="28"/>
        </w:rPr>
        <w:t>其他资金余额增加</w:t>
      </w:r>
      <w:r w:rsidRPr="00676F10">
        <w:rPr>
          <w:rFonts w:ascii="仿宋_GB2312" w:eastAsia="仿宋_GB2312" w:hint="eastAsia"/>
          <w:sz w:val="28"/>
          <w:szCs w:val="28"/>
        </w:rPr>
        <w:t>。</w:t>
      </w:r>
    </w:p>
    <w:p w:rsidR="00F20788" w:rsidRDefault="00F20788" w:rsidP="00E8329E">
      <w:pPr>
        <w:spacing w:line="500" w:lineRule="exact"/>
        <w:ind w:firstLineChars="200" w:firstLine="560"/>
        <w:rPr>
          <w:rFonts w:ascii="楷体_GB2312" w:eastAsia="楷体_GB2312" w:hAnsi="楷体_GB2312" w:cs="楷体_GB2312"/>
          <w:b/>
          <w:sz w:val="28"/>
          <w:szCs w:val="28"/>
        </w:rPr>
      </w:pPr>
      <w:r>
        <w:rPr>
          <w:rFonts w:ascii="楷体_GB2312" w:eastAsia="楷体_GB2312" w:hAnsi="楷体_GB2312" w:cs="楷体_GB2312" w:hint="eastAsia"/>
          <w:b/>
          <w:sz w:val="28"/>
          <w:szCs w:val="28"/>
        </w:rPr>
        <w:t>(七)政府采购情况说明</w:t>
      </w:r>
    </w:p>
    <w:p w:rsidR="00F20788" w:rsidRPr="00CF55D6" w:rsidRDefault="00F20788" w:rsidP="00F20788">
      <w:pPr>
        <w:spacing w:line="500" w:lineRule="exact"/>
        <w:ind w:firstLineChars="200" w:firstLine="560"/>
        <w:rPr>
          <w:rFonts w:ascii="仿宋_GB2312" w:eastAsia="仿宋_GB2312"/>
          <w:sz w:val="28"/>
          <w:szCs w:val="28"/>
        </w:rPr>
      </w:pPr>
      <w:r>
        <w:rPr>
          <w:rFonts w:ascii="仿宋_GB2312" w:eastAsia="仿宋_GB2312" w:hint="eastAsia"/>
          <w:sz w:val="28"/>
          <w:szCs w:val="28"/>
        </w:rPr>
        <w:t>2025</w:t>
      </w:r>
      <w:r w:rsidRPr="00CF55D6">
        <w:rPr>
          <w:rFonts w:ascii="仿宋_GB2312" w:eastAsia="仿宋_GB2312" w:hint="eastAsia"/>
          <w:sz w:val="28"/>
          <w:szCs w:val="28"/>
        </w:rPr>
        <w:t>年区住建局本级政府采购预算总额</w:t>
      </w:r>
      <w:r>
        <w:rPr>
          <w:rFonts w:ascii="仿宋_GB2312" w:eastAsia="仿宋_GB2312" w:hint="eastAsia"/>
          <w:sz w:val="28"/>
          <w:szCs w:val="28"/>
        </w:rPr>
        <w:t>0</w:t>
      </w:r>
      <w:r w:rsidRPr="00CF55D6">
        <w:rPr>
          <w:rFonts w:ascii="仿宋_GB2312" w:eastAsia="仿宋_GB2312" w:hint="eastAsia"/>
          <w:sz w:val="28"/>
          <w:szCs w:val="28"/>
        </w:rPr>
        <w:t>万元。其中，政府采购货物预算</w:t>
      </w:r>
      <w:r>
        <w:rPr>
          <w:rFonts w:ascii="仿宋_GB2312" w:eastAsia="仿宋_GB2312" w:hint="eastAsia"/>
          <w:sz w:val="28"/>
          <w:szCs w:val="28"/>
        </w:rPr>
        <w:t>0</w:t>
      </w:r>
      <w:r w:rsidRPr="00CF55D6">
        <w:rPr>
          <w:rFonts w:ascii="仿宋_GB2312" w:eastAsia="仿宋_GB2312" w:hint="eastAsia"/>
          <w:sz w:val="28"/>
          <w:szCs w:val="28"/>
        </w:rPr>
        <w:t>万元，政府采购工程预算0万元，政府采购服务预算0万元。</w:t>
      </w:r>
    </w:p>
    <w:p w:rsidR="00F20788" w:rsidRDefault="00F20788" w:rsidP="00E8329E">
      <w:pPr>
        <w:widowControl/>
        <w:spacing w:line="500" w:lineRule="exact"/>
        <w:ind w:firstLineChars="200" w:firstLine="560"/>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(八)国有资产占有使用情况</w:t>
      </w:r>
    </w:p>
    <w:p w:rsidR="00F20788" w:rsidRPr="00022593" w:rsidRDefault="00F20788" w:rsidP="00F20788">
      <w:pPr>
        <w:spacing w:line="500" w:lineRule="exact"/>
        <w:ind w:firstLineChars="200" w:firstLine="560"/>
        <w:rPr>
          <w:rFonts w:ascii="仿宋_GB2312" w:eastAsia="仿宋_GB2312"/>
          <w:sz w:val="28"/>
          <w:szCs w:val="28"/>
        </w:rPr>
      </w:pPr>
      <w:r w:rsidRPr="00022593">
        <w:rPr>
          <w:rFonts w:ascii="仿宋_GB2312" w:eastAsia="仿宋_GB2312" w:hint="eastAsia"/>
          <w:sz w:val="28"/>
          <w:szCs w:val="28"/>
        </w:rPr>
        <w:t>截至2023年7月31日，单位共有车辆4辆，其中，一般公务用车实有数0辆。</w:t>
      </w:r>
    </w:p>
    <w:p w:rsidR="00F20788" w:rsidRDefault="00F20788" w:rsidP="00F20788">
      <w:pPr>
        <w:spacing w:line="500" w:lineRule="exact"/>
        <w:ind w:firstLineChars="200" w:firstLine="560"/>
        <w:rPr>
          <w:rFonts w:ascii="仿宋_GB2312" w:eastAsia="仿宋_GB2312"/>
          <w:sz w:val="28"/>
          <w:szCs w:val="28"/>
        </w:rPr>
      </w:pPr>
      <w:r>
        <w:rPr>
          <w:rFonts w:ascii="仿宋_GB2312" w:eastAsia="仿宋_GB2312" w:hint="eastAsia"/>
          <w:sz w:val="28"/>
          <w:szCs w:val="28"/>
        </w:rPr>
        <w:t>2024年单位预算安排购置车辆0辆，安排购置单位价值200万元以上大型设备0万元。</w:t>
      </w:r>
    </w:p>
    <w:p w:rsidR="00F20788" w:rsidRDefault="00F20788" w:rsidP="00E8329E">
      <w:pPr>
        <w:widowControl/>
        <w:spacing w:line="500" w:lineRule="exact"/>
        <w:ind w:firstLineChars="200" w:firstLine="560"/>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(九)项目情况说明</w:t>
      </w:r>
    </w:p>
    <w:p w:rsidR="00FC1C3C" w:rsidRDefault="00676F10" w:rsidP="00676F10">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w:t>
      </w:r>
      <w:r w:rsidRPr="00676F10">
        <w:rPr>
          <w:rFonts w:hint="eastAsia"/>
        </w:rPr>
        <w:t xml:space="preserve"> </w:t>
      </w:r>
      <w:r w:rsidRPr="00676F10">
        <w:rPr>
          <w:rFonts w:ascii="仿宋_GB2312" w:eastAsia="仿宋_GB2312" w:hAnsi="仿宋_GB2312" w:cs="仿宋_GB2312" w:hint="eastAsia"/>
          <w:sz w:val="28"/>
          <w:szCs w:val="28"/>
        </w:rPr>
        <w:t>住房城乡建设管理工作经费</w:t>
      </w:r>
      <w:r>
        <w:rPr>
          <w:rFonts w:ascii="仿宋_GB2312" w:eastAsia="仿宋_GB2312" w:hAnsi="仿宋_GB2312" w:cs="仿宋_GB2312" w:hint="eastAsia"/>
          <w:sz w:val="28"/>
          <w:szCs w:val="28"/>
        </w:rPr>
        <w:t>项目</w:t>
      </w:r>
    </w:p>
    <w:p w:rsidR="00BF2871" w:rsidRDefault="00676F10" w:rsidP="00BF2871">
      <w:pPr>
        <w:spacing w:line="500" w:lineRule="exact"/>
        <w:ind w:firstLineChars="200" w:firstLine="560"/>
      </w:pPr>
      <w:r>
        <w:rPr>
          <w:rFonts w:ascii="仿宋_GB2312" w:eastAsia="仿宋_GB2312" w:hAnsi="仿宋_GB2312" w:cs="仿宋_GB2312" w:hint="eastAsia"/>
          <w:sz w:val="28"/>
          <w:szCs w:val="28"/>
        </w:rPr>
        <w:t>1)项目概述</w:t>
      </w:r>
      <w:r w:rsidR="00FC1C3C">
        <w:rPr>
          <w:rFonts w:ascii="仿宋_GB2312" w:eastAsia="仿宋_GB2312" w:hAnsi="仿宋_GB2312" w:cs="仿宋_GB2312" w:hint="eastAsia"/>
          <w:sz w:val="28"/>
          <w:szCs w:val="28"/>
        </w:rPr>
        <w:t>：</w:t>
      </w:r>
      <w:r w:rsidR="00BF2871">
        <w:rPr>
          <w:rFonts w:ascii="仿宋_GB2312" w:eastAsia="仿宋_GB2312" w:hint="eastAsia"/>
          <w:sz w:val="28"/>
          <w:szCs w:val="28"/>
        </w:rPr>
        <w:t>2025年度南昌市青山湖区住房和城乡建设局在部门预算批复说明下，获得了住房城乡建设管理项目经费7.2万元，主要用于对全区房屋建筑（土建工程）安全生产和文明施工进行监督管理；对全区装饰装修工程质量安全监督登记及日常安全监督管理；完成老旧小区加装电梯审批及监管；工程领域招投标监管；保障房申请审核、</w:t>
      </w:r>
      <w:proofErr w:type="gramStart"/>
      <w:r w:rsidR="00BF2871">
        <w:rPr>
          <w:rFonts w:ascii="仿宋_GB2312" w:eastAsia="仿宋_GB2312" w:hint="eastAsia"/>
          <w:sz w:val="28"/>
          <w:szCs w:val="28"/>
        </w:rPr>
        <w:t>发放低保低收入</w:t>
      </w:r>
      <w:proofErr w:type="gramEnd"/>
      <w:r w:rsidR="00BF2871">
        <w:rPr>
          <w:rFonts w:ascii="仿宋_GB2312" w:eastAsia="仿宋_GB2312" w:hint="eastAsia"/>
          <w:sz w:val="28"/>
          <w:szCs w:val="28"/>
        </w:rPr>
        <w:t>租赁补贴及保障</w:t>
      </w:r>
      <w:proofErr w:type="gramStart"/>
      <w:r w:rsidR="00BF2871">
        <w:rPr>
          <w:rFonts w:ascii="仿宋_GB2312" w:eastAsia="仿宋_GB2312" w:hint="eastAsia"/>
          <w:sz w:val="28"/>
          <w:szCs w:val="28"/>
        </w:rPr>
        <w:t>房维护</w:t>
      </w:r>
      <w:proofErr w:type="gramEnd"/>
      <w:r w:rsidR="00BF2871">
        <w:rPr>
          <w:rFonts w:ascii="仿宋_GB2312" w:eastAsia="仿宋_GB2312" w:hint="eastAsia"/>
          <w:sz w:val="28"/>
          <w:szCs w:val="28"/>
        </w:rPr>
        <w:t>管理；全区改建工程消防备案验收与监管，全面做好城乡建设管理工作，使全市建设工程方面的发展保持平稳。</w:t>
      </w:r>
    </w:p>
    <w:p w:rsidR="00676F10" w:rsidRDefault="00676F10" w:rsidP="00676F10">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2)立项依据</w:t>
      </w:r>
      <w:r w:rsidR="00FC1C3C">
        <w:rPr>
          <w:rFonts w:ascii="仿宋_GB2312" w:eastAsia="仿宋_GB2312" w:hAnsi="仿宋_GB2312" w:cs="仿宋_GB2312" w:hint="eastAsia"/>
          <w:sz w:val="28"/>
          <w:szCs w:val="28"/>
        </w:rPr>
        <w:t>：</w:t>
      </w:r>
      <w:r w:rsidR="00FC1C3C">
        <w:rPr>
          <w:rFonts w:ascii="仿宋_GB2312" w:eastAsia="仿宋_GB2312" w:hint="eastAsia"/>
          <w:sz w:val="28"/>
          <w:szCs w:val="28"/>
        </w:rPr>
        <w:t>根据单位实际运转设立项目运转成本</w:t>
      </w:r>
    </w:p>
    <w:p w:rsidR="00676F10" w:rsidRDefault="00676F10" w:rsidP="00676F10">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3)实施主体：</w:t>
      </w:r>
      <w:r w:rsidR="00FC1C3C">
        <w:rPr>
          <w:rFonts w:ascii="仿宋_GB2312" w:eastAsia="仿宋_GB2312" w:hAnsi="仿宋_GB2312" w:cs="仿宋_GB2312" w:hint="eastAsia"/>
          <w:sz w:val="28"/>
          <w:szCs w:val="28"/>
        </w:rPr>
        <w:t>南昌市青山湖区住房和城乡建设局</w:t>
      </w:r>
    </w:p>
    <w:p w:rsidR="00676F10" w:rsidRDefault="00676F10" w:rsidP="00676F10">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4)实施方案：</w:t>
      </w:r>
      <w:r w:rsidR="00FC1C3C">
        <w:rPr>
          <w:rFonts w:ascii="仿宋_GB2312" w:eastAsia="仿宋_GB2312" w:hint="eastAsia"/>
          <w:sz w:val="28"/>
          <w:szCs w:val="28"/>
        </w:rPr>
        <w:t>按照工作流程进度按时完成工作</w:t>
      </w:r>
    </w:p>
    <w:p w:rsidR="00676F10" w:rsidRDefault="00676F10" w:rsidP="00676F10">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5)实施周期：</w:t>
      </w:r>
      <w:r w:rsidR="00FC1C3C">
        <w:rPr>
          <w:rFonts w:ascii="仿宋_GB2312" w:eastAsia="仿宋_GB2312" w:hAnsi="仿宋_GB2312" w:cs="仿宋_GB2312" w:hint="eastAsia"/>
          <w:sz w:val="28"/>
          <w:szCs w:val="28"/>
        </w:rPr>
        <w:t>2025.01.01-2025.12.31</w:t>
      </w:r>
    </w:p>
    <w:p w:rsidR="00FC1C3C" w:rsidRPr="00FC1C3C" w:rsidRDefault="00676F10" w:rsidP="00FC1C3C">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lastRenderedPageBreak/>
        <w:t>6)年度预算安排：</w:t>
      </w:r>
      <w:r w:rsidR="00FC1C3C">
        <w:rPr>
          <w:rFonts w:ascii="仿宋_GB2312" w:eastAsia="仿宋_GB2312" w:hint="eastAsia"/>
          <w:sz w:val="28"/>
          <w:szCs w:val="28"/>
        </w:rPr>
        <w:t>安排预算7.2万元，主要完成</w:t>
      </w:r>
      <w:r w:rsidR="00FC1C3C" w:rsidRPr="00676F10">
        <w:rPr>
          <w:rFonts w:ascii="仿宋_GB2312" w:eastAsia="仿宋_GB2312" w:hAnsi="仿宋_GB2312" w:cs="仿宋_GB2312" w:hint="eastAsia"/>
          <w:sz w:val="28"/>
          <w:szCs w:val="28"/>
        </w:rPr>
        <w:t>保障房申请审核、</w:t>
      </w:r>
      <w:proofErr w:type="gramStart"/>
      <w:r w:rsidR="00FC1C3C" w:rsidRPr="00676F10">
        <w:rPr>
          <w:rFonts w:ascii="仿宋_GB2312" w:eastAsia="仿宋_GB2312" w:hAnsi="仿宋_GB2312" w:cs="仿宋_GB2312" w:hint="eastAsia"/>
          <w:sz w:val="28"/>
          <w:szCs w:val="28"/>
        </w:rPr>
        <w:t>发放低保低收入</w:t>
      </w:r>
      <w:proofErr w:type="gramEnd"/>
      <w:r w:rsidR="00FC1C3C" w:rsidRPr="00676F10">
        <w:rPr>
          <w:rFonts w:ascii="仿宋_GB2312" w:eastAsia="仿宋_GB2312" w:hAnsi="仿宋_GB2312" w:cs="仿宋_GB2312" w:hint="eastAsia"/>
          <w:sz w:val="28"/>
          <w:szCs w:val="28"/>
        </w:rPr>
        <w:t>租赁补贴及保障</w:t>
      </w:r>
      <w:proofErr w:type="gramStart"/>
      <w:r w:rsidR="00FC1C3C" w:rsidRPr="00676F10">
        <w:rPr>
          <w:rFonts w:ascii="仿宋_GB2312" w:eastAsia="仿宋_GB2312" w:hAnsi="仿宋_GB2312" w:cs="仿宋_GB2312" w:hint="eastAsia"/>
          <w:sz w:val="28"/>
          <w:szCs w:val="28"/>
        </w:rPr>
        <w:t>房维护</w:t>
      </w:r>
      <w:proofErr w:type="gramEnd"/>
      <w:r w:rsidR="00FC1C3C" w:rsidRPr="00676F10">
        <w:rPr>
          <w:rFonts w:ascii="仿宋_GB2312" w:eastAsia="仿宋_GB2312" w:hAnsi="仿宋_GB2312" w:cs="仿宋_GB2312" w:hint="eastAsia"/>
          <w:sz w:val="28"/>
          <w:szCs w:val="28"/>
        </w:rPr>
        <w:t>管理；完成全区改建工程消防备案验收与监管；完成危房整治、鉴定</w:t>
      </w:r>
      <w:r w:rsidR="00FC1C3C">
        <w:rPr>
          <w:rFonts w:ascii="仿宋_GB2312" w:eastAsia="仿宋_GB2312" w:hAnsi="仿宋_GB2312" w:cs="仿宋_GB2312" w:hint="eastAsia"/>
          <w:sz w:val="28"/>
          <w:szCs w:val="28"/>
        </w:rPr>
        <w:t>。</w:t>
      </w:r>
    </w:p>
    <w:p w:rsidR="00676F10" w:rsidRDefault="00FC1C3C" w:rsidP="00676F10">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w:t>
      </w:r>
      <w:r w:rsidRPr="00FC1C3C">
        <w:rPr>
          <w:rFonts w:ascii="仿宋_GB2312" w:eastAsia="仿宋_GB2312" w:hAnsi="仿宋_GB2312" w:cs="仿宋_GB2312" w:hint="eastAsia"/>
          <w:sz w:val="28"/>
          <w:szCs w:val="28"/>
        </w:rPr>
        <w:t>更新办公室工作经费</w:t>
      </w:r>
      <w:r>
        <w:rPr>
          <w:rFonts w:ascii="仿宋_GB2312" w:eastAsia="仿宋_GB2312" w:hAnsi="仿宋_GB2312" w:cs="仿宋_GB2312" w:hint="eastAsia"/>
          <w:sz w:val="28"/>
          <w:szCs w:val="28"/>
        </w:rPr>
        <w:t>项目</w:t>
      </w:r>
    </w:p>
    <w:p w:rsidR="00FC1C3C" w:rsidRDefault="00FC1C3C" w:rsidP="00FC1C3C">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1)项目概述：</w:t>
      </w:r>
      <w:r w:rsidR="00BF2871">
        <w:rPr>
          <w:rFonts w:ascii="仿宋_GB2312" w:eastAsia="仿宋_GB2312" w:hint="eastAsia"/>
          <w:sz w:val="28"/>
          <w:szCs w:val="28"/>
        </w:rPr>
        <w:t>2025年度南昌市青山湖区住房和城乡建设局在部门预算批复说明下，获得了</w:t>
      </w:r>
      <w:r w:rsidR="00BF2871" w:rsidRPr="00FC1C3C">
        <w:rPr>
          <w:rFonts w:ascii="仿宋_GB2312" w:eastAsia="仿宋_GB2312" w:hAnsi="仿宋_GB2312" w:cs="仿宋_GB2312" w:hint="eastAsia"/>
          <w:sz w:val="28"/>
          <w:szCs w:val="28"/>
        </w:rPr>
        <w:t>更新办公室工作经费</w:t>
      </w:r>
      <w:r w:rsidR="00BF2871">
        <w:rPr>
          <w:rFonts w:ascii="仿宋_GB2312" w:eastAsia="仿宋_GB2312" w:hAnsi="仿宋_GB2312" w:cs="仿宋_GB2312" w:hint="eastAsia"/>
          <w:sz w:val="28"/>
          <w:szCs w:val="28"/>
        </w:rPr>
        <w:t>项目</w:t>
      </w:r>
      <w:r w:rsidR="00BF2871">
        <w:rPr>
          <w:rFonts w:ascii="仿宋_GB2312" w:eastAsia="仿宋_GB2312" w:hint="eastAsia"/>
          <w:sz w:val="28"/>
          <w:szCs w:val="28"/>
        </w:rPr>
        <w:t>16万元，主要</w:t>
      </w:r>
      <w:r w:rsidRPr="00FC1C3C">
        <w:rPr>
          <w:rFonts w:ascii="仿宋_GB2312" w:eastAsia="仿宋_GB2312" w:hAnsi="仿宋_GB2312" w:cs="仿宋_GB2312" w:hint="eastAsia"/>
          <w:sz w:val="28"/>
          <w:szCs w:val="28"/>
        </w:rPr>
        <w:t>为全面做好城市更新工作，包括低效产业用地再开发，城中村有机更新以及全区城市更新相关重大重点项目的牵头协调等工作，需要对城市范围内的项目进行调研、分析，并牵头推进，以提升全区城市形象和品质，为青山湖区经济发展创造空间载体。</w:t>
      </w:r>
    </w:p>
    <w:p w:rsidR="00FC1C3C" w:rsidRDefault="00FC1C3C" w:rsidP="00FC1C3C">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2)立项依据：</w:t>
      </w:r>
      <w:r>
        <w:rPr>
          <w:rFonts w:ascii="仿宋_GB2312" w:eastAsia="仿宋_GB2312" w:hint="eastAsia"/>
          <w:sz w:val="28"/>
          <w:szCs w:val="28"/>
        </w:rPr>
        <w:t>根据单位实际运转设立项目运转成本</w:t>
      </w:r>
    </w:p>
    <w:p w:rsidR="00FC1C3C" w:rsidRDefault="00FC1C3C" w:rsidP="00FC1C3C">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3)实施主体：</w:t>
      </w:r>
      <w:r w:rsidR="00BF2871">
        <w:rPr>
          <w:rFonts w:ascii="仿宋_GB2312" w:eastAsia="仿宋_GB2312" w:hint="eastAsia"/>
          <w:sz w:val="28"/>
          <w:szCs w:val="28"/>
        </w:rPr>
        <w:t>城市更新办</w:t>
      </w:r>
    </w:p>
    <w:p w:rsidR="00FC1C3C" w:rsidRDefault="00FC1C3C" w:rsidP="00FC1C3C">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4)实施方案：</w:t>
      </w:r>
      <w:r>
        <w:rPr>
          <w:rFonts w:ascii="仿宋_GB2312" w:eastAsia="仿宋_GB2312" w:hint="eastAsia"/>
          <w:sz w:val="28"/>
          <w:szCs w:val="28"/>
        </w:rPr>
        <w:t>按照工作流程进度按时完成工作</w:t>
      </w:r>
    </w:p>
    <w:p w:rsidR="00FC1C3C" w:rsidRDefault="00FC1C3C" w:rsidP="00FC1C3C">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5)实施周期：2025.01.01-2025.12.31</w:t>
      </w:r>
    </w:p>
    <w:p w:rsidR="00FC1C3C" w:rsidRPr="00FC1C3C" w:rsidRDefault="00FC1C3C" w:rsidP="00676F10">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6)年度预算安排：</w:t>
      </w:r>
      <w:r>
        <w:rPr>
          <w:rFonts w:ascii="仿宋_GB2312" w:eastAsia="仿宋_GB2312" w:hint="eastAsia"/>
          <w:sz w:val="28"/>
          <w:szCs w:val="28"/>
        </w:rPr>
        <w:t>安排预算16万元，主要完成</w:t>
      </w:r>
      <w:r w:rsidRPr="00FC1C3C">
        <w:rPr>
          <w:rFonts w:ascii="仿宋_GB2312" w:eastAsia="仿宋_GB2312" w:hAnsi="仿宋_GB2312" w:cs="仿宋_GB2312" w:hint="eastAsia"/>
          <w:sz w:val="28"/>
          <w:szCs w:val="28"/>
        </w:rPr>
        <w:t>低效产业用地再开发，城中村有机更新以及全区城市更新相关重大重点项目的牵头协调等工作，需要对城市范围内的项目进行调研、分析，并牵头推进，以提升全区城市形象和品质，为青山湖区经济发展创造空间载体。</w:t>
      </w:r>
    </w:p>
    <w:p w:rsidR="00BF2871" w:rsidRDefault="00BF2871" w:rsidP="00BF2871">
      <w:pPr>
        <w:widowControl/>
        <w:spacing w:line="500" w:lineRule="exact"/>
        <w:ind w:firstLineChars="200" w:firstLine="560"/>
        <w:jc w:val="left"/>
        <w:rPr>
          <w:rFonts w:ascii="黑体" w:eastAsia="黑体"/>
          <w:sz w:val="28"/>
          <w:szCs w:val="28"/>
        </w:rPr>
      </w:pPr>
      <w:r>
        <w:rPr>
          <w:rFonts w:ascii="黑体" w:eastAsia="黑体" w:hint="eastAsia"/>
          <w:sz w:val="28"/>
          <w:szCs w:val="28"/>
        </w:rPr>
        <w:t>二、2025年“三公”经费预算情况说明</w:t>
      </w:r>
    </w:p>
    <w:p w:rsidR="00BF2871" w:rsidRDefault="00BF2871" w:rsidP="00BF2871">
      <w:pPr>
        <w:spacing w:line="500" w:lineRule="exact"/>
        <w:ind w:firstLineChars="200" w:firstLine="560"/>
        <w:rPr>
          <w:rFonts w:ascii="仿宋_GB2312" w:eastAsia="仿宋_GB2312"/>
          <w:sz w:val="28"/>
          <w:szCs w:val="28"/>
        </w:rPr>
      </w:pPr>
      <w:r>
        <w:rPr>
          <w:rFonts w:ascii="仿宋_GB2312" w:eastAsia="仿宋_GB2312" w:hint="eastAsia"/>
          <w:sz w:val="28"/>
          <w:szCs w:val="28"/>
        </w:rPr>
        <w:t>2024年青山湖区住房和城乡建设局“三公”经费财政拨款安排0.97万元。其中：</w:t>
      </w:r>
    </w:p>
    <w:p w:rsidR="00BF2871" w:rsidRDefault="00BF2871" w:rsidP="00BF2871">
      <w:pPr>
        <w:spacing w:line="500" w:lineRule="exact"/>
        <w:ind w:firstLineChars="200" w:firstLine="560"/>
        <w:rPr>
          <w:rFonts w:ascii="仿宋_GB2312" w:eastAsia="仿宋_GB2312"/>
          <w:sz w:val="28"/>
          <w:szCs w:val="28"/>
        </w:rPr>
      </w:pPr>
      <w:r>
        <w:rPr>
          <w:rFonts w:ascii="仿宋_GB2312" w:eastAsia="仿宋_GB2312" w:hint="eastAsia"/>
          <w:sz w:val="28"/>
          <w:szCs w:val="28"/>
        </w:rPr>
        <w:t>1.因公出国(境)经费0万元，比上年增加/减少0万元。主要原因</w:t>
      </w:r>
      <w:r w:rsidRPr="00A10464">
        <w:rPr>
          <w:rFonts w:ascii="仿宋_GB2312" w:eastAsia="仿宋_GB2312" w:hint="eastAsia"/>
          <w:sz w:val="28"/>
          <w:szCs w:val="28"/>
        </w:rPr>
        <w:t>与上年保持一致</w:t>
      </w:r>
      <w:r>
        <w:rPr>
          <w:rFonts w:ascii="仿宋_GB2312" w:eastAsia="仿宋_GB2312" w:hint="eastAsia"/>
          <w:sz w:val="28"/>
          <w:szCs w:val="28"/>
        </w:rPr>
        <w:t>。</w:t>
      </w:r>
    </w:p>
    <w:p w:rsidR="00BF2871" w:rsidRDefault="00BF2871" w:rsidP="00BF2871">
      <w:pPr>
        <w:spacing w:line="500" w:lineRule="exact"/>
        <w:ind w:firstLineChars="200" w:firstLine="560"/>
        <w:rPr>
          <w:rFonts w:ascii="仿宋_GB2312" w:eastAsia="仿宋_GB2312"/>
          <w:sz w:val="28"/>
          <w:szCs w:val="28"/>
        </w:rPr>
      </w:pPr>
      <w:r>
        <w:rPr>
          <w:rFonts w:ascii="仿宋_GB2312" w:eastAsia="仿宋_GB2312" w:hint="eastAsia"/>
          <w:sz w:val="28"/>
          <w:szCs w:val="28"/>
        </w:rPr>
        <w:t>2.公务接待费0.97万元，比上年增加/减少0万元。主要原因是</w:t>
      </w:r>
      <w:r w:rsidRPr="00A10464">
        <w:rPr>
          <w:rFonts w:ascii="仿宋_GB2312" w:eastAsia="仿宋_GB2312" w:hint="eastAsia"/>
          <w:sz w:val="28"/>
          <w:szCs w:val="28"/>
        </w:rPr>
        <w:t>与上年保持一致</w:t>
      </w:r>
      <w:r>
        <w:rPr>
          <w:rFonts w:ascii="仿宋_GB2312" w:eastAsia="仿宋_GB2312" w:hint="eastAsia"/>
          <w:sz w:val="28"/>
          <w:szCs w:val="28"/>
        </w:rPr>
        <w:t>。</w:t>
      </w:r>
    </w:p>
    <w:p w:rsidR="00BF2871" w:rsidRDefault="00BF2871" w:rsidP="00BF2871">
      <w:pPr>
        <w:spacing w:line="500" w:lineRule="exact"/>
        <w:ind w:firstLineChars="200" w:firstLine="560"/>
        <w:rPr>
          <w:rFonts w:ascii="仿宋_GB2312" w:eastAsia="仿宋_GB2312"/>
          <w:sz w:val="28"/>
          <w:szCs w:val="28"/>
        </w:rPr>
      </w:pPr>
      <w:r>
        <w:rPr>
          <w:rFonts w:ascii="仿宋_GB2312" w:eastAsia="仿宋_GB2312" w:hint="eastAsia"/>
          <w:sz w:val="28"/>
          <w:szCs w:val="28"/>
        </w:rPr>
        <w:t>3.公务用车运行维护费0万元，比上年增加/减少0万元。主要原因</w:t>
      </w:r>
      <w:r w:rsidRPr="00A10464">
        <w:rPr>
          <w:rFonts w:ascii="仿宋_GB2312" w:eastAsia="仿宋_GB2312" w:hint="eastAsia"/>
          <w:sz w:val="28"/>
          <w:szCs w:val="28"/>
        </w:rPr>
        <w:t>与上年保持一致</w:t>
      </w:r>
      <w:r>
        <w:rPr>
          <w:rFonts w:ascii="仿宋_GB2312" w:eastAsia="仿宋_GB2312" w:hint="eastAsia"/>
          <w:sz w:val="28"/>
          <w:szCs w:val="28"/>
        </w:rPr>
        <w:t>。</w:t>
      </w:r>
    </w:p>
    <w:p w:rsidR="00BF2871" w:rsidRDefault="00BF2871" w:rsidP="00BF2871">
      <w:pPr>
        <w:spacing w:line="500" w:lineRule="exact"/>
        <w:ind w:firstLineChars="200" w:firstLine="560"/>
        <w:rPr>
          <w:rFonts w:ascii="仿宋_GB2312" w:eastAsia="仿宋_GB2312"/>
          <w:sz w:val="28"/>
          <w:szCs w:val="28"/>
        </w:rPr>
      </w:pPr>
      <w:r>
        <w:rPr>
          <w:rFonts w:ascii="仿宋_GB2312" w:eastAsia="仿宋_GB2312" w:hint="eastAsia"/>
          <w:sz w:val="28"/>
          <w:szCs w:val="28"/>
        </w:rPr>
        <w:lastRenderedPageBreak/>
        <w:t>4.公务用车购置费0万元，比上年增加/减少0万元。主要原因</w:t>
      </w:r>
      <w:r w:rsidRPr="00A10464">
        <w:rPr>
          <w:rFonts w:ascii="仿宋_GB2312" w:eastAsia="仿宋_GB2312" w:hint="eastAsia"/>
          <w:sz w:val="28"/>
          <w:szCs w:val="28"/>
        </w:rPr>
        <w:t>与上年保持一致</w:t>
      </w:r>
      <w:r>
        <w:rPr>
          <w:rFonts w:ascii="仿宋_GB2312" w:eastAsia="仿宋_GB2312" w:hint="eastAsia"/>
          <w:sz w:val="28"/>
          <w:szCs w:val="28"/>
        </w:rPr>
        <w:t>。</w:t>
      </w:r>
      <w:bookmarkStart w:id="0" w:name="_GoBack"/>
      <w:bookmarkEnd w:id="0"/>
    </w:p>
    <w:p w:rsidR="00BF2871" w:rsidRDefault="00BF2871" w:rsidP="00BF2871">
      <w:pPr>
        <w:spacing w:line="500" w:lineRule="exact"/>
        <w:jc w:val="center"/>
        <w:rPr>
          <w:rFonts w:ascii="方正小标宋简体" w:eastAsia="方正小标宋简体"/>
          <w:sz w:val="28"/>
          <w:szCs w:val="28"/>
        </w:rPr>
      </w:pPr>
      <w:r>
        <w:rPr>
          <w:rFonts w:ascii="方正小标宋简体" w:eastAsia="方正小标宋简体" w:hint="eastAsia"/>
          <w:sz w:val="28"/>
          <w:szCs w:val="28"/>
        </w:rPr>
        <w:t>第四部分  名词解释</w:t>
      </w:r>
    </w:p>
    <w:p w:rsidR="00BF2871" w:rsidRDefault="00BF2871" w:rsidP="00BF2871">
      <w:pPr>
        <w:spacing w:line="500" w:lineRule="exact"/>
        <w:ind w:firstLineChars="200" w:firstLine="560"/>
        <w:rPr>
          <w:rFonts w:ascii="仿宋_GB2312" w:eastAsia="仿宋_GB2312"/>
          <w:sz w:val="28"/>
          <w:szCs w:val="28"/>
        </w:rPr>
      </w:pPr>
    </w:p>
    <w:p w:rsidR="00BF2871" w:rsidRDefault="00BF2871" w:rsidP="00BF2871">
      <w:pPr>
        <w:widowControl/>
        <w:spacing w:line="500" w:lineRule="exact"/>
        <w:ind w:firstLineChars="200" w:firstLine="560"/>
        <w:jc w:val="left"/>
        <w:rPr>
          <w:rFonts w:ascii="黑体" w:eastAsia="黑体"/>
          <w:sz w:val="28"/>
          <w:szCs w:val="28"/>
        </w:rPr>
      </w:pPr>
      <w:r>
        <w:rPr>
          <w:rFonts w:ascii="黑体" w:eastAsia="黑体" w:hint="eastAsia"/>
          <w:sz w:val="28"/>
          <w:szCs w:val="28"/>
        </w:rPr>
        <w:t>一、收入科目</w:t>
      </w:r>
    </w:p>
    <w:p w:rsidR="00BF2871" w:rsidRDefault="00BF2871" w:rsidP="00BF2871">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w:t>
      </w:r>
      <w:proofErr w:type="gramStart"/>
      <w:r>
        <w:rPr>
          <w:rFonts w:ascii="仿宋_GB2312" w:eastAsia="仿宋_GB2312" w:hint="eastAsia"/>
          <w:sz w:val="28"/>
          <w:szCs w:val="28"/>
        </w:rPr>
        <w:t>一</w:t>
      </w:r>
      <w:proofErr w:type="gramEnd"/>
      <w:r>
        <w:rPr>
          <w:rFonts w:ascii="仿宋_GB2312" w:eastAsia="仿宋_GB2312" w:hint="eastAsia"/>
          <w:sz w:val="28"/>
          <w:szCs w:val="28"/>
        </w:rPr>
        <w:t>)财政拨款：指市级财政当年拨付的资金。</w:t>
      </w:r>
    </w:p>
    <w:p w:rsidR="00BF2871" w:rsidRDefault="00BF2871" w:rsidP="00BF2871">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(二)教育收费资金收入：指实行专项管理的高中以上学费、住宿费，高校委托培养费，函大、电大、夜大及短训班培训费等教育收费取得的收入。</w:t>
      </w:r>
    </w:p>
    <w:p w:rsidR="00BF2871" w:rsidRDefault="00BF2871" w:rsidP="00BF2871">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(三)事业收入：指事业单位开展专业业务活动及辅助活动取得的收入。</w:t>
      </w:r>
    </w:p>
    <w:p w:rsidR="00BF2871" w:rsidRDefault="00BF2871" w:rsidP="00BF2871">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(四)事业单位经营收入：指事业单位在专业业务活动及辅助活动之外开展非独立核算经营活动取得的收入。</w:t>
      </w:r>
    </w:p>
    <w:p w:rsidR="00BF2871" w:rsidRDefault="00BF2871" w:rsidP="00BF2871">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(五)附属单位上缴收入：指事业单位附属的独立核算单位按规定标准或比例缴纳的各项收入。包括附属的事业单位上缴的收入和附属的企业上缴的利润等。</w:t>
      </w:r>
    </w:p>
    <w:p w:rsidR="00BF2871" w:rsidRDefault="00BF2871" w:rsidP="00BF2871">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(六)上级补助收入：指事业单位从主管部门和上级单位取得的非财政补助收入。</w:t>
      </w:r>
    </w:p>
    <w:p w:rsidR="00BF2871" w:rsidRDefault="00BF2871" w:rsidP="00BF2871">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(七)其他收入：指除财政拨款、事业收入、事业单位经营收入等以外的各项收入。</w:t>
      </w:r>
    </w:p>
    <w:p w:rsidR="00BF2871" w:rsidRDefault="00BF2871" w:rsidP="00BF2871">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(八)使用非财政拨款结余：指历年</w:t>
      </w:r>
      <w:proofErr w:type="gramStart"/>
      <w:r>
        <w:rPr>
          <w:rFonts w:ascii="仿宋_GB2312" w:eastAsia="仿宋_GB2312" w:hint="eastAsia"/>
          <w:sz w:val="28"/>
          <w:szCs w:val="28"/>
        </w:rPr>
        <w:t>滚存非</w:t>
      </w:r>
      <w:proofErr w:type="gramEnd"/>
      <w:r>
        <w:rPr>
          <w:rFonts w:ascii="仿宋_GB2312" w:eastAsia="仿宋_GB2312" w:hint="eastAsia"/>
          <w:sz w:val="28"/>
          <w:szCs w:val="28"/>
        </w:rPr>
        <w:t>限定用途的非财政拨款结余弥补本年度收支差额的数额。</w:t>
      </w:r>
    </w:p>
    <w:p w:rsidR="00BF2871" w:rsidRDefault="00BF2871" w:rsidP="00BF2871">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(九)上年结转结余：指以前年度全部结转和结余的资金数，包括当年结转结余资金和历年滚存结转结余资金。</w:t>
      </w:r>
    </w:p>
    <w:p w:rsidR="00BF2871" w:rsidRDefault="00BF2871" w:rsidP="00BF2871">
      <w:pPr>
        <w:widowControl/>
        <w:spacing w:line="500" w:lineRule="exact"/>
        <w:ind w:firstLineChars="200" w:firstLine="560"/>
        <w:jc w:val="left"/>
        <w:rPr>
          <w:rFonts w:ascii="黑体" w:eastAsia="黑体"/>
          <w:sz w:val="28"/>
          <w:szCs w:val="28"/>
        </w:rPr>
      </w:pPr>
      <w:r>
        <w:rPr>
          <w:rFonts w:ascii="黑体" w:eastAsia="黑体" w:hint="eastAsia"/>
          <w:sz w:val="28"/>
          <w:szCs w:val="28"/>
        </w:rPr>
        <w:t>二、支出科目</w:t>
      </w:r>
    </w:p>
    <w:p w:rsidR="00BF2871" w:rsidRDefault="00BF2871" w:rsidP="00BF2871">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（一）一般公共服务（类）人大事务（款）行政运行（项）：反映各级人大行政单位（包括实行公务员管理的事业单位）的基本支出。</w:t>
      </w:r>
    </w:p>
    <w:p w:rsidR="00BF2871" w:rsidRDefault="00BF2871" w:rsidP="00BF2871">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（二）工资福利支出：反映单位开支的在职职工和编外长期聘用人员的各类劳动报酬，以及为上述人员缴纳的各项社会保险费用等。</w:t>
      </w:r>
    </w:p>
    <w:p w:rsidR="00BF2871" w:rsidRDefault="00BF2871" w:rsidP="00BF2871">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（三）资本性支出：反映切块由发展改革部门安排的基本建设支出。</w:t>
      </w:r>
    </w:p>
    <w:p w:rsidR="00BF2871" w:rsidRDefault="00BF2871" w:rsidP="00BF2871">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（四）委托业务费：反映因委托外单位办理业务而支付的委托业务费。</w:t>
      </w:r>
    </w:p>
    <w:p w:rsidR="00BF2871" w:rsidRDefault="00BF2871" w:rsidP="00BF2871">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（五）公务接待费：反映单位按规定开支的各类公务接待费用。</w:t>
      </w:r>
    </w:p>
    <w:p w:rsidR="00BF2871" w:rsidRDefault="00BF2871" w:rsidP="00BF2871">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（六）工会经费:反映单位按规定提取或安排的工会经费。</w:t>
      </w:r>
    </w:p>
    <w:p w:rsidR="00BF2871" w:rsidRDefault="00BF2871" w:rsidP="00BF2871">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（七）福利费：反映单位按规定提取的职工福利费。</w:t>
      </w:r>
    </w:p>
    <w:p w:rsidR="00BF2871" w:rsidRDefault="00BF2871" w:rsidP="00BF2871">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（八）咨询费：反映单位咨询方面的支出。</w:t>
      </w:r>
    </w:p>
    <w:p w:rsidR="00BF2871" w:rsidRDefault="00BF2871" w:rsidP="00BF2871">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（九）维修（护）费：反映单位日常开支的固定资产（不包括车船等交通工具）修理和维护费用，网络信息系统运行与维护费用，以及按规定提取的修购基金。</w:t>
      </w:r>
    </w:p>
    <w:p w:rsidR="00BF2871" w:rsidRDefault="00BF2871" w:rsidP="00BF2871">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（十）劳务费：反映支付给外单位和个人的劳务费用，如临时聘用人员、钟点工工资、稿费、翻译费、评审费等。</w:t>
      </w:r>
    </w:p>
    <w:p w:rsidR="00BF2871" w:rsidRDefault="00BF2871" w:rsidP="00BF2871">
      <w:pPr>
        <w:widowControl/>
        <w:spacing w:line="500" w:lineRule="exact"/>
        <w:ind w:firstLineChars="200" w:firstLine="560"/>
        <w:jc w:val="left"/>
        <w:rPr>
          <w:rFonts w:ascii="黑体" w:eastAsia="黑体"/>
          <w:sz w:val="28"/>
          <w:szCs w:val="28"/>
        </w:rPr>
      </w:pPr>
      <w:r>
        <w:rPr>
          <w:rFonts w:ascii="黑体" w:eastAsia="黑体" w:hint="eastAsia"/>
          <w:sz w:val="28"/>
          <w:szCs w:val="28"/>
        </w:rPr>
        <w:t>三、相关专业名词</w:t>
      </w:r>
    </w:p>
    <w:p w:rsidR="00BF2871" w:rsidRDefault="00BF2871" w:rsidP="00BF2871">
      <w:pPr>
        <w:spacing w:line="500" w:lineRule="exact"/>
        <w:ind w:firstLineChars="200" w:firstLine="560"/>
        <w:rPr>
          <w:rFonts w:ascii="仿宋_GB2312" w:eastAsia="仿宋_GB2312"/>
          <w:sz w:val="28"/>
          <w:szCs w:val="28"/>
        </w:rPr>
      </w:pPr>
      <w:r>
        <w:rPr>
          <w:rFonts w:ascii="仿宋_GB2312" w:eastAsia="仿宋_GB2312" w:hint="eastAsia"/>
          <w:sz w:val="28"/>
          <w:szCs w:val="28"/>
        </w:rPr>
        <w:t>(</w:t>
      </w:r>
      <w:proofErr w:type="gramStart"/>
      <w:r>
        <w:rPr>
          <w:rFonts w:ascii="仿宋_GB2312" w:eastAsia="仿宋_GB2312" w:hint="eastAsia"/>
          <w:sz w:val="28"/>
          <w:szCs w:val="28"/>
        </w:rPr>
        <w:t>一</w:t>
      </w:r>
      <w:proofErr w:type="gramEnd"/>
      <w:r>
        <w:rPr>
          <w:rFonts w:ascii="仿宋_GB2312" w:eastAsia="仿宋_GB2312" w:hint="eastAsia"/>
          <w:sz w:val="28"/>
          <w:szCs w:val="28"/>
        </w:rPr>
        <w:t>)机关运行费：指用一般公共预算财政拨款安排的为保障行政单位(含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rsidR="00BF2871" w:rsidRDefault="00BF2871" w:rsidP="00BF2871">
      <w:pPr>
        <w:spacing w:line="500" w:lineRule="exact"/>
        <w:ind w:firstLineChars="200" w:firstLine="560"/>
        <w:rPr>
          <w:rFonts w:ascii="仿宋_GB2312" w:eastAsia="仿宋_GB2312"/>
          <w:sz w:val="28"/>
          <w:szCs w:val="28"/>
        </w:rPr>
      </w:pPr>
      <w:r>
        <w:rPr>
          <w:rFonts w:ascii="仿宋_GB2312" w:eastAsia="仿宋_GB2312" w:hint="eastAsia"/>
          <w:sz w:val="28"/>
          <w:szCs w:val="28"/>
        </w:rPr>
        <w:t>(二)“三公”经费：指用财政拨款安排的因公出国(境)费、公务用车购置及运行维护费和公务接待费。其中，因公出国</w:t>
      </w:r>
      <w:r>
        <w:rPr>
          <w:rFonts w:ascii="仿宋_GB2312" w:eastAsia="仿宋_GB2312" w:hint="eastAsia"/>
          <w:sz w:val="28"/>
          <w:szCs w:val="28"/>
        </w:rPr>
        <w:tab/>
        <w:t>(境)</w:t>
      </w:r>
      <w:proofErr w:type="gramStart"/>
      <w:r>
        <w:rPr>
          <w:rFonts w:ascii="仿宋_GB2312" w:eastAsia="仿宋_GB2312" w:hint="eastAsia"/>
          <w:sz w:val="28"/>
          <w:szCs w:val="28"/>
        </w:rPr>
        <w:t>费反映</w:t>
      </w:r>
      <w:proofErr w:type="gramEnd"/>
      <w:r>
        <w:rPr>
          <w:rFonts w:ascii="仿宋_GB2312" w:eastAsia="仿宋_GB2312" w:hint="eastAsia"/>
          <w:sz w:val="28"/>
          <w:szCs w:val="28"/>
        </w:rPr>
        <w:t>单位公务出国(境)的国际旅费、国外城市间交通费、住宿费、伙食费、培训费、公杂费等支出；公务用车购置及运行维护费反映单位公务用车车辆购置支出(</w:t>
      </w:r>
      <w:proofErr w:type="gramStart"/>
      <w:r>
        <w:rPr>
          <w:rFonts w:ascii="仿宋_GB2312" w:eastAsia="仿宋_GB2312" w:hint="eastAsia"/>
          <w:sz w:val="28"/>
          <w:szCs w:val="28"/>
        </w:rPr>
        <w:t>含车辆</w:t>
      </w:r>
      <w:proofErr w:type="gramEnd"/>
      <w:r>
        <w:rPr>
          <w:rFonts w:ascii="仿宋_GB2312" w:eastAsia="仿宋_GB2312" w:hint="eastAsia"/>
          <w:sz w:val="28"/>
          <w:szCs w:val="28"/>
        </w:rPr>
        <w:t>购置税、牌照费),按规定保留的公务用车燃料费、维修费、过桥过路费、保险费、安全奖励费用等支出；公务接待</w:t>
      </w:r>
      <w:proofErr w:type="gramStart"/>
      <w:r>
        <w:rPr>
          <w:rFonts w:ascii="仿宋_GB2312" w:eastAsia="仿宋_GB2312" w:hint="eastAsia"/>
          <w:sz w:val="28"/>
          <w:szCs w:val="28"/>
        </w:rPr>
        <w:t>费反</w:t>
      </w:r>
      <w:r>
        <w:rPr>
          <w:rFonts w:ascii="仿宋_GB2312" w:eastAsia="仿宋_GB2312" w:hint="eastAsia"/>
          <w:sz w:val="28"/>
          <w:szCs w:val="28"/>
        </w:rPr>
        <w:lastRenderedPageBreak/>
        <w:t>映</w:t>
      </w:r>
      <w:proofErr w:type="gramEnd"/>
      <w:r>
        <w:rPr>
          <w:rFonts w:ascii="仿宋_GB2312" w:eastAsia="仿宋_GB2312" w:hint="eastAsia"/>
          <w:sz w:val="28"/>
          <w:szCs w:val="28"/>
        </w:rPr>
        <w:t>单位按规定开支的各类公务接待(含外宾接待)支出。</w:t>
      </w:r>
    </w:p>
    <w:p w:rsidR="00BF2871" w:rsidRDefault="00BF2871" w:rsidP="00BF2871">
      <w:pPr>
        <w:spacing w:line="500" w:lineRule="exact"/>
        <w:ind w:firstLineChars="200" w:firstLine="560"/>
        <w:rPr>
          <w:rFonts w:ascii="仿宋_GB2312" w:eastAsia="仿宋_GB2312"/>
          <w:sz w:val="28"/>
          <w:szCs w:val="28"/>
        </w:rPr>
      </w:pPr>
      <w:r>
        <w:rPr>
          <w:rFonts w:ascii="仿宋_GB2312" w:eastAsia="仿宋_GB2312" w:hint="eastAsia"/>
          <w:sz w:val="28"/>
          <w:szCs w:val="28"/>
        </w:rPr>
        <w:t>(三)基本支出：指为保障机构正常运转、完成日常工作任务而发生的人员支出和公用支出。</w:t>
      </w:r>
    </w:p>
    <w:p w:rsidR="00BF2871" w:rsidRDefault="00BF2871" w:rsidP="00BF2871">
      <w:pPr>
        <w:spacing w:line="500" w:lineRule="exact"/>
        <w:ind w:firstLineChars="200" w:firstLine="560"/>
        <w:rPr>
          <w:rFonts w:ascii="仿宋_GB2312" w:eastAsia="仿宋_GB2312"/>
          <w:sz w:val="28"/>
          <w:szCs w:val="28"/>
        </w:rPr>
      </w:pPr>
      <w:r>
        <w:rPr>
          <w:rFonts w:ascii="仿宋_GB2312" w:eastAsia="仿宋_GB2312" w:hint="eastAsia"/>
          <w:sz w:val="28"/>
          <w:szCs w:val="28"/>
        </w:rPr>
        <w:t>(四)项目支出：指在基本支出之外为完成特定行政任务或事业发展目标所发生的支出。</w:t>
      </w:r>
    </w:p>
    <w:p w:rsidR="00BF2871" w:rsidRPr="00A10464" w:rsidRDefault="00BF2871" w:rsidP="00BF2871"/>
    <w:p w:rsidR="00B016DB" w:rsidRPr="00BF2871" w:rsidRDefault="00B016DB"/>
    <w:sectPr w:rsidR="00B016DB" w:rsidRPr="00BF2871" w:rsidSect="000F641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32C1" w:rsidRDefault="006F32C1" w:rsidP="006F32C1">
      <w:r>
        <w:separator/>
      </w:r>
    </w:p>
  </w:endnote>
  <w:endnote w:type="continuationSeparator" w:id="0">
    <w:p w:rsidR="006F32C1" w:rsidRDefault="006F32C1" w:rsidP="006F32C1">
      <w:r>
        <w:continuationSeparator/>
      </w:r>
    </w:p>
  </w:endnote>
</w:endnotes>
</file>

<file path=word/fontTable.xml><?xml version="1.0" encoding="utf-8"?>
<w:fonts xmlns:r="http://schemas.openxmlformats.org/officeDocument/2006/relationships" xmlns:w="http://schemas.openxmlformats.org/wordprocessingml/2006/main">
  <w:font w:name="楷体_GB2312">
    <w:altName w:val="Arial Unicode MS"/>
    <w:charset w:val="86"/>
    <w:family w:val="modern"/>
    <w:pitch w:val="default"/>
    <w:sig w:usb0="00000000"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32C1" w:rsidRDefault="006F32C1" w:rsidP="006F32C1">
      <w:r>
        <w:separator/>
      </w:r>
    </w:p>
  </w:footnote>
  <w:footnote w:type="continuationSeparator" w:id="0">
    <w:p w:rsidR="006F32C1" w:rsidRDefault="006F32C1" w:rsidP="006F32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BBF536"/>
    <w:multiLevelType w:val="singleLevel"/>
    <w:tmpl w:val="50BBF536"/>
    <w:lvl w:ilvl="0">
      <w:start w:val="5"/>
      <w:numFmt w:val="chineseCounting"/>
      <w:suff w:val="nothing"/>
      <w:lvlText w:val="（%1）"/>
      <w:lvlJc w:val="left"/>
      <w:rPr>
        <w:rFonts w:ascii="楷体_GB2312" w:eastAsia="楷体_GB2312" w:hAnsi="楷体_GB2312" w:cs="楷体_GB2312" w:hint="eastAsia"/>
        <w:b/>
        <w:bC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F32C1"/>
    <w:rsid w:val="000F641D"/>
    <w:rsid w:val="00227242"/>
    <w:rsid w:val="00264220"/>
    <w:rsid w:val="00676F10"/>
    <w:rsid w:val="006F32C1"/>
    <w:rsid w:val="00814933"/>
    <w:rsid w:val="00B016DB"/>
    <w:rsid w:val="00BC684C"/>
    <w:rsid w:val="00BF2871"/>
    <w:rsid w:val="00E8329E"/>
    <w:rsid w:val="00F20788"/>
    <w:rsid w:val="00FC1C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2C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F32C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F32C1"/>
    <w:rPr>
      <w:sz w:val="18"/>
      <w:szCs w:val="18"/>
    </w:rPr>
  </w:style>
  <w:style w:type="paragraph" w:styleId="a4">
    <w:name w:val="footer"/>
    <w:basedOn w:val="a"/>
    <w:link w:val="Char0"/>
    <w:uiPriority w:val="99"/>
    <w:semiHidden/>
    <w:unhideWhenUsed/>
    <w:rsid w:val="006F32C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F32C1"/>
    <w:rPr>
      <w:sz w:val="18"/>
      <w:szCs w:val="18"/>
    </w:rPr>
  </w:style>
  <w:style w:type="paragraph" w:styleId="a5">
    <w:name w:val="Balloon Text"/>
    <w:basedOn w:val="a"/>
    <w:link w:val="Char1"/>
    <w:uiPriority w:val="99"/>
    <w:semiHidden/>
    <w:unhideWhenUsed/>
    <w:rsid w:val="006F32C1"/>
    <w:rPr>
      <w:sz w:val="18"/>
      <w:szCs w:val="18"/>
    </w:rPr>
  </w:style>
  <w:style w:type="character" w:customStyle="1" w:styleId="Char1">
    <w:name w:val="批注框文本 Char"/>
    <w:basedOn w:val="a0"/>
    <w:link w:val="a5"/>
    <w:uiPriority w:val="99"/>
    <w:semiHidden/>
    <w:rsid w:val="006F32C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655574436">
      <w:bodyDiv w:val="1"/>
      <w:marLeft w:val="0"/>
      <w:marRight w:val="0"/>
      <w:marTop w:val="0"/>
      <w:marBottom w:val="0"/>
      <w:divBdr>
        <w:top w:val="none" w:sz="0" w:space="0" w:color="auto"/>
        <w:left w:val="none" w:sz="0" w:space="0" w:color="auto"/>
        <w:bottom w:val="none" w:sz="0" w:space="0" w:color="auto"/>
        <w:right w:val="none" w:sz="0" w:space="0" w:color="auto"/>
      </w:divBdr>
    </w:div>
    <w:div w:id="665936244">
      <w:bodyDiv w:val="1"/>
      <w:marLeft w:val="0"/>
      <w:marRight w:val="0"/>
      <w:marTop w:val="0"/>
      <w:marBottom w:val="0"/>
      <w:divBdr>
        <w:top w:val="none" w:sz="0" w:space="0" w:color="auto"/>
        <w:left w:val="none" w:sz="0" w:space="0" w:color="auto"/>
        <w:bottom w:val="none" w:sz="0" w:space="0" w:color="auto"/>
        <w:right w:val="none" w:sz="0" w:space="0" w:color="auto"/>
      </w:divBdr>
    </w:div>
    <w:div w:id="675570946">
      <w:bodyDiv w:val="1"/>
      <w:marLeft w:val="0"/>
      <w:marRight w:val="0"/>
      <w:marTop w:val="0"/>
      <w:marBottom w:val="0"/>
      <w:divBdr>
        <w:top w:val="none" w:sz="0" w:space="0" w:color="auto"/>
        <w:left w:val="none" w:sz="0" w:space="0" w:color="auto"/>
        <w:bottom w:val="none" w:sz="0" w:space="0" w:color="auto"/>
        <w:right w:val="none" w:sz="0" w:space="0" w:color="auto"/>
      </w:divBdr>
    </w:div>
    <w:div w:id="705905903">
      <w:bodyDiv w:val="1"/>
      <w:marLeft w:val="0"/>
      <w:marRight w:val="0"/>
      <w:marTop w:val="0"/>
      <w:marBottom w:val="0"/>
      <w:divBdr>
        <w:top w:val="none" w:sz="0" w:space="0" w:color="auto"/>
        <w:left w:val="none" w:sz="0" w:space="0" w:color="auto"/>
        <w:bottom w:val="none" w:sz="0" w:space="0" w:color="auto"/>
        <w:right w:val="none" w:sz="0" w:space="0" w:color="auto"/>
      </w:divBdr>
    </w:div>
    <w:div w:id="885338733">
      <w:bodyDiv w:val="1"/>
      <w:marLeft w:val="0"/>
      <w:marRight w:val="0"/>
      <w:marTop w:val="0"/>
      <w:marBottom w:val="0"/>
      <w:divBdr>
        <w:top w:val="none" w:sz="0" w:space="0" w:color="auto"/>
        <w:left w:val="none" w:sz="0" w:space="0" w:color="auto"/>
        <w:bottom w:val="none" w:sz="0" w:space="0" w:color="auto"/>
        <w:right w:val="none" w:sz="0" w:space="0" w:color="auto"/>
      </w:divBdr>
    </w:div>
    <w:div w:id="970477463">
      <w:bodyDiv w:val="1"/>
      <w:marLeft w:val="0"/>
      <w:marRight w:val="0"/>
      <w:marTop w:val="0"/>
      <w:marBottom w:val="0"/>
      <w:divBdr>
        <w:top w:val="none" w:sz="0" w:space="0" w:color="auto"/>
        <w:left w:val="none" w:sz="0" w:space="0" w:color="auto"/>
        <w:bottom w:val="none" w:sz="0" w:space="0" w:color="auto"/>
        <w:right w:val="none" w:sz="0" w:space="0" w:color="auto"/>
      </w:divBdr>
    </w:div>
    <w:div w:id="1277102865">
      <w:bodyDiv w:val="1"/>
      <w:marLeft w:val="0"/>
      <w:marRight w:val="0"/>
      <w:marTop w:val="0"/>
      <w:marBottom w:val="0"/>
      <w:divBdr>
        <w:top w:val="none" w:sz="0" w:space="0" w:color="auto"/>
        <w:left w:val="none" w:sz="0" w:space="0" w:color="auto"/>
        <w:bottom w:val="none" w:sz="0" w:space="0" w:color="auto"/>
        <w:right w:val="none" w:sz="0" w:space="0" w:color="auto"/>
      </w:divBdr>
    </w:div>
    <w:div w:id="1370912384">
      <w:bodyDiv w:val="1"/>
      <w:marLeft w:val="0"/>
      <w:marRight w:val="0"/>
      <w:marTop w:val="0"/>
      <w:marBottom w:val="0"/>
      <w:divBdr>
        <w:top w:val="none" w:sz="0" w:space="0" w:color="auto"/>
        <w:left w:val="none" w:sz="0" w:space="0" w:color="auto"/>
        <w:bottom w:val="none" w:sz="0" w:space="0" w:color="auto"/>
        <w:right w:val="none" w:sz="0" w:space="0" w:color="auto"/>
      </w:divBdr>
    </w:div>
    <w:div w:id="1540363664">
      <w:bodyDiv w:val="1"/>
      <w:marLeft w:val="0"/>
      <w:marRight w:val="0"/>
      <w:marTop w:val="0"/>
      <w:marBottom w:val="0"/>
      <w:divBdr>
        <w:top w:val="none" w:sz="0" w:space="0" w:color="auto"/>
        <w:left w:val="none" w:sz="0" w:space="0" w:color="auto"/>
        <w:bottom w:val="none" w:sz="0" w:space="0" w:color="auto"/>
        <w:right w:val="none" w:sz="0" w:space="0" w:color="auto"/>
      </w:divBdr>
    </w:div>
    <w:div w:id="1895896013">
      <w:bodyDiv w:val="1"/>
      <w:marLeft w:val="0"/>
      <w:marRight w:val="0"/>
      <w:marTop w:val="0"/>
      <w:marBottom w:val="0"/>
      <w:divBdr>
        <w:top w:val="none" w:sz="0" w:space="0" w:color="auto"/>
        <w:left w:val="none" w:sz="0" w:space="0" w:color="auto"/>
        <w:bottom w:val="none" w:sz="0" w:space="0" w:color="auto"/>
        <w:right w:val="none" w:sz="0" w:space="0" w:color="auto"/>
      </w:divBdr>
    </w:div>
    <w:div w:id="1939941486">
      <w:bodyDiv w:val="1"/>
      <w:marLeft w:val="0"/>
      <w:marRight w:val="0"/>
      <w:marTop w:val="0"/>
      <w:marBottom w:val="0"/>
      <w:divBdr>
        <w:top w:val="none" w:sz="0" w:space="0" w:color="auto"/>
        <w:left w:val="none" w:sz="0" w:space="0" w:color="auto"/>
        <w:bottom w:val="none" w:sz="0" w:space="0" w:color="auto"/>
        <w:right w:val="none" w:sz="0" w:space="0" w:color="auto"/>
      </w:divBdr>
    </w:div>
    <w:div w:id="211034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17</Pages>
  <Words>845</Words>
  <Characters>4818</Characters>
  <Application>Microsoft Office Word</Application>
  <DocSecurity>0</DocSecurity>
  <Lines>40</Lines>
  <Paragraphs>11</Paragraphs>
  <ScaleCrop>false</ScaleCrop>
  <Company>Microsoft</Company>
  <LinksUpToDate>false</LinksUpToDate>
  <CharactersWithSpaces>5652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5</cp:revision>
  <dcterms:created xsi:type="dcterms:W3CDTF">2025-02-10T08:48:00Z</dcterms:created>
  <dcterms:modified xsi:type="dcterms:W3CDTF">2025-02-13T04:18:00Z</dcterms:modified>
</cp:coreProperties>
</file>