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方正仿宋简体" w:hAnsi="方正仿宋简体" w:eastAsia="方正仿宋简体" w:cs="方正仿宋简体"/>
          <w:b/>
          <w:color w:val="auto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sz w:val="24"/>
          <w:szCs w:val="24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青山湖区第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批中小学（幼）优秀骨干教师评选推荐人选材料装订参考目录顺序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宋体" w:hAnsi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1.青山湖区第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批中小学（幼）优秀骨干教师申报表；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2.身份证、毕业证、教师资格证、专业技术职务资格证书；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3.乡村教师证明材料、民办教育机构任职证明材料等；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4.任课表（工作量）、班主任工作证明及年度考核、师德考核材料；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5.继续教育学时证明材料；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6.教育教学成绩显著类的业绩佐证材料（按文件中列举的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类材料顺序提供）；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7.教育科研能力较强类的业绩佐证材料（按文件中列举的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类材料顺序提供）。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0CAB60E4"/>
    <w:rsid w:val="3EAE3090"/>
    <w:rsid w:val="73E55492"/>
    <w:rsid w:val="7F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2024-03-25T03:53:03Z</dcterms:created>
  <dc:creator>xionghaiquan</dc:creator>
  <cp:lastModifiedBy>摩天轮</cp:lastModifiedBy>
  <dcterms:modified xsi:type="dcterms:W3CDTF">2024-03-25T03:55:36Z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9BB11F4BE022451FA89C9C1CD3186290_12</vt:lpwstr>
  </property>
</Properties>
</file>