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南昌市青山湖区</w:t>
      </w:r>
      <w:r>
        <w:rPr>
          <w:rFonts w:hint="eastAsia"/>
          <w:b/>
          <w:sz w:val="44"/>
          <w:szCs w:val="44"/>
          <w:lang w:eastAsia="zh-CN"/>
        </w:rPr>
        <w:t>商务</w:t>
      </w:r>
      <w:r>
        <w:rPr>
          <w:rFonts w:hint="eastAsia"/>
          <w:b/>
          <w:sz w:val="44"/>
          <w:szCs w:val="44"/>
        </w:rPr>
        <w:t>局</w:t>
      </w:r>
      <w:r>
        <w:rPr>
          <w:rFonts w:hint="eastAsia"/>
          <w:b/>
          <w:sz w:val="44"/>
          <w:szCs w:val="44"/>
          <w:lang w:val="en-US" w:eastAsia="zh-CN"/>
        </w:rPr>
        <w:t>2020</w:t>
      </w:r>
      <w:r>
        <w:rPr>
          <w:rFonts w:hint="eastAsia"/>
          <w:b/>
          <w:sz w:val="44"/>
          <w:szCs w:val="44"/>
        </w:rPr>
        <w:t>年部门预算编制说明</w:t>
      </w:r>
    </w:p>
    <w:p>
      <w:pPr>
        <w:spacing w:line="600" w:lineRule="exact"/>
        <w:jc w:val="center"/>
        <w:rPr>
          <w:rFonts w:hint="eastAsia" w:ascii="黑体" w:eastAsia="黑体"/>
          <w:sz w:val="32"/>
          <w:szCs w:val="32"/>
        </w:rPr>
      </w:pPr>
      <w:r>
        <w:rPr>
          <w:rFonts w:hint="eastAsia" w:ascii="黑体" w:eastAsia="黑体"/>
          <w:sz w:val="32"/>
          <w:szCs w:val="32"/>
        </w:rPr>
        <w:t>目    录</w:t>
      </w:r>
    </w:p>
    <w:p>
      <w:pPr>
        <w:widowControl/>
        <w:spacing w:line="540" w:lineRule="exact"/>
        <w:ind w:firstLine="640"/>
        <w:jc w:val="left"/>
        <w:rPr>
          <w:rFonts w:hint="eastAsia" w:ascii="仿宋_GB2312" w:eastAsia="仿宋_GB2312"/>
          <w:b/>
          <w:sz w:val="32"/>
          <w:szCs w:val="30"/>
        </w:rPr>
      </w:pPr>
      <w:r>
        <w:rPr>
          <w:rFonts w:hint="eastAsia" w:ascii="仿宋_GB2312" w:eastAsia="仿宋_GB2312"/>
          <w:b/>
          <w:sz w:val="32"/>
          <w:szCs w:val="30"/>
        </w:rPr>
        <w:t>第一部分  南昌市青山湖区</w:t>
      </w:r>
      <w:r>
        <w:rPr>
          <w:rFonts w:hint="eastAsia" w:ascii="仿宋_GB2312" w:eastAsia="仿宋_GB2312"/>
          <w:b/>
          <w:sz w:val="32"/>
          <w:szCs w:val="30"/>
          <w:lang w:eastAsia="zh-CN"/>
        </w:rPr>
        <w:t>商务</w:t>
      </w:r>
      <w:r>
        <w:rPr>
          <w:rFonts w:hint="eastAsia" w:ascii="仿宋_GB2312" w:eastAsia="仿宋_GB2312"/>
          <w:b/>
          <w:sz w:val="32"/>
          <w:szCs w:val="30"/>
        </w:rPr>
        <w:t>局概况</w:t>
      </w:r>
    </w:p>
    <w:p>
      <w:pPr>
        <w:widowControl/>
        <w:numPr>
          <w:ilvl w:val="0"/>
          <w:numId w:val="1"/>
        </w:numPr>
        <w:spacing w:line="540" w:lineRule="exact"/>
        <w:jc w:val="left"/>
        <w:rPr>
          <w:rFonts w:hint="eastAsia" w:ascii="楷体_GB2312" w:eastAsia="楷体_GB2312"/>
          <w:sz w:val="32"/>
          <w:szCs w:val="30"/>
        </w:rPr>
      </w:pPr>
      <w:r>
        <w:rPr>
          <w:rFonts w:hint="eastAsia" w:ascii="楷体_GB2312" w:eastAsia="楷体_GB2312"/>
          <w:sz w:val="32"/>
          <w:szCs w:val="30"/>
        </w:rPr>
        <w:t>部门主要职责</w:t>
      </w:r>
    </w:p>
    <w:p>
      <w:pPr>
        <w:widowControl/>
        <w:numPr>
          <w:ilvl w:val="0"/>
          <w:numId w:val="1"/>
        </w:numPr>
        <w:spacing w:line="540" w:lineRule="exact"/>
        <w:jc w:val="left"/>
        <w:rPr>
          <w:rFonts w:hint="eastAsia" w:ascii="楷体_GB2312" w:eastAsia="楷体_GB2312"/>
          <w:sz w:val="32"/>
          <w:szCs w:val="30"/>
        </w:rPr>
      </w:pPr>
      <w:r>
        <w:rPr>
          <w:rFonts w:hint="eastAsia" w:ascii="楷体_GB2312" w:eastAsia="楷体_GB2312"/>
          <w:sz w:val="32"/>
          <w:szCs w:val="30"/>
        </w:rPr>
        <w:t>部门</w:t>
      </w:r>
      <w:r>
        <w:rPr>
          <w:rFonts w:hint="eastAsia" w:ascii="楷体_GB2312" w:eastAsia="楷体_GB2312"/>
          <w:sz w:val="32"/>
          <w:szCs w:val="30"/>
          <w:lang w:val="en-US" w:eastAsia="zh-CN"/>
        </w:rPr>
        <w:t>2020</w:t>
      </w:r>
      <w:r>
        <w:rPr>
          <w:rFonts w:hint="eastAsia" w:ascii="楷体_GB2312" w:eastAsia="楷体_GB2312"/>
          <w:sz w:val="32"/>
          <w:szCs w:val="30"/>
        </w:rPr>
        <w:t>年主要工作任务</w:t>
      </w:r>
    </w:p>
    <w:p>
      <w:pPr>
        <w:widowControl/>
        <w:numPr>
          <w:ilvl w:val="0"/>
          <w:numId w:val="1"/>
        </w:numPr>
        <w:spacing w:line="540" w:lineRule="exact"/>
        <w:jc w:val="left"/>
        <w:rPr>
          <w:rFonts w:hint="eastAsia" w:ascii="楷体_GB2312" w:hAnsi="Calibri" w:eastAsia="楷体_GB2312" w:cs="宋体"/>
          <w:kern w:val="0"/>
          <w:sz w:val="32"/>
          <w:szCs w:val="32"/>
        </w:rPr>
      </w:pPr>
      <w:r>
        <w:rPr>
          <w:rFonts w:hint="eastAsia" w:ascii="楷体_GB2312" w:hAnsi="Calibri" w:eastAsia="楷体_GB2312" w:cs="宋体"/>
          <w:kern w:val="0"/>
          <w:sz w:val="32"/>
          <w:szCs w:val="32"/>
        </w:rPr>
        <w:t>部门基本情况</w:t>
      </w:r>
    </w:p>
    <w:p>
      <w:pPr>
        <w:widowControl/>
        <w:spacing w:line="540" w:lineRule="exact"/>
        <w:ind w:firstLine="640"/>
        <w:jc w:val="left"/>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南昌市青山湖区</w:t>
      </w:r>
      <w:r>
        <w:rPr>
          <w:rFonts w:hint="eastAsia" w:ascii="仿宋_GB2312" w:eastAsia="仿宋_GB2312"/>
          <w:b/>
          <w:sz w:val="32"/>
          <w:szCs w:val="30"/>
          <w:lang w:eastAsia="zh-CN"/>
        </w:rPr>
        <w:t>商务</w:t>
      </w:r>
      <w:r>
        <w:rPr>
          <w:rFonts w:hint="eastAsia" w:ascii="仿宋_GB2312" w:eastAsia="仿宋_GB2312"/>
          <w:b/>
          <w:sz w:val="32"/>
          <w:szCs w:val="30"/>
        </w:rPr>
        <w:t>局</w:t>
      </w:r>
      <w:r>
        <w:rPr>
          <w:rFonts w:hint="eastAsia" w:ascii="仿宋_GB2312" w:eastAsia="仿宋_GB2312"/>
          <w:b/>
          <w:sz w:val="32"/>
          <w:szCs w:val="30"/>
          <w:lang w:val="en-US" w:eastAsia="zh-CN"/>
        </w:rPr>
        <w:t>2020</w:t>
      </w:r>
      <w:r>
        <w:rPr>
          <w:rFonts w:hint="eastAsia" w:ascii="仿宋_GB2312" w:eastAsia="仿宋_GB2312"/>
          <w:b/>
          <w:sz w:val="32"/>
          <w:szCs w:val="30"/>
        </w:rPr>
        <w:t>年部门预算情况说明</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一、部门预算收支情况说明</w:t>
      </w:r>
    </w:p>
    <w:p>
      <w:pPr>
        <w:widowControl/>
        <w:spacing w:line="54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“三公”经费预算情况说明</w:t>
      </w:r>
    </w:p>
    <w:p>
      <w:pPr>
        <w:spacing w:line="540" w:lineRule="exact"/>
        <w:ind w:firstLine="640" w:firstLineChars="200"/>
        <w:rPr>
          <w:rFonts w:hint="eastAsia" w:ascii="楷体_GB2312" w:eastAsia="楷体_GB2312"/>
          <w:b/>
          <w:sz w:val="32"/>
          <w:szCs w:val="30"/>
        </w:rPr>
      </w:pPr>
      <w:r>
        <w:rPr>
          <w:rFonts w:hint="eastAsia" w:ascii="楷体_GB2312" w:eastAsia="楷体_GB2312"/>
          <w:sz w:val="32"/>
          <w:szCs w:val="30"/>
        </w:rPr>
        <w:t xml:space="preserve">    三、局本级及所属单位预算草案的具体说明</w:t>
      </w:r>
    </w:p>
    <w:p>
      <w:pPr>
        <w:widowControl/>
        <w:spacing w:line="540" w:lineRule="exact"/>
        <w:ind w:firstLine="643" w:firstLineChars="200"/>
        <w:jc w:val="left"/>
        <w:rPr>
          <w:rFonts w:hint="eastAsia" w:ascii="仿宋_GB2312" w:eastAsia="仿宋_GB2312"/>
          <w:b/>
          <w:sz w:val="32"/>
          <w:szCs w:val="30"/>
        </w:rPr>
      </w:pPr>
      <w:r>
        <w:rPr>
          <w:rFonts w:hint="eastAsia" w:ascii="仿宋_GB2312" w:eastAsia="仿宋_GB2312"/>
          <w:b/>
          <w:sz w:val="32"/>
          <w:szCs w:val="30"/>
        </w:rPr>
        <w:t>第三部分  南昌市青山湖区</w:t>
      </w:r>
      <w:r>
        <w:rPr>
          <w:rFonts w:hint="eastAsia" w:ascii="仿宋_GB2312" w:eastAsia="仿宋_GB2312"/>
          <w:b/>
          <w:sz w:val="32"/>
          <w:szCs w:val="30"/>
          <w:lang w:eastAsia="zh-CN"/>
        </w:rPr>
        <w:t>商务</w:t>
      </w:r>
      <w:r>
        <w:rPr>
          <w:rFonts w:hint="eastAsia" w:ascii="仿宋_GB2312" w:eastAsia="仿宋_GB2312"/>
          <w:b/>
          <w:sz w:val="32"/>
          <w:szCs w:val="30"/>
        </w:rPr>
        <w:t>局</w:t>
      </w:r>
      <w:r>
        <w:rPr>
          <w:rFonts w:hint="eastAsia" w:ascii="仿宋_GB2312" w:eastAsia="仿宋_GB2312"/>
          <w:b/>
          <w:sz w:val="32"/>
          <w:szCs w:val="30"/>
          <w:lang w:val="en-US" w:eastAsia="zh-CN"/>
        </w:rPr>
        <w:t>2020</w:t>
      </w:r>
      <w:r>
        <w:rPr>
          <w:rFonts w:hint="eastAsia" w:ascii="仿宋_GB2312" w:eastAsia="仿宋_GB2312"/>
          <w:b/>
          <w:sz w:val="32"/>
          <w:szCs w:val="30"/>
        </w:rPr>
        <w:t>年部门预算表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一、《收支预算总表》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二、《部门收入总表》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三、《部门支出总表》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四、《财政拨款收支总表》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五、《一般公共预算支出表》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六、《一般公共预算基本支出表》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七、《一般公共预算“三公”经费支出表》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九、《项目绩效目标表》</w:t>
      </w:r>
    </w:p>
    <w:p>
      <w:pPr>
        <w:widowControl/>
        <w:spacing w:line="540" w:lineRule="exact"/>
        <w:ind w:firstLine="1121" w:firstLineChars="349"/>
        <w:jc w:val="left"/>
        <w:rPr>
          <w:rFonts w:hint="eastAsia" w:ascii="仿宋_GB2312" w:eastAsia="仿宋_GB2312"/>
          <w:b/>
          <w:sz w:val="32"/>
          <w:szCs w:val="30"/>
        </w:rPr>
      </w:pPr>
      <w:r>
        <w:rPr>
          <w:rFonts w:hint="eastAsia" w:ascii="仿宋_GB2312" w:eastAsia="仿宋_GB2312"/>
          <w:b/>
          <w:sz w:val="32"/>
          <w:szCs w:val="30"/>
        </w:rPr>
        <w:t>第四部分  名词解释</w:t>
      </w:r>
    </w:p>
    <w:p>
      <w:pPr>
        <w:jc w:val="both"/>
        <w:rPr>
          <w:rFonts w:hint="eastAsia" w:asciiTheme="majorEastAsia" w:hAnsiTheme="majorEastAsia" w:eastAsiaTheme="majorEastAsia" w:cstheme="majorEastAsia"/>
          <w:b/>
          <w:bCs/>
          <w:sz w:val="44"/>
          <w:szCs w:val="44"/>
          <w:lang w:val="en-US" w:eastAsia="zh-CN"/>
        </w:rPr>
      </w:pPr>
    </w:p>
    <w:p>
      <w:pPr>
        <w:ind w:firstLine="1767" w:firstLineChars="400"/>
        <w:jc w:val="both"/>
        <w:rPr>
          <w:rFonts w:hint="eastAsia" w:asciiTheme="majorEastAsia" w:hAnsiTheme="majorEastAsia" w:eastAsiaTheme="majorEastAsia" w:cstheme="majorEastAsia"/>
          <w:b/>
          <w:bCs/>
          <w:sz w:val="44"/>
          <w:szCs w:val="44"/>
          <w:lang w:val="en-US" w:eastAsia="zh-CN"/>
        </w:rPr>
      </w:pPr>
    </w:p>
    <w:p>
      <w:pPr>
        <w:ind w:firstLine="2209" w:firstLineChars="500"/>
        <w:jc w:val="both"/>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南昌市青山湖区商务局</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2020年部门预算编制说明</w:t>
      </w:r>
    </w:p>
    <w:p>
      <w:pPr>
        <w:widowControl/>
        <w:spacing w:line="540" w:lineRule="exact"/>
        <w:ind w:firstLine="643" w:firstLineChars="200"/>
        <w:jc w:val="left"/>
        <w:rPr>
          <w:rFonts w:hint="eastAsia" w:ascii="黑体" w:eastAsia="黑体"/>
          <w:b/>
          <w:sz w:val="32"/>
          <w:szCs w:val="32"/>
        </w:rPr>
      </w:pPr>
      <w:r>
        <w:rPr>
          <w:rFonts w:hint="eastAsia" w:ascii="黑体" w:eastAsia="黑体"/>
          <w:b/>
          <w:sz w:val="32"/>
          <w:szCs w:val="32"/>
        </w:rPr>
        <w:t>第一部分  南昌市青山湖区青山湖区</w:t>
      </w:r>
      <w:r>
        <w:rPr>
          <w:rFonts w:hint="eastAsia" w:ascii="黑体" w:eastAsia="黑体"/>
          <w:b/>
          <w:sz w:val="32"/>
          <w:szCs w:val="32"/>
          <w:lang w:eastAsia="zh-CN"/>
        </w:rPr>
        <w:t>商务</w:t>
      </w:r>
      <w:r>
        <w:rPr>
          <w:rFonts w:hint="eastAsia" w:ascii="黑体" w:eastAsia="黑体"/>
          <w:b/>
          <w:sz w:val="32"/>
          <w:szCs w:val="32"/>
        </w:rPr>
        <w:t>局概况</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楷体_GB2312" w:hAnsi="Calibri" w:eastAsia="楷体_GB2312" w:cs="宋体"/>
          <w:b/>
          <w:kern w:val="0"/>
          <w:sz w:val="32"/>
          <w:szCs w:val="32"/>
        </w:rPr>
      </w:pPr>
      <w:r>
        <w:rPr>
          <w:rFonts w:ascii="楷体_GB2312" w:hAnsi="Calibri" w:eastAsia="楷体_GB2312" w:cs="宋体"/>
          <w:b/>
          <w:kern w:val="0"/>
          <w:sz w:val="32"/>
          <w:szCs w:val="32"/>
        </w:rPr>
        <w:t>一、部门主要职责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eastAsia="仿宋_GB2312"/>
          <w:sz w:val="32"/>
          <w:szCs w:val="32"/>
          <w:lang w:val="en-US" w:eastAsia="zh-CN"/>
        </w:rPr>
        <w:t>青山湖区商务局是主管商贸业发展工作的区政府组成部门，主要职责是：</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（一）贯彻执行国家、省、市有关国内、外贸易和服务贸易工作的法律、法规和方针、政策及区委、区政府有关内、外贸工作的重大决策；拟定全区内、外贸发展战略、中长期发展规划和政策、并组织实施。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（二）拟定年度内、外贸运行调控目标和指导性计划、措施，并组织实施；统计、分析和发布重要商务信息，参与协调商务运行中涉及财政、金融、税务、统计等领域的政策问题。</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（三）推进流通产业结构调整，研究流通企业改革的相关政策，并组织实施；提出促进商贸企业发展的政策建议，推动流通标准化和连锁经营、物流配送、电子商务等现代流通方式的发展。</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四）牵头协调整顿和规范全区市场经济秩序，参与组织打击商务领域侵权知识产权和制售假冒伪劣商品等违法行为；按规定权限审批、核准、备案全区商品流通领域特殊行业，对新建商品物流市场、设立拍卖典当行、加油站（点）进行资格审核准入，并依法监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五）推进市场体系建设，促进城乡市场发展。制订全区商品市场发展规划、城区商业网点规划、物流业发展规划和政策措施，并监督实施；研究全区物流业改革发展的重大问题，跟踪推进物流业重大项目建设；协调、指导全区市场建设与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（六）推进商业体系建设和社区商业建设，指导、协调全区商品会展业和社区商业发展，组织开展商品会展活动。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七）建立健全生活必需品市场供应应急管理机制，监测分析重点流通市场运行、商品供求状况，调查分析商品价格信息，进行预测预警和信息引导，按有关规定对酒类、成品油和再生资源等流通市场进行监督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（八）制定促进全区服务外包产业发展规划、政策措施并组织实施；推动服务外包示范城市建设，推进全区服务外包产业发展。</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（九）全区社会消费品零售总额、限上批零和住餐业零售总额和出口创汇三大数据统计及任务分解。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十）贯彻执行国家和省、市有关粮食流通管理的方针政策和法律法规，拟订全区粮食流通的规范性文件和有关政策，并监督执行；制定粮食监测预警和应急方案，协调、指导政策性粮食供应与管理；制定全区粮食市场体系建设与发展规划，并组织实施，编制全区粮食流通基础设施建设规划，并指导实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（十一）监督检查区级储备粮数量、质量和储存安全，制定和完善区级储备粮管理的技术规范并监督执行，协助中储粮江西公司、省、市粮食局监督检查辖区内中央储备粮、省级储备粮的数量、质量和储存安全。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（十二）建设我区肉菜流通追溯体系，实现肉菜来源可追溯去向可查证、责任可追究的数据链条，同时实现了政府强化管理、企业提高信誉、经营者交易便利、消费者放心购买的四方共赢的效果。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（十三）推进、指导、协调和监督本部门、本系统的政府信息公开工作。</w:t>
      </w:r>
    </w:p>
    <w:p>
      <w:pPr>
        <w:ind w:firstLine="960" w:firstLineChars="3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（十四）承办区政府交办的其他事项。</w:t>
      </w:r>
    </w:p>
    <w:p>
      <w:pPr>
        <w:widowControl/>
        <w:numPr>
          <w:ilvl w:val="0"/>
          <w:numId w:val="0"/>
        </w:numPr>
        <w:spacing w:line="540" w:lineRule="exact"/>
        <w:ind w:firstLine="320" w:firstLineChars="100"/>
        <w:jc w:val="left"/>
        <w:rPr>
          <w:rFonts w:hint="eastAsia" w:ascii="楷体_GB2312" w:eastAsia="楷体_GB2312"/>
          <w:sz w:val="32"/>
          <w:szCs w:val="30"/>
        </w:rPr>
      </w:pPr>
      <w:r>
        <w:rPr>
          <w:rFonts w:hint="eastAsia" w:ascii="楷体_GB2312" w:eastAsia="楷体_GB2312"/>
          <w:sz w:val="32"/>
          <w:szCs w:val="30"/>
          <w:lang w:eastAsia="zh-CN"/>
        </w:rPr>
        <w:t>二、</w:t>
      </w:r>
      <w:r>
        <w:rPr>
          <w:rFonts w:hint="eastAsia" w:ascii="楷体_GB2312" w:eastAsia="楷体_GB2312"/>
          <w:sz w:val="32"/>
          <w:szCs w:val="30"/>
        </w:rPr>
        <w:t>部门</w:t>
      </w:r>
      <w:r>
        <w:rPr>
          <w:rFonts w:hint="eastAsia" w:ascii="楷体_GB2312" w:eastAsia="楷体_GB2312"/>
          <w:sz w:val="32"/>
          <w:szCs w:val="30"/>
          <w:lang w:val="en-US" w:eastAsia="zh-CN"/>
        </w:rPr>
        <w:t>2020</w:t>
      </w:r>
      <w:r>
        <w:rPr>
          <w:rFonts w:hint="eastAsia" w:ascii="楷体_GB2312" w:eastAsia="楷体_GB2312"/>
          <w:sz w:val="32"/>
          <w:szCs w:val="30"/>
        </w:rPr>
        <w:t>年主要工作任务</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区</w:t>
      </w:r>
      <w:r>
        <w:rPr>
          <w:rFonts w:hint="eastAsia" w:ascii="仿宋_GB2312" w:eastAsia="仿宋_GB2312"/>
          <w:sz w:val="30"/>
          <w:szCs w:val="30"/>
          <w:lang w:eastAsia="zh-CN"/>
        </w:rPr>
        <w:t>商务局</w:t>
      </w:r>
      <w:r>
        <w:rPr>
          <w:rFonts w:hint="eastAsia" w:ascii="仿宋_GB2312" w:eastAsia="仿宋_GB2312"/>
          <w:sz w:val="30"/>
          <w:szCs w:val="30"/>
        </w:rPr>
        <w:t>202</w:t>
      </w:r>
      <w:r>
        <w:rPr>
          <w:rFonts w:hint="eastAsia" w:ascii="仿宋_GB2312" w:eastAsia="仿宋_GB2312"/>
          <w:sz w:val="30"/>
          <w:szCs w:val="30"/>
          <w:lang w:val="en-US" w:eastAsia="zh-CN"/>
        </w:rPr>
        <w:t>0</w:t>
      </w:r>
      <w:r>
        <w:rPr>
          <w:rFonts w:hint="eastAsia" w:ascii="仿宋_GB2312" w:eastAsia="仿宋_GB2312"/>
          <w:sz w:val="30"/>
          <w:szCs w:val="30"/>
        </w:rPr>
        <w:t>年的主要工作任务是：</w:t>
      </w:r>
      <w:r>
        <w:rPr>
          <w:rFonts w:hint="eastAsia" w:ascii="仿宋_GB2312" w:eastAsia="仿宋_GB2312"/>
          <w:sz w:val="30"/>
          <w:szCs w:val="30"/>
          <w:lang w:val="en-US" w:eastAsia="zh-CN"/>
        </w:rPr>
        <w:t>2020年</w:t>
      </w:r>
      <w:r>
        <w:rPr>
          <w:rFonts w:hint="eastAsia" w:ascii="仿宋_GB2312" w:eastAsia="仿宋_GB2312"/>
          <w:sz w:val="30"/>
          <w:szCs w:val="30"/>
        </w:rPr>
        <w:t>我局将深入贯彻党的十九大精神，主动适应经济发展新常态，开拓创新、务实奋进，全面优质完成商务经济工作目标任务。</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（一）积极推进商贸创新</w:t>
      </w:r>
    </w:p>
    <w:p>
      <w:pPr>
        <w:pStyle w:val="4"/>
        <w:keepNext w:val="0"/>
        <w:keepLines w:val="0"/>
        <w:pageBreakBefore w:val="0"/>
        <w:kinsoku/>
        <w:wordWrap/>
        <w:overflowPunct/>
        <w:topLinePunct w:val="0"/>
        <w:autoSpaceDN/>
        <w:bidi w:val="0"/>
        <w:spacing w:line="240" w:lineRule="auto"/>
        <w:ind w:leftChars="0" w:firstLine="632" w:firstLineChars="200"/>
        <w:textAlignment w:val="auto"/>
        <w:rPr>
          <w:rFonts w:hint="eastAsia" w:ascii="仿宋_GB2312" w:hAnsi="仿宋_GB2312" w:eastAsia="仿宋_GB2312" w:cs="仿宋_GB2312"/>
          <w:b w:val="0"/>
          <w:bCs/>
          <w:snapToGrid w:val="0"/>
          <w:color w:val="auto"/>
          <w:spacing w:val="-2"/>
          <w:kern w:val="0"/>
          <w:sz w:val="32"/>
          <w:szCs w:val="32"/>
          <w:lang w:val="en-US" w:eastAsia="zh-CN" w:bidi="ar-SA"/>
        </w:rPr>
      </w:pPr>
      <w:r>
        <w:rPr>
          <w:rFonts w:hint="eastAsia" w:ascii="仿宋_GB2312" w:hAnsi="仿宋_GB2312" w:eastAsia="仿宋_GB2312" w:cs="仿宋_GB2312"/>
          <w:b w:val="0"/>
          <w:bCs/>
          <w:snapToGrid w:val="0"/>
          <w:color w:val="auto"/>
          <w:spacing w:val="-2"/>
          <w:kern w:val="0"/>
          <w:sz w:val="32"/>
          <w:szCs w:val="32"/>
          <w:lang w:val="en-US" w:eastAsia="zh-CN" w:bidi="ar-SA"/>
        </w:rPr>
        <w:t>抢抓5G机遇，按照“一基地，多园区”的远景规划与架构，指导运营企业和产业协会，大力扶持市场主体打造直播电商孵化载体，同时吸引国内优质直播电商企业进驻基地园区，努力实现全市直播电商产业龙头县区。联合电商协会和流量经济产业协会，鼓励传统商贸企业进行全产业链各环节电商化和流量化，延伸产销基本面，拓宽商贸流通渠道，紧咬时代红利，快速完成产业优化与升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（二）提升农贸市场管理</w:t>
      </w:r>
    </w:p>
    <w:p>
      <w:pPr>
        <w:pStyle w:val="4"/>
        <w:keepNext w:val="0"/>
        <w:keepLines w:val="0"/>
        <w:pageBreakBefore w:val="0"/>
        <w:kinsoku/>
        <w:wordWrap/>
        <w:overflowPunct/>
        <w:topLinePunct w:val="0"/>
        <w:autoSpaceDN/>
        <w:bidi w:val="0"/>
        <w:spacing w:line="240" w:lineRule="auto"/>
        <w:ind w:leftChars="0" w:firstLine="948" w:firstLineChars="300"/>
        <w:textAlignment w:val="auto"/>
        <w:rPr>
          <w:rFonts w:hint="eastAsia" w:ascii="仿宋_GB2312" w:hAnsi="仿宋_GB2312" w:eastAsia="仿宋_GB2312" w:cs="仿宋_GB2312"/>
          <w:b w:val="0"/>
          <w:bCs/>
          <w:snapToGrid w:val="0"/>
          <w:color w:val="auto"/>
          <w:spacing w:val="-2"/>
          <w:kern w:val="0"/>
          <w:sz w:val="32"/>
          <w:szCs w:val="32"/>
          <w:lang w:val="zh-CN" w:eastAsia="zh-CN" w:bidi="ar-SA"/>
        </w:rPr>
      </w:pPr>
      <w:r>
        <w:rPr>
          <w:rFonts w:hint="eastAsia" w:ascii="仿宋_GB2312" w:hAnsi="仿宋_GB2312" w:eastAsia="仿宋_GB2312" w:cs="仿宋_GB2312"/>
          <w:b w:val="0"/>
          <w:bCs/>
          <w:snapToGrid w:val="0"/>
          <w:color w:val="auto"/>
          <w:spacing w:val="-2"/>
          <w:kern w:val="0"/>
          <w:sz w:val="32"/>
          <w:szCs w:val="32"/>
          <w:lang w:val="en-US" w:eastAsia="zh-CN" w:bidi="ar-SA"/>
        </w:rPr>
        <w:t>我局将结合实际情况，充分开展农贸市场长效管理调研工作，</w:t>
      </w:r>
      <w:r>
        <w:rPr>
          <w:rFonts w:hint="eastAsia" w:ascii="仿宋_GB2312" w:hAnsi="仿宋_GB2312" w:eastAsia="仿宋_GB2312" w:cs="仿宋_GB2312"/>
          <w:b w:val="0"/>
          <w:bCs/>
          <w:snapToGrid w:val="0"/>
          <w:color w:val="auto"/>
          <w:spacing w:val="-2"/>
          <w:kern w:val="0"/>
          <w:sz w:val="32"/>
          <w:szCs w:val="32"/>
          <w:lang w:val="zh-CN" w:eastAsia="zh-CN" w:bidi="ar-SA"/>
        </w:rPr>
        <w:t>继续加大督查整改力度，持续督导农贸市场环境卫生工作，严防反弹，确保长效，力争在</w:t>
      </w:r>
      <w:r>
        <w:rPr>
          <w:rFonts w:hint="eastAsia" w:ascii="仿宋_GB2312" w:hAnsi="仿宋_GB2312" w:eastAsia="仿宋_GB2312" w:cs="仿宋_GB2312"/>
          <w:b w:val="0"/>
          <w:bCs/>
          <w:snapToGrid w:val="0"/>
          <w:color w:val="auto"/>
          <w:spacing w:val="-2"/>
          <w:kern w:val="0"/>
          <w:sz w:val="32"/>
          <w:szCs w:val="32"/>
          <w:lang w:val="en-US" w:eastAsia="zh-CN" w:bidi="ar-SA"/>
        </w:rPr>
        <w:t>2020年实现突破，取得最好成绩，</w:t>
      </w:r>
      <w:r>
        <w:rPr>
          <w:rFonts w:hint="eastAsia" w:ascii="仿宋_GB2312" w:hAnsi="仿宋_GB2312" w:eastAsia="仿宋_GB2312" w:cs="仿宋_GB2312"/>
          <w:b w:val="0"/>
          <w:bCs/>
          <w:snapToGrid w:val="0"/>
          <w:color w:val="auto"/>
          <w:spacing w:val="-2"/>
          <w:kern w:val="0"/>
          <w:sz w:val="32"/>
          <w:szCs w:val="32"/>
          <w:lang w:val="zh-CN" w:eastAsia="zh-CN" w:bidi="ar-SA"/>
        </w:rPr>
        <w:t>确保农贸市场经得起“看”，经得起“查”，经得起“评”，实现农贸市场新面貌，同时力争3个具有</w:t>
      </w:r>
      <w:r>
        <w:rPr>
          <w:rFonts w:hint="eastAsia" w:ascii="仿宋_GB2312" w:hAnsi="仿宋_GB2312" w:eastAsia="仿宋_GB2312" w:cs="仿宋_GB2312"/>
          <w:b w:val="0"/>
          <w:bCs/>
          <w:snapToGrid w:val="0"/>
          <w:color w:val="auto"/>
          <w:spacing w:val="-2"/>
          <w:kern w:val="0"/>
          <w:sz w:val="32"/>
          <w:szCs w:val="32"/>
          <w:lang w:val="en-US" w:eastAsia="zh-CN" w:bidi="ar-SA"/>
        </w:rPr>
        <w:t>肉菜追溯体系的</w:t>
      </w:r>
      <w:r>
        <w:rPr>
          <w:rFonts w:hint="eastAsia" w:ascii="仿宋_GB2312" w:hAnsi="仿宋_GB2312" w:eastAsia="仿宋_GB2312" w:cs="仿宋_GB2312"/>
          <w:b w:val="0"/>
          <w:bCs/>
          <w:snapToGrid w:val="0"/>
          <w:color w:val="auto"/>
          <w:spacing w:val="-2"/>
          <w:kern w:val="0"/>
          <w:sz w:val="32"/>
          <w:szCs w:val="32"/>
          <w:lang w:val="zh-CN" w:eastAsia="zh-CN" w:bidi="ar-SA"/>
        </w:rPr>
        <w:t>农贸市场进入全国10强。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（三）扛稳粮食安全重任</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right="0" w:rightChars="0" w:firstLine="632" w:firstLineChars="200"/>
        <w:textAlignment w:val="auto"/>
        <w:outlineLvl w:val="9"/>
        <w:rPr>
          <w:rFonts w:hint="eastAsia" w:ascii="仿宋_GB2312" w:hAnsi="仿宋_GB2312" w:eastAsia="仿宋_GB2312" w:cs="仿宋_GB2312"/>
          <w:b w:val="0"/>
          <w:bCs/>
          <w:snapToGrid w:val="0"/>
          <w:color w:val="auto"/>
          <w:spacing w:val="-2"/>
          <w:kern w:val="0"/>
          <w:sz w:val="32"/>
          <w:szCs w:val="32"/>
          <w:lang w:val="en-US" w:eastAsia="zh-CN" w:bidi="ar-SA"/>
        </w:rPr>
      </w:pPr>
      <w:r>
        <w:rPr>
          <w:rFonts w:hint="eastAsia" w:ascii="仿宋_GB2312" w:hAnsi="仿宋_GB2312" w:eastAsia="仿宋_GB2312" w:cs="仿宋_GB2312"/>
          <w:b w:val="0"/>
          <w:bCs/>
          <w:snapToGrid w:val="0"/>
          <w:color w:val="auto"/>
          <w:spacing w:val="-2"/>
          <w:kern w:val="0"/>
          <w:sz w:val="32"/>
          <w:szCs w:val="32"/>
          <w:lang w:val="zh-CN" w:eastAsia="zh-CN" w:bidi="ar-SA"/>
        </w:rPr>
        <w:t>抓好粮食生产，坚决扛稳粮食安全重任，做好</w:t>
      </w:r>
      <w:r>
        <w:rPr>
          <w:rFonts w:hint="eastAsia" w:ascii="仿宋_GB2312" w:hAnsi="仿宋_GB2312" w:eastAsia="仿宋_GB2312" w:cs="仿宋_GB2312"/>
          <w:b w:val="0"/>
          <w:bCs/>
          <w:snapToGrid w:val="0"/>
          <w:color w:val="auto"/>
          <w:spacing w:val="-2"/>
          <w:kern w:val="0"/>
          <w:sz w:val="32"/>
          <w:szCs w:val="32"/>
          <w:lang w:val="en-US" w:eastAsia="zh-CN" w:bidi="ar-SA"/>
        </w:rPr>
        <w:t>2020年末</w:t>
      </w:r>
      <w:r>
        <w:rPr>
          <w:rFonts w:hint="eastAsia" w:ascii="仿宋_GB2312" w:hAnsi="仿宋_GB2312" w:eastAsia="仿宋_GB2312" w:cs="仿宋_GB2312"/>
          <w:b w:val="0"/>
          <w:bCs/>
          <w:snapToGrid w:val="0"/>
          <w:color w:val="auto"/>
          <w:spacing w:val="-2"/>
          <w:kern w:val="0"/>
          <w:sz w:val="32"/>
          <w:szCs w:val="32"/>
          <w:lang w:val="zh-CN" w:eastAsia="zh-CN" w:bidi="ar-SA"/>
        </w:rPr>
        <w:t>粮食安全省长责任制考核准备工作，争取稳住全市前三名。抓紧抓实粮食生产各项工作，确保全年粮食播种面积和产量“双增长”，超额完成省市下达给我区的目标任务，继续</w:t>
      </w:r>
      <w:r>
        <w:rPr>
          <w:rFonts w:hint="eastAsia" w:ascii="仿宋_GB2312" w:hAnsi="仿宋_GB2312" w:eastAsia="仿宋_GB2312" w:cs="仿宋_GB2312"/>
          <w:b w:val="0"/>
          <w:bCs/>
          <w:snapToGrid w:val="0"/>
          <w:color w:val="auto"/>
          <w:spacing w:val="-2"/>
          <w:kern w:val="0"/>
          <w:sz w:val="32"/>
          <w:szCs w:val="32"/>
          <w:lang w:val="en-US" w:eastAsia="zh-CN" w:bidi="ar-SA"/>
        </w:rPr>
        <w:t>做好青山湖区放心</w:t>
      </w:r>
      <w:r>
        <w:rPr>
          <w:rFonts w:hint="default" w:ascii="仿宋_GB2312" w:hAnsi="仿宋_GB2312" w:eastAsia="仿宋_GB2312" w:cs="仿宋_GB2312"/>
          <w:b w:val="0"/>
          <w:bCs/>
          <w:snapToGrid w:val="0"/>
          <w:color w:val="auto"/>
          <w:spacing w:val="-2"/>
          <w:kern w:val="0"/>
          <w:sz w:val="32"/>
          <w:szCs w:val="32"/>
          <w:lang w:val="en-US" w:eastAsia="zh-CN" w:bidi="ar-SA"/>
        </w:rPr>
        <w:t>(</w:t>
      </w:r>
      <w:r>
        <w:rPr>
          <w:rFonts w:hint="eastAsia" w:ascii="仿宋_GB2312" w:hAnsi="仿宋_GB2312" w:eastAsia="仿宋_GB2312" w:cs="仿宋_GB2312"/>
          <w:b w:val="0"/>
          <w:bCs/>
          <w:snapToGrid w:val="0"/>
          <w:color w:val="auto"/>
          <w:spacing w:val="-2"/>
          <w:kern w:val="0"/>
          <w:sz w:val="32"/>
          <w:szCs w:val="32"/>
          <w:lang w:val="en-US" w:eastAsia="zh-CN" w:bidi="ar-SA"/>
        </w:rPr>
        <w:t>应急保障</w:t>
      </w:r>
      <w:r>
        <w:rPr>
          <w:rFonts w:hint="default" w:ascii="仿宋_GB2312" w:hAnsi="仿宋_GB2312" w:eastAsia="仿宋_GB2312" w:cs="仿宋_GB2312"/>
          <w:b w:val="0"/>
          <w:bCs/>
          <w:snapToGrid w:val="0"/>
          <w:color w:val="auto"/>
          <w:spacing w:val="-2"/>
          <w:kern w:val="0"/>
          <w:sz w:val="32"/>
          <w:szCs w:val="32"/>
          <w:lang w:val="en-US" w:eastAsia="zh-CN" w:bidi="ar-SA"/>
        </w:rPr>
        <w:t>)</w:t>
      </w:r>
      <w:r>
        <w:rPr>
          <w:rFonts w:hint="eastAsia" w:ascii="仿宋_GB2312" w:hAnsi="仿宋_GB2312" w:eastAsia="仿宋_GB2312" w:cs="仿宋_GB2312"/>
          <w:b w:val="0"/>
          <w:bCs/>
          <w:snapToGrid w:val="0"/>
          <w:color w:val="auto"/>
          <w:spacing w:val="-2"/>
          <w:kern w:val="0"/>
          <w:sz w:val="32"/>
          <w:szCs w:val="32"/>
          <w:lang w:val="en-US" w:eastAsia="zh-CN" w:bidi="ar-SA"/>
        </w:rPr>
        <w:t>粮油配送民生工程。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（四）推动外贸稳步增长</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right="0" w:rightChars="0" w:firstLine="632" w:firstLineChars="200"/>
        <w:textAlignment w:val="auto"/>
        <w:outlineLvl w:val="9"/>
        <w:rPr>
          <w:rFonts w:hint="eastAsia" w:ascii="仿宋_GB2312" w:hAnsi="仿宋_GB2312" w:eastAsia="仿宋_GB2312" w:cs="仿宋_GB2312"/>
          <w:b w:val="0"/>
          <w:bCs/>
          <w:snapToGrid w:val="0"/>
          <w:color w:val="auto"/>
          <w:spacing w:val="-2"/>
          <w:kern w:val="0"/>
          <w:sz w:val="32"/>
          <w:szCs w:val="32"/>
          <w:lang w:val="en-US" w:eastAsia="zh-CN" w:bidi="ar-SA"/>
        </w:rPr>
      </w:pPr>
      <w:r>
        <w:rPr>
          <w:rFonts w:hint="eastAsia" w:ascii="仿宋_GB2312" w:hAnsi="仿宋_GB2312" w:eastAsia="仿宋_GB2312" w:cs="仿宋_GB2312"/>
          <w:b w:val="0"/>
          <w:bCs/>
          <w:snapToGrid w:val="0"/>
          <w:color w:val="auto"/>
          <w:spacing w:val="-2"/>
          <w:kern w:val="0"/>
          <w:sz w:val="32"/>
          <w:szCs w:val="32"/>
          <w:lang w:val="en-US" w:eastAsia="zh-CN" w:bidi="ar-SA"/>
        </w:rPr>
        <w:t>下一步我局以展开精准的服务为先导，制定重点外贸龙头企业调研总体方案，同时，建立龙头企业清单、出口下滑企业等清单，对全区500万美元以上的重点骨干企业走访调研。实时掌握企业经营情况，找准数据下降、出口异常的原因，制定相应帮扶措施，促进辖区外贸出口企业做大做强、高效发展。</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321" w:firstLineChars="100"/>
        <w:textAlignment w:val="auto"/>
        <w:outlineLvl w:val="9"/>
        <w:rPr>
          <w:rFonts w:hint="eastAsia" w:ascii="楷体_GB2312" w:hAnsi="Calibri" w:eastAsia="楷体_GB2312" w:cs="宋体"/>
          <w:b/>
          <w:kern w:val="0"/>
          <w:sz w:val="32"/>
          <w:szCs w:val="32"/>
          <w:lang w:eastAsia="zh-CN"/>
        </w:rPr>
      </w:pPr>
      <w:r>
        <w:rPr>
          <w:rFonts w:hint="eastAsia" w:ascii="楷体_GB2312" w:hAnsi="Calibri" w:eastAsia="楷体_GB2312" w:cs="宋体"/>
          <w:b/>
          <w:kern w:val="0"/>
          <w:sz w:val="32"/>
          <w:szCs w:val="32"/>
          <w:lang w:eastAsia="zh-CN"/>
        </w:rPr>
        <w:t>三</w:t>
      </w:r>
      <w:r>
        <w:rPr>
          <w:rFonts w:ascii="楷体_GB2312" w:hAnsi="Calibri" w:eastAsia="楷体_GB2312" w:cs="宋体"/>
          <w:b/>
          <w:kern w:val="0"/>
          <w:sz w:val="32"/>
          <w:szCs w:val="32"/>
        </w:rPr>
        <w:t>、部门</w:t>
      </w:r>
      <w:r>
        <w:rPr>
          <w:rFonts w:hint="eastAsia" w:ascii="楷体_GB2312" w:hAnsi="Calibri" w:eastAsia="楷体_GB2312" w:cs="宋体"/>
          <w:b/>
          <w:kern w:val="0"/>
          <w:sz w:val="32"/>
          <w:szCs w:val="32"/>
          <w:lang w:eastAsia="zh-CN"/>
        </w:rPr>
        <w:t>基本情况</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eastAsia" w:ascii="仿宋_GB2312" w:eastAsia="仿宋_GB2312"/>
          <w:sz w:val="32"/>
          <w:szCs w:val="32"/>
          <w:lang w:val="en-US" w:eastAsia="zh-CN"/>
        </w:rPr>
        <w:t>区商务局共有基层预算单位2个。其中，局本级1个，所属基层预算单位1个。编制人数12人，其中:行政编制5人、全额补助事业编7人。实有人数48人，其中在职12人，包括行政5人、全额补助事业编7人，退休人员36人。同比2019年，行政编制减少2人，退休人员减少3人。</w:t>
      </w:r>
    </w:p>
    <w:p>
      <w:pPr>
        <w:widowControl/>
        <w:spacing w:line="540" w:lineRule="exact"/>
        <w:ind w:firstLine="640"/>
        <w:jc w:val="left"/>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南昌市青山湖区</w:t>
      </w:r>
      <w:r>
        <w:rPr>
          <w:rFonts w:hint="eastAsia" w:ascii="仿宋_GB2312" w:eastAsia="仿宋_GB2312"/>
          <w:b/>
          <w:sz w:val="32"/>
          <w:szCs w:val="30"/>
          <w:lang w:eastAsia="zh-CN"/>
        </w:rPr>
        <w:t>商务</w:t>
      </w:r>
      <w:r>
        <w:rPr>
          <w:rFonts w:hint="eastAsia" w:ascii="仿宋_GB2312" w:eastAsia="仿宋_GB2312"/>
          <w:b/>
          <w:sz w:val="32"/>
          <w:szCs w:val="30"/>
        </w:rPr>
        <w:t>局</w:t>
      </w:r>
      <w:r>
        <w:rPr>
          <w:rFonts w:hint="eastAsia" w:ascii="仿宋_GB2312" w:eastAsia="仿宋_GB2312"/>
          <w:b/>
          <w:sz w:val="32"/>
          <w:szCs w:val="30"/>
          <w:lang w:val="en-US" w:eastAsia="zh-CN"/>
        </w:rPr>
        <w:t>2020</w:t>
      </w:r>
      <w:r>
        <w:rPr>
          <w:rFonts w:hint="eastAsia" w:ascii="仿宋_GB2312" w:eastAsia="仿宋_GB2312"/>
          <w:b/>
          <w:sz w:val="32"/>
          <w:szCs w:val="30"/>
        </w:rPr>
        <w:t>年部门预算情况说明</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643" w:firstLineChars="200"/>
        <w:textAlignment w:val="auto"/>
        <w:outlineLvl w:val="9"/>
        <w:rPr>
          <w:rFonts w:hint="eastAsia" w:ascii="楷体_GB2312" w:hAnsi="Calibri" w:eastAsia="楷体_GB2312" w:cs="宋体"/>
          <w:b/>
          <w:kern w:val="0"/>
          <w:sz w:val="32"/>
          <w:szCs w:val="32"/>
          <w:lang w:eastAsia="zh-CN"/>
        </w:rPr>
      </w:pPr>
      <w:r>
        <w:rPr>
          <w:rFonts w:hint="eastAsia" w:ascii="楷体_GB2312" w:hAnsi="Calibri" w:eastAsia="楷体_GB2312" w:cs="宋体"/>
          <w:b/>
          <w:kern w:val="0"/>
          <w:sz w:val="32"/>
          <w:szCs w:val="32"/>
          <w:lang w:eastAsia="zh-CN"/>
        </w:rPr>
        <w:t>一、部门预算收支情况说明</w:t>
      </w:r>
    </w:p>
    <w:p>
      <w:pPr>
        <w:pStyle w:val="7"/>
        <w:ind w:left="0" w:leftChars="0" w:firstLine="964" w:firstLineChars="300"/>
        <w:rPr>
          <w:rFonts w:hint="eastAsia" w:ascii="楷体_GB2312" w:hAnsi="Calibri" w:eastAsia="楷体_GB2312" w:cs="宋体"/>
          <w:b/>
          <w:kern w:val="0"/>
          <w:sz w:val="32"/>
          <w:szCs w:val="32"/>
          <w:lang w:val="en-US" w:eastAsia="zh-CN" w:bidi="ar-SA"/>
        </w:rPr>
      </w:pPr>
      <w:r>
        <w:rPr>
          <w:rFonts w:hint="eastAsia" w:ascii="楷体_GB2312" w:hAnsi="Calibri" w:eastAsia="楷体_GB2312" w:cs="宋体"/>
          <w:b/>
          <w:kern w:val="0"/>
          <w:sz w:val="32"/>
          <w:szCs w:val="32"/>
          <w:lang w:val="en-US" w:eastAsia="zh-CN" w:bidi="ar-SA"/>
        </w:rPr>
        <w:t>(一)预算收入情况</w:t>
      </w:r>
    </w:p>
    <w:p>
      <w:pPr>
        <w:numPr>
          <w:ilvl w:val="0"/>
          <w:numId w:val="0"/>
        </w:numPr>
        <w:spacing w:line="540" w:lineRule="exact"/>
        <w:ind w:firstLine="640" w:firstLineChars="200"/>
        <w:rPr>
          <w:rFonts w:hint="default"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2020年区商务局收入预算总额为911.57万元，其中：财政拨款911.57万元，占收入预算总额的100%。</w:t>
      </w:r>
      <w:r>
        <w:rPr>
          <w:rFonts w:hint="eastAsia" w:ascii="仿宋_GB2312" w:eastAsia="仿宋_GB2312"/>
          <w:sz w:val="32"/>
          <w:szCs w:val="32"/>
          <w:lang w:val="en-US" w:eastAsia="zh-CN"/>
        </w:rPr>
        <w:t>同比2019年，</w:t>
      </w:r>
      <w:r>
        <w:rPr>
          <w:rFonts w:hint="eastAsia" w:ascii="仿宋_GB2312" w:hAnsi="仿宋" w:eastAsia="仿宋_GB2312"/>
          <w:b w:val="0"/>
          <w:bCs/>
          <w:sz w:val="32"/>
          <w:szCs w:val="32"/>
          <w:lang w:val="en-US" w:eastAsia="zh-CN"/>
        </w:rPr>
        <w:t>收入预算总额</w:t>
      </w:r>
      <w:r>
        <w:rPr>
          <w:rFonts w:hint="eastAsia" w:ascii="仿宋_GB2312" w:eastAsia="仿宋_GB2312"/>
          <w:sz w:val="32"/>
          <w:szCs w:val="32"/>
          <w:lang w:val="en-US" w:eastAsia="zh-CN"/>
        </w:rPr>
        <w:t>减少9.73万元。</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楷体_GB2312" w:hAnsi="Calibri" w:eastAsia="楷体_GB2312" w:cs="宋体"/>
          <w:b/>
          <w:kern w:val="0"/>
          <w:sz w:val="32"/>
          <w:szCs w:val="32"/>
          <w:lang w:val="en-US" w:eastAsia="zh-CN" w:bidi="ar-SA"/>
        </w:rPr>
      </w:pPr>
      <w:r>
        <w:rPr>
          <w:rFonts w:hint="eastAsia" w:ascii="楷体_GB2312" w:hAnsi="Calibri" w:eastAsia="楷体_GB2312" w:cs="宋体"/>
          <w:b/>
          <w:kern w:val="0"/>
          <w:sz w:val="32"/>
          <w:szCs w:val="32"/>
          <w:lang w:val="en-US" w:eastAsia="zh-CN" w:bidi="ar-SA"/>
        </w:rPr>
        <w:t>（二）预算支出情况</w:t>
      </w:r>
    </w:p>
    <w:p>
      <w:pPr>
        <w:numPr>
          <w:ilvl w:val="0"/>
          <w:numId w:val="0"/>
        </w:numPr>
        <w:spacing w:line="540" w:lineRule="exact"/>
        <w:ind w:firstLine="640" w:firstLineChars="200"/>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支出预算。2020年区商务局支出预算总额为911.57万元。</w:t>
      </w:r>
    </w:p>
    <w:p>
      <w:pPr>
        <w:numPr>
          <w:ilvl w:val="0"/>
          <w:numId w:val="0"/>
        </w:numPr>
        <w:spacing w:line="540" w:lineRule="exact"/>
        <w:ind w:firstLine="640" w:firstLineChars="200"/>
        <w:rPr>
          <w:rFonts w:hint="default"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其中按支出项目类别划分：基本支出188.25万元，占支出预算总额的20.65%，包括工资福利支出157.53万元、商品和服务支出27.37万元、对个人和家庭的补助3.35万元；项目支出723.32万元，包括商品和服务支出723.32万元，占支出预算总额的79.35%。同比2019年，由于2020年专项及项目经费中的基本支出和项目支出，均填列在项目支出预算表中，因此占比产生变化。</w:t>
      </w:r>
    </w:p>
    <w:p>
      <w:pPr>
        <w:numPr>
          <w:ilvl w:val="0"/>
          <w:numId w:val="0"/>
        </w:numPr>
        <w:spacing w:line="540" w:lineRule="exact"/>
        <w:ind w:firstLine="640" w:firstLineChars="200"/>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按支出功能科目划分：行政运行111.01万元，占支出预算总额的12.18%；其他商贸事务支出723.32万元，占支出预算总额的79.35%；事业运行77.24万元，占支出预算总额的8.47%。</w:t>
      </w:r>
    </w:p>
    <w:p>
      <w:pPr>
        <w:numPr>
          <w:ilvl w:val="0"/>
          <w:numId w:val="0"/>
        </w:numPr>
        <w:spacing w:line="540" w:lineRule="exact"/>
        <w:ind w:firstLine="640" w:firstLineChars="200"/>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按经济分类科目划分：工资福利支出157.53万元，占支出预算总额的17.28%；商品和服务支出750.69万元，占支出预算总额的82.35%；对个人和家庭的补助3.35万元，占支出预算总额的0.37%</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（三）财政拨款支出情况</w:t>
      </w:r>
    </w:p>
    <w:p>
      <w:pPr>
        <w:numPr>
          <w:ilvl w:val="0"/>
          <w:numId w:val="0"/>
        </w:numPr>
        <w:spacing w:line="540" w:lineRule="exact"/>
        <w:ind w:firstLine="640" w:firstLineChars="2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2020年区商务局财政拨款支出预算911.57万元，较上年减少9.73万元，减少1.06%。减少原因主要是：正常开支增减</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（四）政府性基金情况</w:t>
      </w:r>
    </w:p>
    <w:p>
      <w:pPr>
        <w:numPr>
          <w:ilvl w:val="0"/>
          <w:numId w:val="0"/>
        </w:numPr>
        <w:spacing w:line="540" w:lineRule="exact"/>
        <w:ind w:firstLine="960" w:firstLineChars="3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没有使用政府性基金预算拨款安排的支出。</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（五）机关运行经费等重要情况说明</w:t>
      </w:r>
    </w:p>
    <w:p>
      <w:pPr>
        <w:numPr>
          <w:ilvl w:val="0"/>
          <w:numId w:val="0"/>
        </w:numPr>
        <w:spacing w:line="540" w:lineRule="exact"/>
        <w:ind w:firstLine="320" w:firstLineChars="1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2020年本部门机关运行经费为750.69万元，较上年减少20.55万元，下降2.66%。减少的原因是：厉行节约</w:t>
      </w:r>
    </w:p>
    <w:p>
      <w:pPr>
        <w:pStyle w:val="2"/>
        <w:ind w:firstLine="600" w:firstLineChars="200"/>
        <w:rPr>
          <w:rFonts w:hint="eastAsia"/>
          <w:lang w:val="en-US" w:eastAsia="zh-CN"/>
        </w:rPr>
      </w:pPr>
      <w:r>
        <w:rPr>
          <w:rFonts w:hint="eastAsia" w:ascii="仿宋_GB2312" w:eastAsia="仿宋_GB2312"/>
          <w:sz w:val="30"/>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（六）政府采购情况说明</w:t>
      </w:r>
    </w:p>
    <w:p>
      <w:pPr>
        <w:numPr>
          <w:ilvl w:val="0"/>
          <w:numId w:val="0"/>
        </w:numPr>
        <w:spacing w:line="540" w:lineRule="exact"/>
        <w:ind w:firstLine="320" w:firstLineChars="1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2020年商务局各单位政府采购预算共安排9.75万元。其中，货物预算9.75万元。</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（七）国有资产占有使用情况</w:t>
      </w:r>
    </w:p>
    <w:p>
      <w:pPr>
        <w:numPr>
          <w:ilvl w:val="0"/>
          <w:numId w:val="0"/>
        </w:numPr>
        <w:spacing w:line="540" w:lineRule="exact"/>
        <w:ind w:firstLine="320" w:firstLineChars="1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截至2019年12月31日，部门共有车辆0辆，其中，一般公务用车0辆，执法执勤用车0辆。</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2020年部门预算安排购置车辆0辆，安排购置单位价值200万元以上大型设备具体为：0元</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 xml:space="preserve">  （八）绩效目标设置情况</w:t>
      </w:r>
    </w:p>
    <w:p>
      <w:pPr>
        <w:numPr>
          <w:ilvl w:val="0"/>
          <w:numId w:val="0"/>
        </w:numPr>
        <w:spacing w:line="540" w:lineRule="exact"/>
        <w:ind w:firstLine="320" w:firstLineChars="1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2020年实行绩效目标管理的项目2个（部门预算中100万元以上的，需要进行绩效评审的项目），涉及资金542万元；纳入财政绩效目标批复的项目2个，涉及资金542万元。</w:t>
      </w:r>
    </w:p>
    <w:p>
      <w:pPr>
        <w:pStyle w:val="2"/>
        <w:rPr>
          <w:rFonts w:hint="eastAsia"/>
          <w:lang w:val="en-US" w:eastAsia="zh-CN"/>
        </w:rPr>
      </w:pPr>
      <w:r>
        <w:rPr>
          <w:rFonts w:hint="eastAsia" w:ascii="仿宋_GB2312" w:eastAsia="仿宋_GB2312"/>
          <w:sz w:val="30"/>
          <w:szCs w:val="30"/>
          <w:highlight w:val="none"/>
        </w:rPr>
        <w:t xml:space="preserve"> </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 xml:space="preserve"> 二、“三公”经费预算情况说明</w:t>
      </w:r>
    </w:p>
    <w:p>
      <w:pPr>
        <w:numPr>
          <w:ilvl w:val="0"/>
          <w:numId w:val="0"/>
        </w:numPr>
        <w:spacing w:line="540" w:lineRule="exact"/>
        <w:ind w:firstLine="320" w:firstLineChars="100"/>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2020年本部门“三公”经费年初预算安排2.05万元。其中:</w:t>
      </w:r>
    </w:p>
    <w:p>
      <w:pPr>
        <w:numPr>
          <w:ilvl w:val="0"/>
          <w:numId w:val="2"/>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因公出国（境）经费0万元，比上年减少0万元。</w:t>
      </w:r>
    </w:p>
    <w:p>
      <w:pPr>
        <w:numPr>
          <w:ilvl w:val="0"/>
          <w:numId w:val="2"/>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公务接待费2.05万元，比上年减少0.66万元。减少的原因主要是厉行节约。</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3.公务用车购置及运行维护费0万元，比上年增加/减少0万元。</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第三部分  南昌市青山湖区商务局2020年部门预算表</w:t>
      </w:r>
    </w:p>
    <w:p>
      <w:pPr>
        <w:numPr>
          <w:ilvl w:val="0"/>
          <w:numId w:val="0"/>
        </w:numPr>
        <w:spacing w:line="540" w:lineRule="exact"/>
        <w:rPr>
          <w:rFonts w:hint="eastAsia" w:ascii="仿宋_GB2312" w:hAnsi="仿宋" w:eastAsia="仿宋_GB2312"/>
          <w:b w:val="0"/>
          <w:bCs/>
          <w:sz w:val="32"/>
          <w:szCs w:val="32"/>
          <w:highlight w:val="none"/>
          <w:lang w:val="en-US" w:eastAsia="zh-CN"/>
        </w:rPr>
      </w:pPr>
      <w:r>
        <w:rPr>
          <w:rFonts w:hint="eastAsia" w:ascii="仿宋_GB2312" w:hAnsi="仿宋" w:eastAsia="仿宋_GB2312"/>
          <w:b w:val="0"/>
          <w:bCs/>
          <w:sz w:val="32"/>
          <w:szCs w:val="32"/>
          <w:highlight w:val="none"/>
          <w:lang w:val="en-US" w:eastAsia="zh-CN"/>
        </w:rPr>
        <w:t>十张表（详见附表，若有空表或表中数据为0，则说明没有相关预算安排。）</w:t>
      </w:r>
    </w:p>
    <w:p>
      <w:pPr>
        <w:pStyle w:val="2"/>
        <w:rPr>
          <w:rFonts w:hint="eastAsia" w:ascii="仿宋_GB2312" w:hAnsi="仿宋" w:eastAsia="仿宋_GB2312"/>
          <w:b w:val="0"/>
          <w:bCs/>
          <w:sz w:val="32"/>
          <w:szCs w:val="32"/>
          <w:highlight w:val="none"/>
          <w:lang w:val="en-US" w:eastAsia="zh-CN"/>
        </w:rPr>
      </w:pPr>
    </w:p>
    <w:p>
      <w:pPr>
        <w:pStyle w:val="3"/>
        <w:rPr>
          <w:rFonts w:hint="eastAsia" w:ascii="仿宋_GB2312" w:hAnsi="仿宋" w:eastAsia="仿宋_GB2312"/>
          <w:b w:val="0"/>
          <w:bCs/>
          <w:sz w:val="32"/>
          <w:szCs w:val="32"/>
          <w:highlight w:val="none"/>
          <w:lang w:val="en-US" w:eastAsia="zh-CN"/>
        </w:rPr>
      </w:pPr>
    </w:p>
    <w:p>
      <w:pPr>
        <w:rPr>
          <w:rFonts w:hint="eastAsia" w:ascii="仿宋_GB2312" w:hAnsi="仿宋" w:eastAsia="仿宋_GB2312"/>
          <w:b w:val="0"/>
          <w:bCs/>
          <w:sz w:val="32"/>
          <w:szCs w:val="32"/>
          <w:highlight w:val="none"/>
          <w:lang w:val="en-US" w:eastAsia="zh-CN"/>
        </w:rPr>
      </w:pPr>
    </w:p>
    <w:p>
      <w:pPr>
        <w:pStyle w:val="2"/>
        <w:rPr>
          <w:rFonts w:hint="eastAsia" w:ascii="仿宋_GB2312" w:hAnsi="仿宋" w:eastAsia="仿宋_GB2312"/>
          <w:b w:val="0"/>
          <w:bCs/>
          <w:sz w:val="32"/>
          <w:szCs w:val="32"/>
          <w:highlight w:val="none"/>
          <w:lang w:val="en-US" w:eastAsia="zh-CN"/>
        </w:rPr>
      </w:pPr>
    </w:p>
    <w:p>
      <w:pPr>
        <w:pStyle w:val="3"/>
        <w:rPr>
          <w:rFonts w:hint="eastAsia" w:ascii="仿宋_GB2312" w:hAnsi="仿宋" w:eastAsia="仿宋_GB2312"/>
          <w:b w:val="0"/>
          <w:bCs/>
          <w:sz w:val="32"/>
          <w:szCs w:val="32"/>
          <w:highlight w:val="none"/>
          <w:lang w:val="en-US" w:eastAsia="zh-CN"/>
        </w:rPr>
      </w:pPr>
    </w:p>
    <w:p>
      <w:pPr>
        <w:rPr>
          <w:rFonts w:hint="eastAsia" w:ascii="仿宋_GB2312" w:hAnsi="仿宋" w:eastAsia="仿宋_GB2312"/>
          <w:b w:val="0"/>
          <w:bCs/>
          <w:sz w:val="32"/>
          <w:szCs w:val="32"/>
          <w:highlight w:val="none"/>
          <w:lang w:val="en-US" w:eastAsia="zh-CN"/>
        </w:rPr>
      </w:pPr>
    </w:p>
    <w:p>
      <w:pPr>
        <w:pStyle w:val="2"/>
        <w:rPr>
          <w:rFonts w:hint="eastAsia" w:ascii="仿宋_GB2312" w:hAnsi="仿宋" w:eastAsia="仿宋_GB2312"/>
          <w:b w:val="0"/>
          <w:bCs/>
          <w:sz w:val="32"/>
          <w:szCs w:val="32"/>
          <w:highlight w:val="none"/>
          <w:lang w:val="en-US" w:eastAsia="zh-CN"/>
        </w:rPr>
      </w:pPr>
    </w:p>
    <w:p>
      <w:pPr>
        <w:pStyle w:val="3"/>
        <w:rPr>
          <w:rFonts w:hint="eastAsia" w:ascii="仿宋_GB2312" w:hAnsi="仿宋" w:eastAsia="仿宋_GB2312"/>
          <w:b w:val="0"/>
          <w:bCs/>
          <w:sz w:val="32"/>
          <w:szCs w:val="32"/>
          <w:highlight w:val="none"/>
          <w:lang w:val="en-US" w:eastAsia="zh-CN"/>
        </w:rPr>
      </w:pPr>
    </w:p>
    <w:p>
      <w:pPr>
        <w:rPr>
          <w:rFonts w:hint="eastAsia" w:ascii="仿宋_GB2312" w:hAnsi="仿宋" w:eastAsia="仿宋_GB2312"/>
          <w:b w:val="0"/>
          <w:bCs/>
          <w:sz w:val="32"/>
          <w:szCs w:val="32"/>
          <w:highlight w:val="none"/>
          <w:lang w:val="en-US" w:eastAsia="zh-CN"/>
        </w:rPr>
      </w:pPr>
    </w:p>
    <w:p>
      <w:pPr>
        <w:pStyle w:val="2"/>
        <w:rPr>
          <w:rFonts w:hint="eastAsia" w:ascii="仿宋_GB2312" w:hAnsi="仿宋" w:eastAsia="仿宋_GB2312"/>
          <w:b w:val="0"/>
          <w:bCs/>
          <w:sz w:val="32"/>
          <w:szCs w:val="32"/>
          <w:highlight w:val="none"/>
          <w:lang w:val="en-US" w:eastAsia="zh-CN"/>
        </w:rPr>
      </w:pPr>
    </w:p>
    <w:p>
      <w:pPr>
        <w:pStyle w:val="3"/>
        <w:rPr>
          <w:rFonts w:hint="eastAsia"/>
          <w:lang w:val="en-US" w:eastAsia="zh-CN"/>
        </w:rPr>
      </w:pPr>
    </w:p>
    <w:p>
      <w:pPr>
        <w:widowControl/>
        <w:spacing w:line="540" w:lineRule="exact"/>
        <w:ind w:firstLine="643" w:firstLineChars="200"/>
        <w:jc w:val="left"/>
        <w:rPr>
          <w:rFonts w:hint="eastAsia" w:ascii="仿宋_GB2312" w:eastAsia="仿宋_GB2312"/>
          <w:b/>
          <w:sz w:val="32"/>
          <w:szCs w:val="30"/>
        </w:rPr>
      </w:pPr>
      <w:r>
        <w:rPr>
          <w:rFonts w:hint="eastAsia" w:ascii="仿宋_GB2312" w:eastAsia="仿宋_GB2312"/>
          <w:b/>
          <w:sz w:val="32"/>
          <w:szCs w:val="30"/>
        </w:rPr>
        <w:t>第三部分  南昌市青山湖区</w:t>
      </w:r>
      <w:r>
        <w:rPr>
          <w:rFonts w:hint="eastAsia" w:ascii="仿宋_GB2312" w:eastAsia="仿宋_GB2312"/>
          <w:b/>
          <w:sz w:val="32"/>
          <w:szCs w:val="30"/>
          <w:lang w:eastAsia="zh-CN"/>
        </w:rPr>
        <w:t>商务</w:t>
      </w:r>
      <w:r>
        <w:rPr>
          <w:rFonts w:hint="eastAsia" w:ascii="仿宋_GB2312" w:eastAsia="仿宋_GB2312"/>
          <w:b/>
          <w:sz w:val="32"/>
          <w:szCs w:val="30"/>
        </w:rPr>
        <w:t>局</w:t>
      </w:r>
      <w:r>
        <w:rPr>
          <w:rFonts w:hint="eastAsia" w:ascii="仿宋_GB2312" w:eastAsia="仿宋_GB2312"/>
          <w:b/>
          <w:sz w:val="32"/>
          <w:szCs w:val="30"/>
          <w:lang w:val="en-US" w:eastAsia="zh-CN"/>
        </w:rPr>
        <w:t>2020</w:t>
      </w:r>
      <w:r>
        <w:rPr>
          <w:rFonts w:hint="eastAsia" w:ascii="仿宋_GB2312" w:eastAsia="仿宋_GB2312"/>
          <w:b/>
          <w:sz w:val="32"/>
          <w:szCs w:val="30"/>
        </w:rPr>
        <w:t>年部门预算表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一、《收支预算总表》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二、《部门收入总表》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三、《部门支出总表》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四、《财政拨款收支总表》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五、《一般公共预算支出表》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六、《一般公共预算基本支出表》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七、《一般公共预算“三公”经费支出表》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九、《项目绩效目标表》</w:t>
      </w:r>
    </w:p>
    <w:p>
      <w:pPr>
        <w:spacing w:line="540" w:lineRule="exact"/>
        <w:ind w:firstLine="643" w:firstLineChars="200"/>
        <w:rPr>
          <w:rFonts w:hint="eastAsia" w:ascii="黑体" w:eastAsia="黑体"/>
          <w:b/>
          <w:sz w:val="32"/>
          <w:szCs w:val="32"/>
        </w:rPr>
      </w:pPr>
      <w:r>
        <w:rPr>
          <w:rFonts w:hint="eastAsia" w:ascii="黑体" w:eastAsia="黑体"/>
          <w:b/>
          <w:sz w:val="32"/>
          <w:szCs w:val="32"/>
        </w:rPr>
        <w:t>第四部分  名词解释</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一、收入科目</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（一）财政拨款：指省级财政当年拨付的资金。</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（二）事业收入：指事业单位开展专业业务活动及辅助活动取得的收入。</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（三）事业单位经营收入：指事业单位在专业业务活动及辅助活动之外开展非独立核算经营活动取得的收入。</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（四）其他收入：指除财政拨款、事业收入、事业单位经营收入等以外的各项收入。</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（六）上级补助收入：反映事业单位从主管部门和上级单位取得的非财政补助收入。</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（七）用事业基金弥补收支差额：填列事业单位用事业基金弥补2020年收支差额的数额。</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（八）上年结转和结余：填列2019年全部结转和结余的资金数，包括当年结转结余资金和历年滚存结转结余资金</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rPr>
        <w:t>二、支出科目</w:t>
      </w:r>
    </w:p>
    <w:p>
      <w:pPr>
        <w:widowControl/>
        <w:spacing w:line="540" w:lineRule="exact"/>
        <w:ind w:firstLine="640"/>
        <w:jc w:val="left"/>
        <w:rPr>
          <w:rFonts w:ascii="仿宋_GB2312" w:eastAsia="仿宋_GB2312"/>
          <w:sz w:val="30"/>
          <w:szCs w:val="30"/>
        </w:rPr>
      </w:pPr>
      <w:r>
        <w:rPr>
          <w:rFonts w:hint="eastAsia" w:ascii="仿宋_GB2312" w:eastAsia="仿宋_GB2312"/>
          <w:sz w:val="30"/>
          <w:szCs w:val="30"/>
        </w:rPr>
        <w:t>对部门预算中涉及的支出功能分类科目（明细到项级），结合部门实际，参照《2020年政府收支分类科目》的规范说明进行解释。</w:t>
      </w:r>
    </w:p>
    <w:p>
      <w:pPr>
        <w:spacing w:line="540" w:lineRule="exact"/>
        <w:ind w:firstLine="750" w:firstLineChars="250"/>
        <w:rPr>
          <w:rFonts w:hint="eastAsia" w:ascii="仿宋_GB2312" w:eastAsia="仿宋_GB2312"/>
          <w:sz w:val="30"/>
          <w:szCs w:val="30"/>
        </w:rPr>
      </w:pPr>
      <w:r>
        <w:rPr>
          <w:rFonts w:hint="eastAsia" w:ascii="仿宋_GB2312" w:eastAsia="仿宋_GB2312"/>
          <w:sz w:val="30"/>
          <w:szCs w:val="30"/>
        </w:rPr>
        <w:t>样式：</w:t>
      </w:r>
    </w:p>
    <w:p>
      <w:pPr>
        <w:spacing w:line="540" w:lineRule="exact"/>
        <w:ind w:firstLine="750" w:firstLineChars="250"/>
        <w:rPr>
          <w:rFonts w:hint="eastAsia" w:ascii="仿宋_GB2312" w:eastAsia="仿宋_GB2312"/>
          <w:sz w:val="30"/>
          <w:szCs w:val="30"/>
        </w:rPr>
      </w:pPr>
      <w:r>
        <w:rPr>
          <w:rFonts w:hint="eastAsia" w:ascii="仿宋_GB2312" w:eastAsia="仿宋_GB2312"/>
          <w:sz w:val="30"/>
          <w:szCs w:val="30"/>
        </w:rPr>
        <w:t>1、行政运行：反映行政单位（包括实行公务员管理的事业单位）的基本支出；</w:t>
      </w:r>
    </w:p>
    <w:p>
      <w:pPr>
        <w:spacing w:line="540" w:lineRule="exact"/>
        <w:ind w:firstLine="750" w:firstLineChars="250"/>
        <w:rPr>
          <w:rFonts w:hint="eastAsia" w:ascii="仿宋_GB2312" w:eastAsia="仿宋_GB2312"/>
          <w:sz w:val="30"/>
          <w:szCs w:val="30"/>
          <w:lang w:val="en-US" w:eastAsia="zh-CN"/>
        </w:rPr>
      </w:pPr>
      <w:r>
        <w:rPr>
          <w:rFonts w:hint="eastAsia" w:ascii="仿宋_GB2312" w:eastAsia="仿宋_GB2312"/>
          <w:sz w:val="30"/>
          <w:szCs w:val="30"/>
        </w:rPr>
        <w:t>2、</w:t>
      </w:r>
      <w:r>
        <w:rPr>
          <w:rFonts w:hint="eastAsia" w:ascii="仿宋_GB2312" w:eastAsia="仿宋_GB2312"/>
          <w:sz w:val="30"/>
          <w:szCs w:val="30"/>
          <w:lang w:eastAsia="zh-CN"/>
        </w:rPr>
        <w:t>其他商务事务支出</w:t>
      </w:r>
      <w:r>
        <w:rPr>
          <w:rFonts w:hint="eastAsia" w:ascii="仿宋_GB2312" w:eastAsia="仿宋_GB2312"/>
          <w:sz w:val="30"/>
          <w:szCs w:val="30"/>
          <w:lang w:val="en-US" w:eastAsia="zh-CN"/>
        </w:rPr>
        <w:t>:反映其他用于商贸事务方面的支出。</w:t>
      </w:r>
    </w:p>
    <w:p>
      <w:pPr>
        <w:spacing w:line="540" w:lineRule="exact"/>
        <w:ind w:firstLine="720"/>
        <w:rPr>
          <w:rFonts w:hint="eastAsia" w:ascii="仿宋_GB2312" w:eastAsia="仿宋_GB2312"/>
          <w:sz w:val="30"/>
          <w:szCs w:val="30"/>
        </w:rPr>
      </w:pPr>
      <w:r>
        <w:rPr>
          <w:rFonts w:hint="eastAsia" w:ascii="仿宋_GB2312" w:eastAsia="仿宋_GB2312"/>
          <w:sz w:val="30"/>
          <w:szCs w:val="30"/>
        </w:rPr>
        <w:t>以上收支科目，各部门应结合本部门实际选取科目进行解释。</w:t>
      </w:r>
    </w:p>
    <w:p>
      <w:pPr>
        <w:pStyle w:val="2"/>
        <w:rPr>
          <w:rFonts w:hint="eastAsia"/>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numPr>
          <w:ilvl w:val="0"/>
          <w:numId w:val="0"/>
        </w:numPr>
        <w:spacing w:line="540" w:lineRule="exact"/>
        <w:rPr>
          <w:rFonts w:hint="eastAsia" w:ascii="仿宋_GB2312" w:hAnsi="仿宋" w:eastAsia="仿宋_GB2312"/>
          <w:b w:val="0"/>
          <w:bCs/>
          <w:sz w:val="32"/>
          <w:szCs w:val="32"/>
          <w:lang w:val="en-US" w:eastAsia="zh-CN"/>
        </w:rPr>
      </w:pPr>
    </w:p>
    <w:p>
      <w:pPr>
        <w:pStyle w:val="2"/>
        <w:rPr>
          <w:rFonts w:hint="eastAsia"/>
          <w:lang w:val="en-US" w:eastAsia="zh-CN"/>
        </w:rPr>
      </w:pPr>
    </w:p>
    <w:p>
      <w:pPr>
        <w:pStyle w:val="2"/>
        <w:rPr>
          <w:rFonts w:hint="eastAsia" w:ascii="仿宋_GB2312" w:hAnsi="仿宋" w:eastAsia="仿宋_GB2312"/>
          <w:b w:val="0"/>
          <w:bCs/>
          <w:sz w:val="32"/>
          <w:szCs w:val="32"/>
          <w:lang w:val="en-US" w:eastAsia="zh-CN"/>
        </w:rPr>
      </w:pPr>
    </w:p>
    <w:p>
      <w:pPr>
        <w:pStyle w:val="3"/>
        <w:rPr>
          <w:rFonts w:hint="eastAsia" w:ascii="仿宋_GB2312" w:hAnsi="仿宋" w:eastAsia="仿宋_GB2312"/>
          <w:b w:val="0"/>
          <w:bCs/>
          <w:sz w:val="32"/>
          <w:szCs w:val="32"/>
          <w:lang w:val="en-US" w:eastAsia="zh-CN"/>
        </w:rPr>
      </w:pPr>
    </w:p>
    <w:p>
      <w:pPr>
        <w:rPr>
          <w:rFonts w:hint="eastAsia" w:ascii="仿宋_GB2312" w:hAnsi="仿宋" w:eastAsia="仿宋_GB2312"/>
          <w:b w:val="0"/>
          <w:bCs/>
          <w:sz w:val="32"/>
          <w:szCs w:val="32"/>
          <w:lang w:val="en-US" w:eastAsia="zh-CN"/>
        </w:rPr>
      </w:pPr>
    </w:p>
    <w:p>
      <w:pPr>
        <w:jc w:val="both"/>
        <w:rPr>
          <w:rFonts w:hint="eastAsia" w:ascii="仿宋_GB2312" w:eastAsia="仿宋_GB2312" w:hAnsiTheme="minorHAnsi" w:cstheme="minorBidi"/>
          <w:kern w:val="2"/>
          <w:sz w:val="28"/>
          <w:szCs w:val="28"/>
          <w:lang w:val="en-US" w:eastAsia="zh-CN" w:bidi="ar-SA"/>
        </w:rPr>
      </w:pPr>
      <w:bookmarkStart w:id="0" w:name="_GoBack"/>
      <w:bookmarkEnd w:id="0"/>
    </w:p>
    <w:p>
      <w:pPr>
        <w:pStyle w:val="7"/>
        <w:ind w:left="420" w:firstLine="0" w:firstLineChars="0"/>
        <w:rPr>
          <w:rFonts w:hint="default" w:ascii="仿宋_GB2312" w:eastAsia="仿宋_GB2312" w:hAnsiTheme="minorHAnsi" w:cstheme="minorBidi"/>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FA09E9"/>
    <w:multiLevelType w:val="multilevel"/>
    <w:tmpl w:val="38FA09E9"/>
    <w:lvl w:ilvl="0" w:tentative="0">
      <w:start w:val="1"/>
      <w:numFmt w:val="japaneseCounting"/>
      <w:lvlText w:val="%1、"/>
      <w:lvlJc w:val="left"/>
      <w:pPr>
        <w:ind w:left="1990" w:hanging="720"/>
      </w:pPr>
      <w:rPr>
        <w:rFonts w:hint="default"/>
      </w:rPr>
    </w:lvl>
    <w:lvl w:ilvl="1" w:tentative="0">
      <w:start w:val="1"/>
      <w:numFmt w:val="lowerLetter"/>
      <w:lvlText w:val="%2)"/>
      <w:lvlJc w:val="left"/>
      <w:pPr>
        <w:ind w:left="2110" w:hanging="420"/>
      </w:pPr>
    </w:lvl>
    <w:lvl w:ilvl="2" w:tentative="0">
      <w:start w:val="1"/>
      <w:numFmt w:val="lowerRoman"/>
      <w:lvlText w:val="%3."/>
      <w:lvlJc w:val="right"/>
      <w:pPr>
        <w:ind w:left="2530" w:hanging="420"/>
      </w:pPr>
    </w:lvl>
    <w:lvl w:ilvl="3" w:tentative="0">
      <w:start w:val="1"/>
      <w:numFmt w:val="decimal"/>
      <w:lvlText w:val="%4."/>
      <w:lvlJc w:val="left"/>
      <w:pPr>
        <w:ind w:left="2950" w:hanging="420"/>
      </w:pPr>
    </w:lvl>
    <w:lvl w:ilvl="4" w:tentative="0">
      <w:start w:val="1"/>
      <w:numFmt w:val="lowerLetter"/>
      <w:lvlText w:val="%5)"/>
      <w:lvlJc w:val="left"/>
      <w:pPr>
        <w:ind w:left="3370" w:hanging="420"/>
      </w:pPr>
    </w:lvl>
    <w:lvl w:ilvl="5" w:tentative="0">
      <w:start w:val="1"/>
      <w:numFmt w:val="lowerRoman"/>
      <w:lvlText w:val="%6."/>
      <w:lvlJc w:val="right"/>
      <w:pPr>
        <w:ind w:left="3790" w:hanging="420"/>
      </w:pPr>
    </w:lvl>
    <w:lvl w:ilvl="6" w:tentative="0">
      <w:start w:val="1"/>
      <w:numFmt w:val="decimal"/>
      <w:lvlText w:val="%7."/>
      <w:lvlJc w:val="left"/>
      <w:pPr>
        <w:ind w:left="4210" w:hanging="420"/>
      </w:pPr>
    </w:lvl>
    <w:lvl w:ilvl="7" w:tentative="0">
      <w:start w:val="1"/>
      <w:numFmt w:val="lowerLetter"/>
      <w:lvlText w:val="%8)"/>
      <w:lvlJc w:val="left"/>
      <w:pPr>
        <w:ind w:left="4630" w:hanging="420"/>
      </w:pPr>
    </w:lvl>
    <w:lvl w:ilvl="8" w:tentative="0">
      <w:start w:val="1"/>
      <w:numFmt w:val="lowerRoman"/>
      <w:lvlText w:val="%9."/>
      <w:lvlJc w:val="right"/>
      <w:pPr>
        <w:ind w:left="5050" w:hanging="420"/>
      </w:pPr>
    </w:lvl>
  </w:abstractNum>
  <w:abstractNum w:abstractNumId="1">
    <w:nsid w:val="5A99D6BC"/>
    <w:multiLevelType w:val="singleLevel"/>
    <w:tmpl w:val="5A99D6B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22638"/>
    <w:rsid w:val="015D2E20"/>
    <w:rsid w:val="021B2848"/>
    <w:rsid w:val="02241D62"/>
    <w:rsid w:val="03272FD1"/>
    <w:rsid w:val="04022638"/>
    <w:rsid w:val="06392A81"/>
    <w:rsid w:val="071F5EF7"/>
    <w:rsid w:val="0B441329"/>
    <w:rsid w:val="0B4729F8"/>
    <w:rsid w:val="0B4F6348"/>
    <w:rsid w:val="0D731AC2"/>
    <w:rsid w:val="0D7B7A1E"/>
    <w:rsid w:val="0E802BC1"/>
    <w:rsid w:val="0F6B4352"/>
    <w:rsid w:val="12F72C22"/>
    <w:rsid w:val="134A721A"/>
    <w:rsid w:val="13B42BAB"/>
    <w:rsid w:val="14943E0A"/>
    <w:rsid w:val="1639116F"/>
    <w:rsid w:val="181F16E9"/>
    <w:rsid w:val="193069D6"/>
    <w:rsid w:val="1A2E391B"/>
    <w:rsid w:val="1C685031"/>
    <w:rsid w:val="1C9B398E"/>
    <w:rsid w:val="1EE92FF7"/>
    <w:rsid w:val="1F0F1432"/>
    <w:rsid w:val="1F5411A4"/>
    <w:rsid w:val="2452399E"/>
    <w:rsid w:val="27AA135F"/>
    <w:rsid w:val="27AF60A6"/>
    <w:rsid w:val="2F0F136E"/>
    <w:rsid w:val="305B304E"/>
    <w:rsid w:val="30AD664C"/>
    <w:rsid w:val="319F6892"/>
    <w:rsid w:val="3251569C"/>
    <w:rsid w:val="32780B5D"/>
    <w:rsid w:val="33544817"/>
    <w:rsid w:val="33965BEE"/>
    <w:rsid w:val="3491347D"/>
    <w:rsid w:val="37D56B4C"/>
    <w:rsid w:val="396B3C6B"/>
    <w:rsid w:val="400D7DAB"/>
    <w:rsid w:val="42075B95"/>
    <w:rsid w:val="42F23A0E"/>
    <w:rsid w:val="45C6030C"/>
    <w:rsid w:val="46CC2DE9"/>
    <w:rsid w:val="473061C0"/>
    <w:rsid w:val="479C0244"/>
    <w:rsid w:val="49384107"/>
    <w:rsid w:val="4B074563"/>
    <w:rsid w:val="4D1B6C72"/>
    <w:rsid w:val="502436E6"/>
    <w:rsid w:val="50AB155C"/>
    <w:rsid w:val="53CD23D4"/>
    <w:rsid w:val="55DA22A4"/>
    <w:rsid w:val="58144F93"/>
    <w:rsid w:val="5E143384"/>
    <w:rsid w:val="5E3477D7"/>
    <w:rsid w:val="5FDA01F6"/>
    <w:rsid w:val="60C32198"/>
    <w:rsid w:val="62033EAD"/>
    <w:rsid w:val="635E4B61"/>
    <w:rsid w:val="64564406"/>
    <w:rsid w:val="65383944"/>
    <w:rsid w:val="6ACA530E"/>
    <w:rsid w:val="6B57494A"/>
    <w:rsid w:val="6CD72B09"/>
    <w:rsid w:val="6D5D2663"/>
    <w:rsid w:val="6DF21512"/>
    <w:rsid w:val="6E4C2261"/>
    <w:rsid w:val="723C5FCB"/>
    <w:rsid w:val="730D631F"/>
    <w:rsid w:val="753C764B"/>
    <w:rsid w:val="754F2D87"/>
    <w:rsid w:val="77787BEF"/>
    <w:rsid w:val="797151CF"/>
    <w:rsid w:val="7BFF50FE"/>
    <w:rsid w:val="7E4E393C"/>
    <w:rsid w:val="7E754E9B"/>
    <w:rsid w:val="7EFD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bCs/>
      <w:sz w:val="44"/>
      <w:szCs w:val="44"/>
    </w:rPr>
  </w:style>
  <w:style w:type="paragraph" w:customStyle="1" w:styleId="3">
    <w:name w:val="引用1"/>
    <w:basedOn w:val="1"/>
    <w:next w:val="1"/>
    <w:qFormat/>
    <w:uiPriority w:val="29"/>
    <w:rPr>
      <w:i/>
      <w:iCs/>
      <w:color w:val="000000"/>
    </w:rPr>
  </w:style>
  <w:style w:type="paragraph" w:styleId="4">
    <w:name w:val="Body Text First Indent"/>
    <w:basedOn w:val="2"/>
    <w:unhideWhenUsed/>
    <w:qFormat/>
    <w:uiPriority w:val="0"/>
    <w:pPr>
      <w:ind w:firstLine="420" w:firstLineChars="100"/>
    </w:pPr>
    <w:rPr>
      <w:rFonts w:ascii="Calibri" w:hAnsi="Calibri"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2019-12-30T00:20:00Z</dcterms:created>
  <dc:creator>哀家要吃肉</dc:creator>
  <cp:lastModifiedBy>Administrator</cp:lastModifiedBy>
  <dcterms:modified xsi:type="dcterms:W3CDTF">2021-05-27T02:48:38Z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0BF069B0B7564B9AB6DABA04D9EAEC6D</vt:lpwstr>
  </property>
</Properties>
</file>