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sz w:val="44"/>
          <w:szCs w:val="36"/>
        </w:rPr>
      </w:pPr>
      <w:r>
        <w:rPr>
          <w:rFonts w:hint="eastAsia" w:ascii="黑体" w:eastAsia="黑体"/>
          <w:sz w:val="44"/>
          <w:szCs w:val="36"/>
          <w:lang w:val="en-US" w:eastAsia="zh-CN"/>
        </w:rPr>
        <w:t>罗家镇人民政府</w:t>
      </w:r>
      <w:r>
        <w:rPr>
          <w:rFonts w:hint="eastAsia" w:ascii="黑体" w:eastAsia="黑体"/>
          <w:sz w:val="44"/>
          <w:szCs w:val="36"/>
        </w:rPr>
        <w:t>2020年度部门决算</w:t>
      </w:r>
    </w:p>
    <w:p>
      <w:pPr>
        <w:spacing w:line="600" w:lineRule="exact"/>
        <w:jc w:val="center"/>
        <w:rPr>
          <w:rFonts w:ascii="黑体" w:eastAsia="黑体"/>
          <w:sz w:val="44"/>
          <w:szCs w:val="36"/>
        </w:rPr>
      </w:pPr>
    </w:p>
    <w:p>
      <w:pPr>
        <w:spacing w:line="600" w:lineRule="exact"/>
        <w:jc w:val="center"/>
        <w:rPr>
          <w:rFonts w:ascii="黑体" w:eastAsia="黑体"/>
          <w:sz w:val="40"/>
          <w:szCs w:val="36"/>
        </w:rPr>
      </w:pPr>
      <w:r>
        <w:rPr>
          <w:rFonts w:hint="eastAsia" w:ascii="黑体" w:eastAsia="黑体"/>
          <w:sz w:val="40"/>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val="en-US" w:eastAsia="zh-CN"/>
        </w:rPr>
        <w:t>罗家镇人民政府</w:t>
      </w:r>
      <w:r>
        <w:rPr>
          <w:rFonts w:hint="eastAsia" w:ascii="黑体" w:hAnsi="黑体" w:eastAsia="黑体"/>
          <w:sz w:val="32"/>
          <w:szCs w:val="32"/>
        </w:rPr>
        <w:t>部门概况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九、国有资本经营预算财政拨款支出决算表</w:t>
      </w:r>
    </w:p>
    <w:p>
      <w:pPr>
        <w:widowControl/>
        <w:spacing w:line="600" w:lineRule="exact"/>
        <w:ind w:firstLine="1280" w:firstLineChars="400"/>
        <w:jc w:val="left"/>
        <w:rPr>
          <w:rFonts w:ascii="仿宋" w:hAnsi="仿宋" w:eastAsia="仿宋" w:cs="宋体"/>
          <w:kern w:val="0"/>
          <w:sz w:val="32"/>
          <w:szCs w:val="32"/>
        </w:rPr>
      </w:pPr>
      <w:r>
        <w:rPr>
          <w:rFonts w:hint="eastAsia" w:ascii="仿宋" w:hAnsi="仿宋" w:eastAsia="仿宋" w:cs="宋体"/>
          <w:kern w:val="0"/>
          <w:sz w:val="32"/>
          <w:szCs w:val="32"/>
        </w:rPr>
        <w:t>十、国有资产占用情况表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p>
    <w:p>
      <w:pPr>
        <w:widowControl/>
        <w:spacing w:line="580" w:lineRule="exact"/>
        <w:jc w:val="center"/>
        <w:rPr>
          <w:rFonts w:ascii="宋体" w:hAnsi="宋体"/>
          <w:b/>
          <w:sz w:val="32"/>
          <w:szCs w:val="30"/>
        </w:rPr>
      </w:pPr>
    </w:p>
    <w:p>
      <w:pPr>
        <w:widowControl/>
        <w:spacing w:line="580" w:lineRule="exact"/>
        <w:jc w:val="center"/>
        <w:rPr>
          <w:rFonts w:ascii="黑体" w:hAnsi="黑体" w:eastAsia="黑体"/>
          <w:sz w:val="32"/>
          <w:szCs w:val="32"/>
        </w:rPr>
      </w:pPr>
      <w:r>
        <w:rPr>
          <w:rFonts w:hint="eastAsia" w:ascii="宋体" w:hAnsi="宋体"/>
          <w:b/>
          <w:sz w:val="32"/>
          <w:szCs w:val="30"/>
        </w:rPr>
        <w:t xml:space="preserve">第一部分  </w:t>
      </w:r>
      <w:r>
        <w:rPr>
          <w:rFonts w:hint="eastAsia" w:ascii="黑体" w:hAnsi="黑体" w:eastAsia="黑体"/>
          <w:sz w:val="32"/>
          <w:szCs w:val="32"/>
          <w:lang w:val="en-US" w:eastAsia="zh-CN"/>
        </w:rPr>
        <w:t>罗家镇人民政府</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（一）基本情况。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1．主要职能。</w:t>
      </w:r>
    </w:p>
    <w:p>
      <w:pPr>
        <w:spacing w:line="540" w:lineRule="exact"/>
        <w:ind w:firstLine="632" w:firstLineChars="200"/>
        <w:rPr>
          <w:rFonts w:hint="eastAsia" w:ascii="仿宋_GB2312" w:eastAsia="仿宋_GB2312"/>
          <w:sz w:val="32"/>
          <w:szCs w:val="30"/>
        </w:rPr>
      </w:pPr>
      <w:r>
        <w:rPr>
          <w:rFonts w:hint="eastAsia" w:ascii="方正仿宋简体" w:hAnsi="仿宋_GB2312" w:eastAsia="方正仿宋简体" w:cs="仿宋_GB2312"/>
          <w:snapToGrid w:val="0"/>
          <w:spacing w:val="-2"/>
          <w:kern w:val="0"/>
          <w:sz w:val="32"/>
          <w:szCs w:val="32"/>
        </w:rPr>
        <w:t xml:space="preserve"> </w:t>
      </w:r>
      <w:r>
        <w:rPr>
          <w:rFonts w:hint="eastAsia" w:ascii="仿宋_GB2312" w:eastAsia="仿宋_GB2312"/>
          <w:sz w:val="32"/>
          <w:szCs w:val="30"/>
        </w:rPr>
        <w:t>罗家镇党委是党在农村的基层组织，是各项工作的领导核心，对本镇经济、政治、文化、社会、生态文明建设实行全面领导，对本镇党的建设全面负责。镇人民政府是基层行政机关，依法履行本区域的服务和管理职责。</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（一）加强党的建设。</w:t>
      </w:r>
      <w:r>
        <w:rPr>
          <w:rFonts w:hint="eastAsia" w:ascii="仿宋_GB2312" w:hAnsi="Times New Roman" w:eastAsia="仿宋_GB2312" w:cs="Times New Roman"/>
          <w:sz w:val="32"/>
          <w:szCs w:val="30"/>
        </w:rPr>
        <w:t>落实基层党建工作责任制，统筹推进农村基层党建工作，实现党的组织和工作全覆盖，提高党建工作的有效性。落实全面从严治党政治责任，落实意识形态工作责任，负责辖区宣传思想和精神文明建设。</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（二）促进经济发展。</w:t>
      </w:r>
      <w:r>
        <w:rPr>
          <w:rFonts w:hint="eastAsia" w:ascii="仿宋_GB2312" w:hAnsi="Times New Roman" w:eastAsia="仿宋_GB2312" w:cs="Times New Roman"/>
          <w:sz w:val="32"/>
          <w:szCs w:val="30"/>
        </w:rPr>
        <w:t xml:space="preserve">编制和执行经济发展规划，因地制宜发展区域特色经济，指导农村经济结构调整和推进经济增长方式转变，营造发展环境，组织农村基础设施建设，落实强农惠农措施，为经济主体提供示范引导和政策服务，引导和促进新型农村专业合作经济组织发展，提高经济发展的质量和水平，努力增加农民的收入。 </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（三）组织公共服务。</w:t>
      </w:r>
      <w:r>
        <w:rPr>
          <w:rFonts w:hint="eastAsia" w:ascii="仿宋_GB2312" w:hAnsi="Times New Roman" w:eastAsia="仿宋_GB2312" w:cs="Times New Roman"/>
          <w:sz w:val="32"/>
          <w:szCs w:val="30"/>
        </w:rPr>
        <w:t>建立和完善镇“三农”服务体系，组织实施与群众生活密切相关的各项公共服务，贯彻落实教育体育、民政、财政、科技、人力资源和社会保障、文化、卫生健康、土地流转、村财代理、统计、退役军人事务管理服务等领域相关政策法规。</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（四）实施综合管理。</w:t>
      </w:r>
      <w:r>
        <w:rPr>
          <w:rFonts w:hint="eastAsia" w:ascii="仿宋_GB2312" w:hAnsi="Times New Roman" w:eastAsia="仿宋_GB2312" w:cs="Times New Roman"/>
          <w:sz w:val="32"/>
          <w:szCs w:val="30"/>
        </w:rPr>
        <w:t>组织领导和综合协调辖区内集镇管理、人口管理、社会管理、经济发展、综合执法、文明创建等地区性、综合性社会管理工作。</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（五）维护社会稳定。</w:t>
      </w:r>
      <w:r>
        <w:rPr>
          <w:rFonts w:hint="eastAsia" w:ascii="仿宋_GB2312" w:hAnsi="Times New Roman" w:eastAsia="仿宋_GB2312" w:cs="Times New Roman"/>
          <w:sz w:val="32"/>
          <w:szCs w:val="30"/>
        </w:rPr>
        <w:t>负责辖区公共安全及安全生产监管，构建公共安全防控体系；建立应对突发紧急事件的处理预案，做好安全生产、防汛、防火、防疫、食品药品安全等应急管理工作。建立社会矛盾纠纷排查调处机制，及时化解辖区社会矛盾，确保社会稳定。</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（六）指导基层自治。</w:t>
      </w:r>
      <w:r>
        <w:rPr>
          <w:rFonts w:hint="eastAsia" w:ascii="仿宋_GB2312" w:hAnsi="Times New Roman" w:eastAsia="仿宋_GB2312" w:cs="Times New Roman"/>
          <w:sz w:val="32"/>
          <w:szCs w:val="30"/>
        </w:rPr>
        <w:t>指导村（居）民委员会、业委会建设，组织村（居）民和单位参与村（社区）建设和管理，健全完善自治、法治、德治相结合的基层治理体系；推进村务公开，指导监督村级财务和资产管理工作。</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（七）监督专业管理。</w:t>
      </w:r>
      <w:r>
        <w:rPr>
          <w:rFonts w:hint="eastAsia" w:ascii="仿宋_GB2312" w:hAnsi="Times New Roman" w:eastAsia="仿宋_GB2312" w:cs="Times New Roman"/>
          <w:sz w:val="32"/>
          <w:szCs w:val="30"/>
        </w:rPr>
        <w:t>组织实施辖区综合行政执法，统一指挥调度派驻执法机构开展执法活动，并组织开展群众监督和社会监督。</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（八）动员社会参与。</w:t>
      </w:r>
      <w:r>
        <w:rPr>
          <w:rFonts w:hint="eastAsia" w:ascii="仿宋_GB2312" w:hAnsi="Times New Roman" w:eastAsia="仿宋_GB2312" w:cs="Times New Roman"/>
          <w:sz w:val="32"/>
          <w:szCs w:val="30"/>
        </w:rPr>
        <w:t>动员辖区内各类单位、社会组织和村（居）民等社会力量参与村（社区）治理，引导辖区内单位履行社会责任，整合区域内各种社会力量为辖区发展服务。</w:t>
      </w:r>
    </w:p>
    <w:p>
      <w:pPr>
        <w:ind w:firstLine="643"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b/>
          <w:bCs/>
          <w:sz w:val="32"/>
          <w:szCs w:val="30"/>
        </w:rPr>
        <w:t>（九）实施乡村振兴战略。</w:t>
      </w:r>
      <w:r>
        <w:rPr>
          <w:rFonts w:hint="eastAsia" w:ascii="仿宋_GB2312" w:hAnsi="Times New Roman" w:eastAsia="仿宋_GB2312" w:cs="Times New Roman"/>
          <w:sz w:val="32"/>
          <w:szCs w:val="30"/>
        </w:rPr>
        <w:t>贯彻落实中央、省、市、区关于实施乡村振兴战略的决策部署，提升农业发展质量，加快现代农业强乡镇步伐；深化农村精神文明建设，树立健康文明新风尚。</w:t>
      </w:r>
    </w:p>
    <w:p>
      <w:pPr>
        <w:ind w:firstLine="643" w:firstLineChars="200"/>
        <w:rPr>
          <w:rFonts w:hint="eastAsia" w:ascii="仿宋_GB2312" w:hAnsi="Times New Roman" w:eastAsia="仿宋_GB2312" w:cs="Times New Roman"/>
          <w:b/>
          <w:bCs/>
          <w:sz w:val="32"/>
          <w:szCs w:val="30"/>
        </w:rPr>
      </w:pPr>
      <w:r>
        <w:rPr>
          <w:rFonts w:hint="eastAsia" w:ascii="仿宋_GB2312" w:hAnsi="Times New Roman" w:eastAsia="仿宋_GB2312" w:cs="Times New Roman"/>
          <w:b/>
          <w:bCs/>
          <w:sz w:val="32"/>
          <w:szCs w:val="30"/>
        </w:rPr>
        <w:t>（十）做好国防教育和兵役等工作。</w:t>
      </w:r>
    </w:p>
    <w:p>
      <w:pPr>
        <w:ind w:firstLine="643" w:firstLineChars="200"/>
        <w:rPr>
          <w:rFonts w:hint="eastAsia"/>
        </w:rPr>
      </w:pPr>
      <w:r>
        <w:rPr>
          <w:rFonts w:hint="eastAsia" w:ascii="仿宋_GB2312" w:hAnsi="Times New Roman" w:eastAsia="仿宋_GB2312" w:cs="Times New Roman"/>
          <w:b/>
          <w:bCs/>
          <w:sz w:val="32"/>
          <w:szCs w:val="30"/>
        </w:rPr>
        <w:t>（十一）完成区委、区政府交办的其他事项。</w:t>
      </w:r>
    </w:p>
    <w:p>
      <w:pPr>
        <w:ind w:firstLine="643" w:firstLineChars="200"/>
        <w:rPr>
          <w:rFonts w:hint="eastAsia" w:ascii="仿宋_GB2312" w:eastAsia="仿宋_GB2312"/>
          <w:sz w:val="32"/>
          <w:szCs w:val="30"/>
          <w:lang w:val="en-US" w:eastAsia="zh-CN"/>
        </w:rPr>
      </w:pPr>
      <w:r>
        <w:rPr>
          <w:rFonts w:hint="eastAsia" w:ascii="仿宋_GB2312" w:hAnsi="Times New Roman" w:eastAsia="仿宋_GB2312" w:cs="Times New Roman"/>
          <w:b/>
          <w:bCs/>
          <w:sz w:val="32"/>
          <w:szCs w:val="30"/>
          <w:lang w:val="en-US" w:eastAsia="zh-CN"/>
        </w:rPr>
        <w:t>罗家镇人民政府由八大</w:t>
      </w:r>
      <w:r>
        <w:rPr>
          <w:rFonts w:hint="eastAsia" w:ascii="仿宋_GB2312" w:hAnsi="Times New Roman" w:eastAsia="仿宋_GB2312" w:cs="Times New Roman"/>
          <w:b/>
          <w:bCs/>
          <w:sz w:val="32"/>
          <w:szCs w:val="30"/>
        </w:rPr>
        <w:t>部门组成，分别是党政办公室</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公共服务办公室（便民服务中心）</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行政执法办公室（综合行政执法队）</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社会治理办公室（综治中心、退役军人服务站）</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党建办公室</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经济发展办公室</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城市建设和管理办公室</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rPr>
        <w:t>社会事务办公室（应急管理办公室）</w:t>
      </w:r>
      <w:r>
        <w:rPr>
          <w:rFonts w:hint="eastAsia" w:ascii="仿宋_GB2312" w:hAnsi="Times New Roman" w:eastAsia="仿宋_GB2312" w:cs="Times New Roman"/>
          <w:b/>
          <w:bCs/>
          <w:sz w:val="32"/>
          <w:szCs w:val="30"/>
          <w:lang w:eastAsia="zh-CN"/>
        </w:rPr>
        <w:t>。</w:t>
      </w:r>
      <w:r>
        <w:rPr>
          <w:rFonts w:hint="eastAsia" w:ascii="仿宋_GB2312" w:hAnsi="Times New Roman" w:eastAsia="仿宋_GB2312" w:cs="Times New Roman"/>
          <w:b/>
          <w:bCs/>
          <w:sz w:val="32"/>
          <w:szCs w:val="30"/>
          <w:lang w:val="en-US" w:eastAsia="zh-CN"/>
        </w:rPr>
        <w:t>各部门</w:t>
      </w:r>
      <w:r>
        <w:rPr>
          <w:rFonts w:hint="eastAsia" w:ascii="仿宋_GB2312" w:eastAsia="仿宋_GB2312"/>
          <w:b/>
          <w:bCs/>
          <w:sz w:val="32"/>
          <w:szCs w:val="30"/>
        </w:rPr>
        <w:t>主要工作职责</w:t>
      </w:r>
      <w:r>
        <w:rPr>
          <w:rFonts w:hint="eastAsia" w:ascii="仿宋_GB2312" w:eastAsia="仿宋_GB2312"/>
          <w:b/>
          <w:bCs/>
          <w:sz w:val="32"/>
          <w:szCs w:val="30"/>
          <w:lang w:val="en-US" w:eastAsia="zh-CN"/>
        </w:rPr>
        <w:t>如下：</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（一）党政办公室：负责综合协调、督查落实、机关建设、文电、会务、调研、保密、档案等综合性工作；对口联系人大、政协等工作。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公共服务办公室（便民服务中心）：主要负责人力资源和社会保障、民政、医疗保障、教育科技体育、文化旅游、卫生健康、残疾人权益保障等方面行政审批和公共服务事项的审核办理工作；协调派驻部门的行政审批及公共服务事项进驻事宜；负责制定办事大厅日常运行的规章制度和行政审批、公共服务事项的办事流程，统一规范办事大厅建设和窗口工作人员管理；负责村（社区）便民服务点的业务指导和技术支持，提高政务服务效能和质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行政执法办公室（综合行政执法队）：负责辖区内征收补偿及控违工作；组织实施综合行政执法，统一指挥调度派驻执法机构开展执法活动，行使辖区内应急管理、城市管理、城市建设、人力资源和社会保障以及文化旅游、教育体育、卫生健康等部门赋予和委托授权的行政执法权限。接受上级执法部门的业务指导和监督，协助上级执法部门开展专项执法行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（四）社会治理办公室（综治中心、退役军人服务站）：负责退役军人服务、社会治安综合治理、平安建设、信访维稳、人民武装等工作。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党建办公室：负责基层党的建设、意识形态、宣传思想、精神文明建设、统一战线工作；组织协调辖区内群团组织开展工作；负责民族宗教、组织人事、机构编制、老干部、关心下一代、网信、绩效考核、干部队伍建设和人才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经济发展办公室：负责工业、农业、水利、水保和第三产业发展规划，做好发展民营经济和统计工作。做好招商引资、协税护税、投资促进、项目推进等与经济发展相关的工作；负责镇村资产、资源、资金管理；组织和管理镇本级财政收入、财政支出；负责公有资产的监督管理工作；负责农民负担监督管理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城市建设和管理办公室：负责镇村规划建设管理、土地管理、社区建设以及新农村建设等相关工作的综合协调等工作。抓好市容日常性管理工作；负责辖区内市政、园林、市容设施设备的正常维护；负责组织开展市容环境综合整治工作。负责辖区内城市综合管理专项治理工作的统筹、协调、组织、指导、督查、考评。</w:t>
      </w:r>
    </w:p>
    <w:p>
      <w:pPr>
        <w:ind w:firstLine="640" w:firstLineChars="200"/>
        <w:rPr>
          <w:rFonts w:hint="eastAsia" w:ascii="方正仿宋简体" w:eastAsia="方正仿宋简体"/>
          <w:sz w:val="30"/>
        </w:rPr>
      </w:pPr>
      <w:r>
        <w:rPr>
          <w:rFonts w:hint="eastAsia" w:ascii="仿宋_GB2312" w:hAnsi="Times New Roman" w:eastAsia="仿宋_GB2312" w:cs="Times New Roman"/>
          <w:sz w:val="32"/>
          <w:szCs w:val="32"/>
        </w:rPr>
        <w:t>（八）社会事务办公室（应急管理办公室）：主要负责人力资源和社会保障、民政、医疗保障、教育科技体育、文化旅游、卫生健康、残疾人权益保障、环保等方面的管理工作；指导村（社区）居委会建设，健全自治平台，组织村（居）民和单位参与村（社区）建设和管理。协调与社会事务相关的其它工作；负责安全生产监督管理、应急管理、防汛抗旱、减灾、抗震救灾、消防、森林防火等工作。</w:t>
      </w:r>
    </w:p>
    <w:p>
      <w:pPr>
        <w:ind w:firstLine="630"/>
        <w:jc w:val="left"/>
        <w:rPr>
          <w:rFonts w:ascii="黑体" w:hAnsi="黑体" w:eastAsia="黑体"/>
          <w:sz w:val="30"/>
          <w:szCs w:val="30"/>
        </w:rPr>
      </w:pPr>
      <w:r>
        <w:rPr>
          <w:rFonts w:hint="eastAsia" w:ascii="黑体" w:hAnsi="黑体" w:eastAsia="黑体"/>
          <w:sz w:val="30"/>
          <w:szCs w:val="30"/>
        </w:rPr>
        <w:t>二、部门基本情况</w:t>
      </w:r>
    </w:p>
    <w:p>
      <w:pPr>
        <w:ind w:firstLine="630"/>
        <w:jc w:val="left"/>
        <w:rPr>
          <w:rFonts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个。包括：南昌市青山湖区</w:t>
      </w:r>
      <w:r>
        <w:rPr>
          <w:rFonts w:hint="eastAsia" w:ascii="仿宋" w:hAnsi="仿宋" w:eastAsia="仿宋"/>
          <w:sz w:val="30"/>
          <w:szCs w:val="30"/>
          <w:lang w:val="en-US" w:eastAsia="zh-CN"/>
        </w:rPr>
        <w:t>罗家镇人民政府</w:t>
      </w:r>
      <w:r>
        <w:rPr>
          <w:rFonts w:hint="eastAsia" w:ascii="仿宋" w:hAnsi="仿宋" w:eastAsia="仿宋"/>
          <w:sz w:val="30"/>
          <w:szCs w:val="30"/>
        </w:rPr>
        <w:t>。</w:t>
      </w:r>
      <w:r>
        <w:rPr>
          <w:rFonts w:hint="eastAsia" w:ascii="仿宋" w:hAnsi="仿宋" w:eastAsia="仿宋" w:cs="仿宋"/>
          <w:sz w:val="32"/>
          <w:szCs w:val="32"/>
        </w:rPr>
        <w:t>当年无变动情况。</w:t>
      </w:r>
    </w:p>
    <w:p>
      <w:pPr>
        <w:ind w:firstLine="630"/>
        <w:jc w:val="left"/>
        <w:rPr>
          <w:rFonts w:hint="default" w:ascii="仿宋" w:hAnsi="仿宋" w:eastAsia="仿宋"/>
          <w:sz w:val="30"/>
          <w:szCs w:val="30"/>
          <w:highlight w:val="none"/>
          <w:lang w:val="en-US"/>
        </w:rPr>
      </w:pPr>
      <w:r>
        <w:rPr>
          <w:rFonts w:hint="eastAsia" w:ascii="仿宋" w:hAnsi="仿宋" w:eastAsia="仿宋"/>
          <w:sz w:val="30"/>
          <w:szCs w:val="30"/>
          <w:highlight w:val="none"/>
        </w:rPr>
        <w:t>本部门</w:t>
      </w:r>
      <w:r>
        <w:rPr>
          <w:rFonts w:hint="eastAsia" w:ascii="仿宋" w:hAnsi="仿宋" w:eastAsia="仿宋"/>
          <w:sz w:val="30"/>
          <w:szCs w:val="30"/>
          <w:highlight w:val="none"/>
          <w:lang w:val="en-US" w:eastAsia="zh-CN"/>
        </w:rPr>
        <w:t>2020年年末实有编制人数73人，其中行政37人、事业31人、参公5人。较上年度增加7人，一是上年度几名村书记考事业编因为人事流程问题延期到今年上编；二是之前年度考取的公务员，因妊娠哺乳延后上编；三是，2020年有新考取的公务员。</w:t>
      </w:r>
    </w:p>
    <w:p>
      <w:pPr>
        <w:widowControl/>
        <w:spacing w:line="600" w:lineRule="exact"/>
        <w:ind w:firstLine="640"/>
        <w:jc w:val="center"/>
        <w:rPr>
          <w:rFonts w:ascii="宋体" w:hAnsi="宋体"/>
          <w:b/>
          <w:sz w:val="32"/>
          <w:szCs w:val="32"/>
        </w:rPr>
      </w:pPr>
    </w:p>
    <w:p>
      <w:pPr>
        <w:widowControl/>
        <w:spacing w:line="600" w:lineRule="exact"/>
        <w:ind w:firstLine="1298" w:firstLineChars="404"/>
        <w:jc w:val="center"/>
        <w:rPr>
          <w:rFonts w:ascii="宋体" w:hAnsi="宋体"/>
          <w:b/>
          <w:sz w:val="32"/>
          <w:szCs w:val="32"/>
        </w:rPr>
      </w:pPr>
      <w:r>
        <w:rPr>
          <w:rFonts w:hint="eastAsia" w:ascii="宋体" w:hAnsi="宋体"/>
          <w:b/>
          <w:sz w:val="32"/>
          <w:szCs w:val="32"/>
        </w:rPr>
        <w:t>第二部分  2020年度部门决算表</w:t>
      </w:r>
    </w:p>
    <w:p>
      <w:pPr>
        <w:autoSpaceDE w:val="0"/>
        <w:autoSpaceDN w:val="0"/>
        <w:adjustRightInd w:val="0"/>
        <w:spacing w:line="360" w:lineRule="auto"/>
        <w:jc w:val="left"/>
        <w:rPr>
          <w:szCs w:val="30"/>
        </w:rPr>
      </w:pPr>
    </w:p>
    <w:p>
      <w:pPr>
        <w:widowControl/>
        <w:spacing w:line="576" w:lineRule="exact"/>
        <w:ind w:firstLine="643" w:firstLineChars="200"/>
        <w:jc w:val="left"/>
        <w:rPr>
          <w:rFonts w:ascii="仿宋_GB2312" w:hAnsi="黑体" w:eastAsia="仿宋_GB2312"/>
          <w:sz w:val="28"/>
          <w:szCs w:val="28"/>
        </w:rPr>
      </w:pPr>
      <w:r>
        <w:rPr>
          <w:rFonts w:hint="eastAsia" w:ascii="宋体" w:hAnsi="宋体"/>
          <w:b/>
          <w:sz w:val="32"/>
          <w:szCs w:val="32"/>
        </w:rPr>
        <w:t>（</w:t>
      </w:r>
      <w:r>
        <w:rPr>
          <w:rFonts w:hint="eastAsia" w:ascii="仿宋_GB2312" w:hAnsi="黑体" w:eastAsia="仿宋_GB2312"/>
          <w:sz w:val="28"/>
          <w:szCs w:val="28"/>
        </w:rPr>
        <w:t>详见附表）</w:t>
      </w:r>
    </w:p>
    <w:p>
      <w:pPr>
        <w:autoSpaceDE w:val="0"/>
        <w:autoSpaceDN w:val="0"/>
        <w:adjustRightInd w:val="0"/>
        <w:spacing w:line="360" w:lineRule="auto"/>
        <w:jc w:val="left"/>
        <w:rPr>
          <w:szCs w:val="30"/>
        </w:rPr>
      </w:pPr>
    </w:p>
    <w:p>
      <w:pPr>
        <w:autoSpaceDE w:val="0"/>
        <w:autoSpaceDN w:val="0"/>
        <w:adjustRightInd w:val="0"/>
        <w:spacing w:line="360" w:lineRule="auto"/>
        <w:jc w:val="left"/>
        <w:rPr>
          <w:szCs w:val="30"/>
        </w:rPr>
      </w:pPr>
    </w:p>
    <w:p>
      <w:pPr>
        <w:autoSpaceDE w:val="0"/>
        <w:autoSpaceDN w:val="0"/>
        <w:adjustRightInd w:val="0"/>
        <w:spacing w:line="360" w:lineRule="auto"/>
        <w:jc w:val="left"/>
        <w:rPr>
          <w:rFonts w:ascii="仿宋" w:hAnsi="仿宋" w:eastAsia="仿宋" w:cs="仿宋_GB2312"/>
          <w:kern w:val="0"/>
          <w:sz w:val="30"/>
          <w:szCs w:val="30"/>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第三部分  2020年度部门决算情况说明</w:t>
      </w:r>
    </w:p>
    <w:p>
      <w:pPr>
        <w:ind w:firstLine="630"/>
        <w:jc w:val="left"/>
        <w:rPr>
          <w:rFonts w:ascii="仿宋" w:hAnsi="仿宋" w:eastAsia="仿宋"/>
          <w:sz w:val="30"/>
          <w:szCs w:val="30"/>
          <w:highlight w:val="yellow"/>
        </w:rPr>
      </w:pPr>
    </w:p>
    <w:p>
      <w:pPr>
        <w:ind w:firstLine="630"/>
        <w:jc w:val="left"/>
        <w:rPr>
          <w:rFonts w:ascii="黑体" w:hAnsi="黑体" w:eastAsia="黑体"/>
          <w:sz w:val="30"/>
          <w:szCs w:val="30"/>
          <w:highlight w:val="none"/>
        </w:rPr>
      </w:pPr>
      <w:r>
        <w:rPr>
          <w:rFonts w:hint="eastAsia" w:ascii="黑体" w:hAnsi="黑体" w:eastAsia="黑体"/>
          <w:sz w:val="30"/>
          <w:szCs w:val="30"/>
          <w:highlight w:val="none"/>
        </w:rPr>
        <w:t>一、收入决算情况说明</w:t>
      </w:r>
    </w:p>
    <w:p>
      <w:pPr>
        <w:ind w:firstLine="630"/>
        <w:jc w:val="left"/>
        <w:rPr>
          <w:rFonts w:hint="eastAsia" w:ascii="仿宋" w:hAnsi="仿宋" w:eastAsia="仿宋"/>
          <w:sz w:val="30"/>
          <w:szCs w:val="30"/>
          <w:highlight w:val="none"/>
          <w:lang w:eastAsia="zh-CN"/>
        </w:rPr>
      </w:pPr>
      <w:r>
        <w:rPr>
          <w:rFonts w:hint="eastAsia" w:ascii="仿宋" w:hAnsi="仿宋" w:eastAsia="仿宋"/>
          <w:sz w:val="30"/>
          <w:szCs w:val="30"/>
          <w:highlight w:val="none"/>
        </w:rPr>
        <w:t>本部门2020年度收入总计</w:t>
      </w:r>
      <w:r>
        <w:rPr>
          <w:rFonts w:hint="eastAsia" w:ascii="仿宋" w:hAnsi="仿宋" w:eastAsia="仿宋"/>
          <w:sz w:val="30"/>
          <w:szCs w:val="30"/>
          <w:highlight w:val="none"/>
          <w:lang w:val="en-US" w:eastAsia="zh-CN"/>
        </w:rPr>
        <w:t>12654.75</w:t>
      </w:r>
      <w:r>
        <w:rPr>
          <w:rFonts w:hint="eastAsia" w:ascii="仿宋" w:hAnsi="仿宋" w:eastAsia="仿宋"/>
          <w:sz w:val="30"/>
          <w:szCs w:val="30"/>
          <w:highlight w:val="none"/>
        </w:rPr>
        <w:t>万元，其中年初结转和结余</w:t>
      </w:r>
      <w:r>
        <w:rPr>
          <w:rFonts w:hint="eastAsia" w:ascii="仿宋" w:hAnsi="仿宋" w:eastAsia="仿宋"/>
          <w:sz w:val="30"/>
          <w:szCs w:val="30"/>
          <w:highlight w:val="none"/>
          <w:lang w:val="en-US" w:eastAsia="zh-CN"/>
        </w:rPr>
        <w:t>3075.63</w:t>
      </w:r>
      <w:r>
        <w:rPr>
          <w:rFonts w:hint="eastAsia" w:ascii="仿宋" w:hAnsi="仿宋" w:eastAsia="仿宋"/>
          <w:sz w:val="30"/>
          <w:szCs w:val="30"/>
          <w:highlight w:val="none"/>
        </w:rPr>
        <w:t>万元</w:t>
      </w:r>
      <w:r>
        <w:rPr>
          <w:rFonts w:hint="eastAsia" w:ascii="仿宋" w:hAnsi="仿宋" w:eastAsia="仿宋"/>
          <w:sz w:val="30"/>
          <w:szCs w:val="30"/>
          <w:highlight w:val="none"/>
          <w:lang w:eastAsia="zh-CN"/>
        </w:rPr>
        <w:t>。</w:t>
      </w:r>
      <w:r>
        <w:rPr>
          <w:rFonts w:hint="eastAsia" w:ascii="仿宋" w:hAnsi="仿宋" w:eastAsia="仿宋"/>
          <w:sz w:val="30"/>
          <w:szCs w:val="30"/>
          <w:highlight w:val="none"/>
        </w:rPr>
        <w:t>年末结转和结余</w:t>
      </w:r>
      <w:r>
        <w:rPr>
          <w:rFonts w:hint="eastAsia" w:ascii="仿宋" w:hAnsi="仿宋" w:eastAsia="仿宋"/>
          <w:sz w:val="30"/>
          <w:szCs w:val="30"/>
          <w:highlight w:val="none"/>
          <w:lang w:val="en-US" w:eastAsia="zh-CN"/>
        </w:rPr>
        <w:t>2221.92</w:t>
      </w:r>
      <w:r>
        <w:rPr>
          <w:rFonts w:hint="eastAsia" w:ascii="仿宋" w:hAnsi="仿宋" w:eastAsia="仿宋"/>
          <w:sz w:val="30"/>
          <w:szCs w:val="30"/>
          <w:highlight w:val="none"/>
        </w:rPr>
        <w:t>万元</w:t>
      </w:r>
      <w:r>
        <w:rPr>
          <w:rFonts w:hint="eastAsia" w:ascii="仿宋" w:hAnsi="仿宋" w:eastAsia="仿宋"/>
          <w:sz w:val="30"/>
          <w:szCs w:val="30"/>
          <w:highlight w:val="none"/>
          <w:lang w:eastAsia="zh-CN"/>
        </w:rPr>
        <w:t>，</w:t>
      </w:r>
      <w:r>
        <w:rPr>
          <w:rFonts w:hint="eastAsia" w:ascii="仿宋" w:hAnsi="仿宋" w:eastAsia="仿宋"/>
          <w:sz w:val="30"/>
          <w:szCs w:val="30"/>
          <w:highlight w:val="none"/>
        </w:rPr>
        <w:t>主要</w:t>
      </w:r>
      <w:r>
        <w:rPr>
          <w:rFonts w:hint="eastAsia" w:ascii="仿宋_GB2312" w:hAnsi="仿宋" w:eastAsia="仿宋_GB2312" w:cs="仿宋"/>
          <w:bCs/>
          <w:color w:val="000000"/>
          <w:sz w:val="32"/>
          <w:szCs w:val="32"/>
          <w:highlight w:val="none"/>
          <w:lang w:val="en-US" w:eastAsia="zh-CN"/>
        </w:rPr>
        <w:t>结余</w:t>
      </w:r>
      <w:r>
        <w:rPr>
          <w:rFonts w:hint="eastAsia" w:ascii="仿宋_GB2312" w:hAnsi="仿宋" w:eastAsia="仿宋_GB2312" w:cs="仿宋"/>
          <w:bCs/>
          <w:color w:val="000000"/>
          <w:sz w:val="32"/>
          <w:szCs w:val="32"/>
          <w:lang w:val="en-US" w:eastAsia="zh-CN"/>
        </w:rPr>
        <w:t>原因：一是由于疫情，上级下拨了大量的直达资金用于发放惠农补助；二是一事一议及美丽乡村建设项目在启动中，还未到支付阶段。</w:t>
      </w:r>
    </w:p>
    <w:p>
      <w:pPr>
        <w:jc w:val="left"/>
        <w:rPr>
          <w:rFonts w:ascii="黑体" w:hAnsi="黑体" w:eastAsia="黑体"/>
          <w:sz w:val="30"/>
          <w:szCs w:val="30"/>
          <w:highlight w:val="none"/>
        </w:rPr>
      </w:pPr>
      <w:r>
        <w:rPr>
          <w:rFonts w:hint="eastAsia" w:ascii="仿宋" w:hAnsi="仿宋" w:eastAsia="仿宋"/>
          <w:sz w:val="30"/>
          <w:szCs w:val="30"/>
          <w:highlight w:val="none"/>
          <w:lang w:val="en-US" w:eastAsia="zh-CN"/>
        </w:rPr>
        <w:t xml:space="preserve">    </w:t>
      </w:r>
      <w:r>
        <w:rPr>
          <w:rFonts w:hint="eastAsia" w:ascii="黑体" w:hAnsi="黑体" w:eastAsia="黑体"/>
          <w:sz w:val="30"/>
          <w:szCs w:val="30"/>
          <w:highlight w:val="none"/>
        </w:rPr>
        <w:t>二、支出决算情况说明</w:t>
      </w:r>
    </w:p>
    <w:p>
      <w:pPr>
        <w:ind w:firstLine="600" w:firstLineChars="200"/>
      </w:pPr>
      <w:r>
        <w:rPr>
          <w:rFonts w:hint="eastAsia" w:ascii="仿宋" w:hAnsi="仿宋" w:eastAsia="仿宋"/>
          <w:sz w:val="30"/>
          <w:szCs w:val="30"/>
          <w:highlight w:val="none"/>
        </w:rPr>
        <w:t>本部门2020年度支出总计</w:t>
      </w:r>
      <w:r>
        <w:rPr>
          <w:rFonts w:hint="eastAsia" w:ascii="仿宋_GB2312" w:hAnsi="仿宋" w:eastAsia="仿宋_GB2312" w:cs="仿宋"/>
          <w:bCs/>
          <w:color w:val="000000"/>
          <w:sz w:val="32"/>
          <w:szCs w:val="32"/>
          <w:lang w:val="en-US" w:eastAsia="zh-CN"/>
        </w:rPr>
        <w:t>11286.53万元，2019年实际支出9485.29万元。比上年增长19%。原因是2020年全年上级追加财政拨款8118.73万元，其中一般公共预算财政拨款4118.73万元，政府性基金预算财政拨款4000万元，大部分用于当年惠农救助资金和民生项目建设。</w:t>
      </w:r>
    </w:p>
    <w:p>
      <w:pPr>
        <w:ind w:firstLine="600" w:firstLineChars="200"/>
        <w:rPr>
          <w:rFonts w:ascii="方正仿宋简体" w:hAnsi="仿宋" w:eastAsia="方正仿宋简体"/>
          <w:sz w:val="32"/>
          <w:szCs w:val="32"/>
          <w:highlight w:val="yellow"/>
        </w:rPr>
      </w:pPr>
      <w:r>
        <w:rPr>
          <w:rFonts w:hint="eastAsia" w:ascii="仿宋" w:hAnsi="仿宋" w:eastAsia="仿宋"/>
          <w:sz w:val="30"/>
          <w:szCs w:val="30"/>
          <w:highlight w:val="none"/>
        </w:rPr>
        <w:t>年末结转和结余</w:t>
      </w:r>
      <w:r>
        <w:rPr>
          <w:rFonts w:hint="eastAsia" w:ascii="仿宋" w:hAnsi="仿宋" w:eastAsia="仿宋"/>
          <w:sz w:val="30"/>
          <w:szCs w:val="30"/>
          <w:highlight w:val="none"/>
          <w:lang w:val="en-US" w:eastAsia="zh-CN"/>
        </w:rPr>
        <w:t>2221.92</w:t>
      </w:r>
      <w:r>
        <w:rPr>
          <w:rFonts w:hint="eastAsia" w:ascii="仿宋" w:hAnsi="仿宋" w:eastAsia="仿宋"/>
          <w:sz w:val="30"/>
          <w:szCs w:val="30"/>
          <w:highlight w:val="none"/>
        </w:rPr>
        <w:t>万元，较2019年</w:t>
      </w:r>
      <w:r>
        <w:rPr>
          <w:rFonts w:hint="eastAsia" w:ascii="仿宋" w:hAnsi="仿宋" w:eastAsia="仿宋"/>
          <w:sz w:val="30"/>
          <w:szCs w:val="30"/>
          <w:highlight w:val="none"/>
          <w:lang w:val="en-US" w:eastAsia="zh-CN"/>
        </w:rPr>
        <w:t>增加1368.21</w:t>
      </w:r>
      <w:r>
        <w:rPr>
          <w:rFonts w:hint="eastAsia" w:ascii="仿宋" w:hAnsi="仿宋" w:eastAsia="仿宋"/>
          <w:sz w:val="30"/>
          <w:szCs w:val="30"/>
          <w:highlight w:val="none"/>
        </w:rPr>
        <w:t>万元。主要</w:t>
      </w:r>
      <w:r>
        <w:rPr>
          <w:rFonts w:hint="eastAsia" w:ascii="仿宋_GB2312" w:hAnsi="仿宋" w:eastAsia="仿宋_GB2312" w:cs="仿宋"/>
          <w:bCs/>
          <w:color w:val="000000"/>
          <w:sz w:val="32"/>
          <w:szCs w:val="32"/>
          <w:highlight w:val="none"/>
          <w:lang w:val="en-US" w:eastAsia="zh-CN"/>
        </w:rPr>
        <w:t>结余</w:t>
      </w:r>
      <w:r>
        <w:rPr>
          <w:rFonts w:hint="eastAsia" w:ascii="仿宋_GB2312" w:hAnsi="仿宋" w:eastAsia="仿宋_GB2312" w:cs="仿宋"/>
          <w:bCs/>
          <w:color w:val="000000"/>
          <w:sz w:val="32"/>
          <w:szCs w:val="32"/>
          <w:lang w:val="en-US" w:eastAsia="zh-CN"/>
        </w:rPr>
        <w:t>原因：一是上级追加补助惠农资金远远多于实际发放需求数。二是一事一议及美丽乡村建设项目在启动中，还未到支付阶段。</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三、财政拨款支出决算情况说明</w:t>
      </w:r>
    </w:p>
    <w:p>
      <w:pPr>
        <w:ind w:firstLine="630"/>
        <w:jc w:val="left"/>
        <w:rPr>
          <w:rFonts w:ascii="仿宋" w:hAnsi="仿宋" w:eastAsia="仿宋"/>
          <w:sz w:val="30"/>
          <w:szCs w:val="30"/>
          <w:highlight w:val="yellow"/>
        </w:rPr>
      </w:pPr>
      <w:r>
        <w:rPr>
          <w:rFonts w:hint="eastAsia" w:ascii="仿宋" w:hAnsi="仿宋" w:eastAsia="仿宋"/>
          <w:sz w:val="30"/>
          <w:szCs w:val="30"/>
          <w:highlight w:val="none"/>
        </w:rPr>
        <w:t>本部门2020年度财政拨款本年支出年初预算数为</w:t>
      </w:r>
      <w:r>
        <w:rPr>
          <w:rFonts w:hint="eastAsia" w:ascii="仿宋" w:hAnsi="仿宋" w:eastAsia="仿宋"/>
          <w:sz w:val="30"/>
          <w:szCs w:val="30"/>
          <w:highlight w:val="none"/>
          <w:lang w:val="en-US" w:eastAsia="zh-CN"/>
        </w:rPr>
        <w:t>6200</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11286.53</w:t>
      </w:r>
      <w:r>
        <w:rPr>
          <w:rFonts w:hint="eastAsia" w:ascii="仿宋" w:hAnsi="仿宋" w:eastAsia="仿宋"/>
          <w:sz w:val="30"/>
          <w:szCs w:val="30"/>
          <w:highlight w:val="none"/>
        </w:rPr>
        <w:t>万元，</w:t>
      </w:r>
      <w:r>
        <w:rPr>
          <w:rFonts w:hint="eastAsia" w:ascii="仿宋" w:hAnsi="仿宋" w:eastAsia="仿宋"/>
          <w:sz w:val="30"/>
          <w:szCs w:val="30"/>
          <w:highlight w:val="none"/>
          <w:lang w:val="en-US" w:eastAsia="zh-CN"/>
        </w:rPr>
        <w:t>其中年初预算执行率54%，其余全是上级专项补助对应的支出。</w:t>
      </w:r>
    </w:p>
    <w:p>
      <w:pPr>
        <w:ind w:firstLine="585"/>
        <w:jc w:val="left"/>
        <w:rPr>
          <w:rFonts w:ascii="黑体" w:hAnsi="黑体" w:eastAsia="黑体"/>
          <w:sz w:val="30"/>
          <w:szCs w:val="30"/>
          <w:highlight w:val="none"/>
        </w:rPr>
      </w:pPr>
      <w:r>
        <w:rPr>
          <w:rFonts w:hint="eastAsia" w:ascii="黑体" w:hAnsi="黑体" w:eastAsia="黑体"/>
          <w:sz w:val="30"/>
          <w:szCs w:val="30"/>
          <w:highlight w:val="none"/>
        </w:rPr>
        <w:t>四、一般公共预算财政拨款基本支出决算情况说明</w:t>
      </w:r>
    </w:p>
    <w:p>
      <w:pPr>
        <w:ind w:firstLine="585"/>
        <w:jc w:val="left"/>
        <w:rPr>
          <w:rFonts w:ascii="仿宋" w:hAnsi="仿宋" w:eastAsia="仿宋"/>
          <w:sz w:val="30"/>
          <w:szCs w:val="30"/>
          <w:highlight w:val="none"/>
        </w:rPr>
      </w:pPr>
      <w:r>
        <w:rPr>
          <w:rFonts w:hint="eastAsia" w:ascii="仿宋" w:hAnsi="仿宋" w:eastAsia="仿宋"/>
          <w:sz w:val="30"/>
          <w:szCs w:val="30"/>
          <w:highlight w:val="none"/>
        </w:rPr>
        <w:t>本部门2020年度一般公共预算财政拨款基本支出</w:t>
      </w:r>
      <w:r>
        <w:rPr>
          <w:rFonts w:hint="eastAsia" w:ascii="仿宋" w:hAnsi="仿宋" w:eastAsia="仿宋"/>
          <w:sz w:val="30"/>
          <w:szCs w:val="30"/>
          <w:highlight w:val="none"/>
          <w:lang w:val="en-US" w:eastAsia="zh-CN"/>
        </w:rPr>
        <w:t>5467.63</w:t>
      </w:r>
      <w:r>
        <w:rPr>
          <w:rFonts w:hint="eastAsia" w:ascii="仿宋" w:hAnsi="仿宋" w:eastAsia="仿宋"/>
          <w:sz w:val="30"/>
          <w:szCs w:val="30"/>
          <w:highlight w:val="none"/>
        </w:rPr>
        <w:t>万元，其中：</w:t>
      </w:r>
    </w:p>
    <w:p>
      <w:pPr>
        <w:ind w:firstLine="585"/>
        <w:jc w:val="left"/>
        <w:rPr>
          <w:rFonts w:ascii="仿宋" w:hAnsi="仿宋" w:eastAsia="仿宋"/>
          <w:sz w:val="30"/>
          <w:szCs w:val="30"/>
          <w:highlight w:val="none"/>
        </w:rPr>
      </w:pPr>
      <w:r>
        <w:rPr>
          <w:rFonts w:hint="eastAsia" w:ascii="仿宋" w:hAnsi="仿宋" w:eastAsia="仿宋"/>
          <w:sz w:val="30"/>
          <w:szCs w:val="30"/>
          <w:highlight w:val="none"/>
        </w:rPr>
        <w:t>（一）</w:t>
      </w:r>
      <w:r>
        <w:rPr>
          <w:rFonts w:hint="eastAsia" w:ascii="仿宋" w:hAnsi="仿宋" w:eastAsia="仿宋"/>
          <w:sz w:val="30"/>
          <w:szCs w:val="30"/>
          <w:highlight w:val="none"/>
        </w:rPr>
        <w:t>工资福利支出</w:t>
      </w:r>
      <w:r>
        <w:rPr>
          <w:rFonts w:hint="eastAsia" w:ascii="仿宋" w:hAnsi="仿宋" w:eastAsia="仿宋"/>
          <w:sz w:val="30"/>
          <w:szCs w:val="30"/>
          <w:highlight w:val="none"/>
          <w:lang w:val="en-US" w:eastAsia="zh-CN"/>
        </w:rPr>
        <w:t>2737.72</w:t>
      </w:r>
      <w:r>
        <w:rPr>
          <w:rFonts w:hint="eastAsia" w:ascii="仿宋" w:hAnsi="仿宋" w:eastAsia="仿宋"/>
          <w:sz w:val="30"/>
          <w:szCs w:val="30"/>
          <w:highlight w:val="none"/>
        </w:rPr>
        <w:t>万元，较2019年</w:t>
      </w:r>
      <w:r>
        <w:rPr>
          <w:rFonts w:hint="eastAsia" w:ascii="仿宋" w:hAnsi="仿宋" w:eastAsia="仿宋"/>
          <w:sz w:val="30"/>
          <w:szCs w:val="30"/>
          <w:highlight w:val="none"/>
          <w:lang w:val="en-US" w:eastAsia="zh-CN"/>
        </w:rPr>
        <w:t>有所</w:t>
      </w:r>
      <w:r>
        <w:rPr>
          <w:rFonts w:hint="eastAsia" w:ascii="仿宋" w:hAnsi="仿宋" w:eastAsia="仿宋"/>
          <w:sz w:val="30"/>
          <w:szCs w:val="30"/>
          <w:highlight w:val="none"/>
        </w:rPr>
        <w:t>增加</w:t>
      </w:r>
      <w:r>
        <w:rPr>
          <w:rFonts w:hint="eastAsia" w:ascii="仿宋" w:hAnsi="仿宋" w:eastAsia="仿宋"/>
          <w:sz w:val="30"/>
          <w:szCs w:val="30"/>
          <w:highlight w:val="none"/>
          <w:lang w:eastAsia="zh-CN"/>
        </w:rPr>
        <w:t>，</w:t>
      </w:r>
      <w:r>
        <w:rPr>
          <w:rFonts w:hint="eastAsia" w:ascii="仿宋" w:hAnsi="仿宋" w:eastAsia="仿宋"/>
          <w:sz w:val="30"/>
          <w:szCs w:val="30"/>
          <w:highlight w:val="none"/>
        </w:rPr>
        <w:t>主要原因是：人员调整及发放退休人员</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派出所、镇本级</w:t>
      </w:r>
      <w:r>
        <w:rPr>
          <w:rFonts w:hint="eastAsia" w:ascii="仿宋" w:hAnsi="仿宋" w:eastAsia="仿宋"/>
          <w:sz w:val="30"/>
          <w:szCs w:val="30"/>
          <w:highlight w:val="none"/>
        </w:rPr>
        <w:t>政府性奖励。</w:t>
      </w:r>
    </w:p>
    <w:p>
      <w:pPr>
        <w:ind w:firstLine="585"/>
        <w:jc w:val="left"/>
        <w:rPr>
          <w:rFonts w:hint="eastAsia" w:ascii="仿宋" w:hAnsi="仿宋" w:eastAsia="仿宋"/>
          <w:sz w:val="30"/>
          <w:szCs w:val="30"/>
          <w:highlight w:val="none"/>
          <w:lang w:val="en-US" w:eastAsia="zh-CN"/>
        </w:rPr>
      </w:pPr>
      <w:r>
        <w:rPr>
          <w:rFonts w:hint="eastAsia" w:ascii="仿宋" w:hAnsi="仿宋" w:eastAsia="仿宋"/>
          <w:sz w:val="30"/>
          <w:szCs w:val="30"/>
          <w:highlight w:val="none"/>
        </w:rPr>
        <w:t>（二）</w:t>
      </w:r>
      <w:r>
        <w:rPr>
          <w:rFonts w:hint="eastAsia" w:ascii="仿宋" w:hAnsi="仿宋" w:eastAsia="仿宋"/>
          <w:sz w:val="30"/>
          <w:szCs w:val="30"/>
          <w:highlight w:val="none"/>
        </w:rPr>
        <w:t>商品和服务支出</w:t>
      </w:r>
      <w:r>
        <w:rPr>
          <w:rFonts w:hint="eastAsia" w:ascii="仿宋" w:hAnsi="仿宋" w:eastAsia="仿宋"/>
          <w:sz w:val="30"/>
          <w:szCs w:val="30"/>
          <w:highlight w:val="none"/>
          <w:lang w:val="en-US" w:eastAsia="zh-CN"/>
        </w:rPr>
        <w:t>1167.4</w:t>
      </w:r>
      <w:r>
        <w:rPr>
          <w:rFonts w:hint="eastAsia" w:ascii="仿宋" w:hAnsi="仿宋" w:eastAsia="仿宋"/>
          <w:sz w:val="30"/>
          <w:szCs w:val="30"/>
          <w:highlight w:val="none"/>
        </w:rPr>
        <w:t>万元，较2019年</w:t>
      </w:r>
      <w:r>
        <w:rPr>
          <w:rFonts w:hint="eastAsia" w:ascii="仿宋" w:hAnsi="仿宋" w:eastAsia="仿宋"/>
          <w:sz w:val="30"/>
          <w:szCs w:val="30"/>
          <w:highlight w:val="none"/>
          <w:lang w:val="en-US" w:eastAsia="zh-CN"/>
        </w:rPr>
        <w:t>下降147</w:t>
      </w:r>
      <w:r>
        <w:rPr>
          <w:rFonts w:hint="eastAsia" w:ascii="仿宋" w:hAnsi="仿宋" w:eastAsia="仿宋"/>
          <w:sz w:val="30"/>
          <w:szCs w:val="30"/>
          <w:highlight w:val="none"/>
        </w:rPr>
        <w:t>万元，主要原因是：</w:t>
      </w:r>
      <w:r>
        <w:rPr>
          <w:rFonts w:hint="eastAsia" w:ascii="仿宋" w:hAnsi="仿宋" w:eastAsia="仿宋"/>
          <w:sz w:val="30"/>
          <w:szCs w:val="30"/>
          <w:highlight w:val="none"/>
          <w:lang w:val="en-US" w:eastAsia="zh-CN"/>
        </w:rPr>
        <w:t>落实过紧日子文件精神，减少了对相关货物或服务的购买。</w:t>
      </w:r>
    </w:p>
    <w:p>
      <w:pPr>
        <w:ind w:firstLine="585"/>
        <w:jc w:val="left"/>
        <w:rPr>
          <w:rFonts w:hint="eastAsia" w:ascii="仿宋_GB2312" w:hAnsi="仿宋" w:eastAsia="仿宋_GB2312" w:cs="仿宋"/>
          <w:bCs/>
          <w:color w:val="000000"/>
          <w:sz w:val="32"/>
          <w:szCs w:val="32"/>
          <w:highlight w:val="none"/>
          <w:lang w:val="en-US" w:eastAsia="zh-CN"/>
        </w:rPr>
      </w:pPr>
      <w:bookmarkStart w:id="0" w:name="_GoBack"/>
      <w:bookmarkEnd w:id="0"/>
      <w:r>
        <w:rPr>
          <w:rFonts w:hint="eastAsia" w:ascii="仿宋" w:hAnsi="仿宋" w:eastAsia="仿宋"/>
          <w:sz w:val="30"/>
          <w:szCs w:val="30"/>
          <w:highlight w:val="none"/>
        </w:rPr>
        <w:t>（三）</w:t>
      </w:r>
      <w:r>
        <w:rPr>
          <w:rFonts w:hint="eastAsia" w:ascii="仿宋" w:hAnsi="仿宋" w:eastAsia="仿宋"/>
          <w:sz w:val="30"/>
          <w:szCs w:val="30"/>
          <w:highlight w:val="none"/>
        </w:rPr>
        <w:t>对个人和家庭补助支出</w:t>
      </w:r>
      <w:r>
        <w:rPr>
          <w:rFonts w:hint="eastAsia" w:ascii="仿宋" w:hAnsi="仿宋" w:eastAsia="仿宋"/>
          <w:sz w:val="30"/>
          <w:szCs w:val="30"/>
          <w:highlight w:val="none"/>
          <w:lang w:val="en-US" w:eastAsia="zh-CN"/>
        </w:rPr>
        <w:t>1457.51</w:t>
      </w:r>
      <w:r>
        <w:rPr>
          <w:rFonts w:hint="eastAsia" w:ascii="仿宋" w:hAnsi="仿宋" w:eastAsia="仿宋"/>
          <w:sz w:val="30"/>
          <w:szCs w:val="30"/>
          <w:highlight w:val="none"/>
        </w:rPr>
        <w:t>万元，较2019年</w:t>
      </w:r>
      <w:r>
        <w:rPr>
          <w:rFonts w:hint="eastAsia" w:ascii="仿宋" w:hAnsi="仿宋" w:eastAsia="仿宋"/>
          <w:sz w:val="30"/>
          <w:szCs w:val="30"/>
          <w:highlight w:val="none"/>
          <w:lang w:val="en-US" w:eastAsia="zh-CN"/>
        </w:rPr>
        <w:t>增加409</w:t>
      </w:r>
      <w:r>
        <w:rPr>
          <w:rFonts w:hint="eastAsia" w:ascii="仿宋" w:hAnsi="仿宋" w:eastAsia="仿宋"/>
          <w:sz w:val="30"/>
          <w:szCs w:val="30"/>
          <w:highlight w:val="none"/>
        </w:rPr>
        <w:t>万元，主要原因是：</w:t>
      </w:r>
      <w:r>
        <w:rPr>
          <w:rFonts w:hint="eastAsia" w:ascii="仿宋_GB2312" w:hAnsi="仿宋" w:eastAsia="仿宋_GB2312" w:cs="仿宋"/>
          <w:bCs/>
          <w:color w:val="000000"/>
          <w:sz w:val="32"/>
          <w:szCs w:val="32"/>
          <w:highlight w:val="none"/>
          <w:lang w:val="en-US" w:eastAsia="zh-CN"/>
        </w:rPr>
        <w:t>上级下拨了大量的直达资金用于发放惠农补助。</w:t>
      </w:r>
    </w:p>
    <w:p>
      <w:pPr>
        <w:ind w:firstLine="585"/>
        <w:jc w:val="left"/>
        <w:rPr>
          <w:rFonts w:ascii="仿宋" w:hAnsi="仿宋" w:eastAsia="仿宋"/>
          <w:sz w:val="30"/>
          <w:szCs w:val="30"/>
          <w:highlight w:val="none"/>
        </w:rPr>
      </w:pPr>
      <w:r>
        <w:rPr>
          <w:rFonts w:hint="eastAsia" w:ascii="仿宋" w:hAnsi="仿宋" w:eastAsia="仿宋"/>
          <w:sz w:val="30"/>
          <w:szCs w:val="30"/>
          <w:highlight w:val="none"/>
        </w:rPr>
        <w:t>（四）</w:t>
      </w:r>
      <w:r>
        <w:rPr>
          <w:rFonts w:hint="eastAsia" w:ascii="仿宋" w:hAnsi="仿宋" w:eastAsia="仿宋"/>
          <w:sz w:val="30"/>
          <w:szCs w:val="30"/>
          <w:highlight w:val="none"/>
        </w:rPr>
        <w:t>资本性支出</w:t>
      </w:r>
      <w:r>
        <w:rPr>
          <w:rFonts w:hint="eastAsia" w:ascii="仿宋" w:hAnsi="仿宋" w:eastAsia="仿宋"/>
          <w:sz w:val="30"/>
          <w:szCs w:val="30"/>
          <w:highlight w:val="none"/>
          <w:lang w:val="en-US" w:eastAsia="zh-CN"/>
        </w:rPr>
        <w:t>105</w:t>
      </w:r>
      <w:r>
        <w:rPr>
          <w:rFonts w:hint="eastAsia" w:ascii="仿宋" w:hAnsi="仿宋" w:eastAsia="仿宋"/>
          <w:sz w:val="30"/>
          <w:szCs w:val="30"/>
          <w:highlight w:val="none"/>
        </w:rPr>
        <w:t>万元，较2019年减少</w:t>
      </w:r>
      <w:r>
        <w:rPr>
          <w:rFonts w:hint="eastAsia" w:ascii="仿宋" w:hAnsi="仿宋" w:eastAsia="仿宋"/>
          <w:sz w:val="30"/>
          <w:szCs w:val="30"/>
          <w:highlight w:val="none"/>
          <w:lang w:val="en-US" w:eastAsia="zh-CN"/>
        </w:rPr>
        <w:t>88.87</w:t>
      </w:r>
      <w:r>
        <w:rPr>
          <w:rFonts w:hint="eastAsia" w:ascii="仿宋" w:hAnsi="仿宋" w:eastAsia="仿宋"/>
          <w:sz w:val="30"/>
          <w:szCs w:val="30"/>
          <w:highlight w:val="none"/>
        </w:rPr>
        <w:t>万元，主要原因是：减少办公设备的购置。</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五、一般公共预算财政拨款“三公”经费支出决算情况说明</w:t>
      </w:r>
    </w:p>
    <w:p>
      <w:pPr>
        <w:ind w:firstLine="630"/>
        <w:jc w:val="left"/>
        <w:rPr>
          <w:rFonts w:ascii="仿宋" w:hAnsi="仿宋" w:eastAsia="仿宋"/>
          <w:sz w:val="30"/>
          <w:szCs w:val="30"/>
          <w:highlight w:val="none"/>
        </w:rPr>
      </w:pPr>
      <w:r>
        <w:rPr>
          <w:rFonts w:hint="eastAsia" w:ascii="仿宋" w:hAnsi="仿宋" w:eastAsia="仿宋"/>
          <w:sz w:val="30"/>
          <w:szCs w:val="30"/>
          <w:highlight w:val="none"/>
        </w:rPr>
        <w:t>本部门2020年度一般公共预算财政拨款“三公”经费支出</w:t>
      </w:r>
    </w:p>
    <w:p>
      <w:pPr>
        <w:numPr>
          <w:ilvl w:val="0"/>
          <w:numId w:val="0"/>
        </w:numPr>
        <w:jc w:val="left"/>
      </w:pPr>
      <w:r>
        <w:rPr>
          <w:rFonts w:hint="eastAsia" w:ascii="仿宋" w:hAnsi="仿宋" w:eastAsia="仿宋"/>
          <w:sz w:val="30"/>
          <w:szCs w:val="30"/>
          <w:highlight w:val="none"/>
        </w:rPr>
        <w:t>公务接待费支出年初预算数为</w:t>
      </w:r>
      <w:r>
        <w:rPr>
          <w:rFonts w:hint="eastAsia" w:ascii="仿宋" w:hAnsi="仿宋" w:eastAsia="仿宋"/>
          <w:sz w:val="30"/>
          <w:szCs w:val="30"/>
          <w:highlight w:val="none"/>
          <w:lang w:val="en-US" w:eastAsia="zh-CN"/>
        </w:rPr>
        <w:t>28</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17.42</w:t>
      </w:r>
      <w:r>
        <w:rPr>
          <w:rFonts w:hint="eastAsia" w:ascii="仿宋" w:hAnsi="仿宋" w:eastAsia="仿宋"/>
          <w:sz w:val="30"/>
          <w:szCs w:val="30"/>
          <w:highlight w:val="none"/>
        </w:rPr>
        <w:t>万元，完成预算的</w:t>
      </w:r>
      <w:r>
        <w:rPr>
          <w:rFonts w:hint="eastAsia" w:ascii="仿宋" w:hAnsi="仿宋" w:eastAsia="仿宋"/>
          <w:sz w:val="30"/>
          <w:szCs w:val="30"/>
          <w:highlight w:val="none"/>
          <w:lang w:val="en-US" w:eastAsia="zh-CN"/>
        </w:rPr>
        <w:t>62</w:t>
      </w:r>
      <w:r>
        <w:rPr>
          <w:rFonts w:hint="eastAsia" w:ascii="仿宋" w:hAnsi="仿宋" w:eastAsia="仿宋"/>
          <w:sz w:val="30"/>
          <w:szCs w:val="30"/>
          <w:highlight w:val="none"/>
        </w:rPr>
        <w:t>%，决算数较2019年减少</w:t>
      </w:r>
      <w:r>
        <w:rPr>
          <w:rFonts w:hint="eastAsia" w:ascii="仿宋" w:hAnsi="仿宋" w:eastAsia="仿宋"/>
          <w:sz w:val="30"/>
          <w:szCs w:val="30"/>
          <w:highlight w:val="none"/>
          <w:lang w:val="en-US" w:eastAsia="zh-CN"/>
        </w:rPr>
        <w:t>5.17</w:t>
      </w:r>
      <w:r>
        <w:rPr>
          <w:rFonts w:hint="eastAsia" w:ascii="仿宋" w:hAnsi="仿宋" w:eastAsia="仿宋"/>
          <w:sz w:val="30"/>
          <w:szCs w:val="30"/>
          <w:highlight w:val="none"/>
        </w:rPr>
        <w:t>万元，下降</w:t>
      </w:r>
      <w:r>
        <w:rPr>
          <w:rFonts w:hint="eastAsia" w:ascii="仿宋_GB2312" w:hAnsi="仿宋" w:eastAsia="仿宋_GB2312" w:cs="仿宋"/>
          <w:color w:val="000000"/>
          <w:sz w:val="32"/>
          <w:szCs w:val="32"/>
          <w:lang w:val="en-US" w:eastAsia="zh-CN"/>
        </w:rPr>
        <w:t>22.9</w:t>
      </w:r>
      <w:r>
        <w:rPr>
          <w:rFonts w:hint="eastAsia" w:ascii="仿宋" w:hAnsi="仿宋" w:eastAsia="仿宋"/>
          <w:sz w:val="30"/>
          <w:szCs w:val="30"/>
          <w:highlight w:val="none"/>
        </w:rPr>
        <w:t>%。主要原因是：因疫情原因，减少接待其他县区</w:t>
      </w:r>
      <w:r>
        <w:rPr>
          <w:rFonts w:hint="eastAsia" w:ascii="仿宋" w:hAnsi="仿宋" w:eastAsia="仿宋"/>
          <w:sz w:val="30"/>
          <w:szCs w:val="30"/>
          <w:highlight w:val="none"/>
          <w:lang w:val="en-US" w:eastAsia="zh-CN"/>
        </w:rPr>
        <w:t>来</w:t>
      </w:r>
      <w:r>
        <w:rPr>
          <w:rFonts w:hint="eastAsia" w:ascii="仿宋" w:hAnsi="仿宋" w:eastAsia="仿宋"/>
          <w:sz w:val="30"/>
          <w:szCs w:val="30"/>
          <w:highlight w:val="none"/>
        </w:rPr>
        <w:t>我</w:t>
      </w:r>
      <w:r>
        <w:rPr>
          <w:rFonts w:hint="eastAsia" w:ascii="仿宋" w:hAnsi="仿宋" w:eastAsia="仿宋"/>
          <w:sz w:val="30"/>
          <w:szCs w:val="30"/>
          <w:highlight w:val="none"/>
          <w:lang w:val="en-US" w:eastAsia="zh-CN"/>
        </w:rPr>
        <w:t>镇</w:t>
      </w:r>
      <w:r>
        <w:rPr>
          <w:rFonts w:hint="eastAsia" w:ascii="仿宋" w:hAnsi="仿宋" w:eastAsia="仿宋"/>
          <w:sz w:val="30"/>
          <w:szCs w:val="30"/>
          <w:highlight w:val="none"/>
        </w:rPr>
        <w:t>调研费用</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其次落实过紧日子文件精神，</w:t>
      </w:r>
      <w:r>
        <w:rPr>
          <w:rFonts w:hint="eastAsia" w:ascii="仿宋_GB2312" w:hAnsi="仿宋" w:eastAsia="仿宋_GB2312" w:cs="仿宋"/>
          <w:color w:val="000000"/>
          <w:sz w:val="32"/>
          <w:szCs w:val="32"/>
          <w:highlight w:val="none"/>
          <w:lang w:val="en-US" w:eastAsia="zh-CN"/>
        </w:rPr>
        <w:t>压缩了三公经费支出</w:t>
      </w:r>
      <w:r>
        <w:rPr>
          <w:rFonts w:hint="eastAsia" w:ascii="仿宋" w:hAnsi="仿宋" w:eastAsia="仿宋"/>
          <w:sz w:val="30"/>
          <w:szCs w:val="30"/>
          <w:highlight w:val="none"/>
          <w:lang w:val="en-US" w:eastAsia="zh-CN"/>
        </w:rPr>
        <w:t>。</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六、机关运行经费支出情况说明</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本部门2020年度机关运行经费支出</w:t>
      </w:r>
      <w:r>
        <w:rPr>
          <w:rFonts w:hint="eastAsia" w:ascii="仿宋" w:hAnsi="仿宋" w:eastAsia="仿宋"/>
          <w:sz w:val="30"/>
          <w:szCs w:val="30"/>
          <w:highlight w:val="none"/>
          <w:lang w:val="en-US" w:eastAsia="zh-CN"/>
        </w:rPr>
        <w:t>12724</w:t>
      </w:r>
      <w:r>
        <w:rPr>
          <w:rFonts w:hint="eastAsia" w:ascii="仿宋" w:hAnsi="仿宋" w:eastAsia="仿宋"/>
          <w:sz w:val="30"/>
          <w:szCs w:val="30"/>
          <w:highlight w:val="none"/>
        </w:rPr>
        <w:t>万元，比2019年度增加</w:t>
      </w:r>
      <w:r>
        <w:rPr>
          <w:rFonts w:hint="eastAsia" w:ascii="仿宋" w:hAnsi="仿宋" w:eastAsia="仿宋"/>
          <w:sz w:val="30"/>
          <w:szCs w:val="30"/>
          <w:highlight w:val="none"/>
          <w:lang w:val="en-US" w:eastAsia="zh-CN"/>
        </w:rPr>
        <w:t>235.51</w:t>
      </w:r>
      <w:r>
        <w:rPr>
          <w:rFonts w:hint="eastAsia" w:ascii="仿宋" w:hAnsi="仿宋" w:eastAsia="仿宋"/>
          <w:sz w:val="30"/>
          <w:szCs w:val="30"/>
          <w:highlight w:val="none"/>
        </w:rPr>
        <w:t>万元，</w:t>
      </w:r>
      <w:r>
        <w:rPr>
          <w:rFonts w:hint="eastAsia" w:ascii="仿宋" w:hAnsi="仿宋" w:eastAsia="仿宋"/>
          <w:sz w:val="30"/>
          <w:szCs w:val="30"/>
          <w:highlight w:val="none"/>
          <w:lang w:val="en-US" w:eastAsia="zh-CN"/>
        </w:rPr>
        <w:t>下降15.62</w:t>
      </w:r>
      <w:r>
        <w:rPr>
          <w:rFonts w:hint="eastAsia" w:ascii="仿宋" w:hAnsi="仿宋" w:eastAsia="仿宋"/>
          <w:sz w:val="30"/>
          <w:szCs w:val="30"/>
          <w:highlight w:val="none"/>
        </w:rPr>
        <w:t>%，主要原因是：</w:t>
      </w:r>
      <w:r>
        <w:rPr>
          <w:rFonts w:hint="eastAsia" w:ascii="仿宋" w:hAnsi="仿宋" w:eastAsia="仿宋"/>
          <w:sz w:val="30"/>
          <w:szCs w:val="30"/>
          <w:highlight w:val="none"/>
          <w:lang w:val="en-US" w:eastAsia="zh-CN"/>
        </w:rPr>
        <w:t>落实了过紧日子文件精神，</w:t>
      </w:r>
      <w:r>
        <w:rPr>
          <w:rFonts w:hint="eastAsia" w:ascii="仿宋_GB2312" w:hAnsi="仿宋" w:eastAsia="仿宋_GB2312" w:cs="仿宋"/>
          <w:color w:val="000000"/>
          <w:sz w:val="32"/>
          <w:szCs w:val="32"/>
          <w:highlight w:val="none"/>
          <w:lang w:val="en-US" w:eastAsia="zh-CN"/>
        </w:rPr>
        <w:t>压缩了三公经费支出。</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七、政府采购支出情况说明</w:t>
      </w:r>
    </w:p>
    <w:p>
      <w:pPr>
        <w:pStyle w:val="12"/>
        <w:spacing w:line="600" w:lineRule="atLeast"/>
        <w:ind w:firstLine="600"/>
        <w:rPr>
          <w:rFonts w:hint="default" w:ascii="仿宋" w:hAnsi="仿宋" w:eastAsia="仿宋"/>
          <w:sz w:val="30"/>
          <w:szCs w:val="30"/>
          <w:highlight w:val="none"/>
          <w:lang w:val="en-US"/>
        </w:rPr>
      </w:pPr>
      <w:r>
        <w:rPr>
          <w:rFonts w:hint="eastAsia" w:ascii="仿宋" w:hAnsi="仿宋" w:eastAsia="仿宋"/>
          <w:sz w:val="30"/>
          <w:szCs w:val="30"/>
          <w:highlight w:val="none"/>
        </w:rPr>
        <w:t>本部门2020年度</w:t>
      </w:r>
      <w:r>
        <w:rPr>
          <w:rFonts w:hint="eastAsia" w:ascii="仿宋" w:hAnsi="仿宋" w:eastAsia="仿宋"/>
          <w:sz w:val="30"/>
          <w:szCs w:val="30"/>
          <w:highlight w:val="none"/>
          <w:lang w:val="en-US" w:eastAsia="zh-CN"/>
        </w:rPr>
        <w:t>未实行</w:t>
      </w:r>
      <w:r>
        <w:rPr>
          <w:rFonts w:hint="eastAsia" w:ascii="仿宋" w:hAnsi="仿宋" w:eastAsia="仿宋"/>
          <w:sz w:val="30"/>
          <w:szCs w:val="30"/>
          <w:highlight w:val="none"/>
        </w:rPr>
        <w:t>政府采购</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而是采取三方比价的形式购买货物及服务。</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八、国有资产占用情况说明。</w:t>
      </w:r>
    </w:p>
    <w:p>
      <w:pPr>
        <w:ind w:firstLine="630"/>
        <w:jc w:val="left"/>
        <w:rPr>
          <w:rFonts w:hint="default" w:ascii="仿宋" w:hAnsi="仿宋" w:eastAsia="仿宋"/>
          <w:kern w:val="0"/>
          <w:sz w:val="30"/>
          <w:szCs w:val="30"/>
          <w:highlight w:val="none"/>
          <w:lang w:val="en-US" w:eastAsia="zh-CN"/>
        </w:rPr>
      </w:pPr>
      <w:r>
        <w:rPr>
          <w:rFonts w:hint="eastAsia" w:ascii="仿宋" w:hAnsi="仿宋" w:eastAsia="仿宋"/>
          <w:kern w:val="0"/>
          <w:sz w:val="30"/>
          <w:szCs w:val="30"/>
          <w:highlight w:val="none"/>
        </w:rPr>
        <w:t>截止2020年12月31日，本部门共有</w:t>
      </w:r>
      <w:r>
        <w:rPr>
          <w:rFonts w:hint="eastAsia" w:ascii="仿宋" w:hAnsi="仿宋" w:eastAsia="仿宋"/>
          <w:kern w:val="0"/>
          <w:sz w:val="30"/>
          <w:szCs w:val="30"/>
          <w:highlight w:val="none"/>
          <w:lang w:val="en-US" w:eastAsia="zh-CN"/>
        </w:rPr>
        <w:t>公车2</w:t>
      </w:r>
      <w:r>
        <w:rPr>
          <w:rFonts w:hint="eastAsia" w:ascii="仿宋" w:hAnsi="仿宋" w:eastAsia="仿宋"/>
          <w:kern w:val="0"/>
          <w:sz w:val="30"/>
          <w:szCs w:val="30"/>
          <w:highlight w:val="none"/>
        </w:rPr>
        <w:t>辆</w:t>
      </w:r>
      <w:r>
        <w:rPr>
          <w:rFonts w:hint="eastAsia" w:ascii="仿宋" w:hAnsi="仿宋" w:eastAsia="仿宋"/>
          <w:kern w:val="0"/>
          <w:sz w:val="30"/>
          <w:szCs w:val="30"/>
          <w:highlight w:val="none"/>
          <w:lang w:eastAsia="zh-CN"/>
        </w:rPr>
        <w:t>，</w:t>
      </w:r>
      <w:r>
        <w:rPr>
          <w:rFonts w:hint="eastAsia" w:ascii="仿宋" w:hAnsi="仿宋" w:eastAsia="仿宋"/>
          <w:kern w:val="0"/>
          <w:sz w:val="30"/>
          <w:szCs w:val="30"/>
          <w:highlight w:val="none"/>
          <w:lang w:val="en-US" w:eastAsia="zh-CN"/>
        </w:rPr>
        <w:t>均为区直部门借调给我镇办公使用。</w:t>
      </w:r>
    </w:p>
    <w:p>
      <w:pPr>
        <w:ind w:firstLine="630"/>
        <w:jc w:val="left"/>
        <w:rPr>
          <w:rFonts w:ascii="黑体" w:hAnsi="黑体" w:eastAsia="黑体"/>
          <w:sz w:val="30"/>
          <w:szCs w:val="30"/>
          <w:highlight w:val="none"/>
        </w:rPr>
      </w:pPr>
      <w:r>
        <w:rPr>
          <w:rFonts w:hint="eastAsia" w:ascii="黑体" w:hAnsi="黑体" w:eastAsia="黑体"/>
          <w:sz w:val="30"/>
          <w:szCs w:val="30"/>
          <w:highlight w:val="none"/>
        </w:rPr>
        <w:t>九、预算绩效情况说明</w:t>
      </w:r>
    </w:p>
    <w:p>
      <w:pPr>
        <w:ind w:firstLine="630"/>
        <w:jc w:val="left"/>
        <w:rPr>
          <w:rFonts w:ascii="仿宋" w:hAnsi="仿宋" w:eastAsia="仿宋"/>
          <w:sz w:val="30"/>
          <w:szCs w:val="30"/>
          <w:highlight w:val="none"/>
        </w:rPr>
      </w:pPr>
      <w:r>
        <w:rPr>
          <w:rFonts w:hint="eastAsia" w:ascii="仿宋" w:hAnsi="仿宋" w:eastAsia="仿宋"/>
          <w:sz w:val="30"/>
          <w:szCs w:val="30"/>
          <w:highlight w:val="none"/>
        </w:rPr>
        <w:t>1.概述项目绩效目标完成情况。（已完成）</w:t>
      </w:r>
    </w:p>
    <w:p>
      <w:pPr>
        <w:ind w:firstLine="630"/>
        <w:jc w:val="left"/>
        <w:rPr>
          <w:rFonts w:ascii="仿宋" w:hAnsi="仿宋" w:eastAsia="仿宋"/>
          <w:sz w:val="30"/>
          <w:szCs w:val="30"/>
          <w:highlight w:val="none"/>
        </w:rPr>
      </w:pPr>
      <w:r>
        <w:rPr>
          <w:rFonts w:hint="eastAsia" w:ascii="仿宋" w:hAnsi="仿宋" w:eastAsia="仿宋"/>
          <w:sz w:val="30"/>
          <w:szCs w:val="30"/>
          <w:highlight w:val="none"/>
        </w:rPr>
        <w:t>2.概述本单位整体支出绩效目标实现情况。</w:t>
      </w:r>
    </w:p>
    <w:p>
      <w:pPr>
        <w:rPr>
          <w:rFonts w:ascii="仿宋" w:hAnsi="仿宋" w:eastAsia="仿宋"/>
          <w:sz w:val="30"/>
          <w:szCs w:val="30"/>
          <w:highlight w:val="none"/>
        </w:rPr>
      </w:pPr>
      <w:r>
        <w:rPr>
          <w:rFonts w:hint="eastAsia" w:ascii="方正仿宋简体" w:hAnsi="方正仿宋简体" w:eastAsia="方正仿宋简体" w:cs="方正仿宋简体"/>
          <w:kern w:val="1"/>
          <w:sz w:val="30"/>
          <w:szCs w:val="30"/>
          <w:highlight w:val="none"/>
        </w:rPr>
        <w:t>2020年绩效目标全面完成，取得了一定经济和社会效益。单位财务制度健全，管理规范，得到有效执行。三公经费控制未超预算。总之，通过加强绩效预算，使用财政资金得到有效使用，行政效率得到提高，促进了各项工作顺得利开展。我单位正逐步完善接待管理、财务管理等制度，使节能降耗工作逐步走上制度化、规范化的管理轨道。2020年我单位整体支出绩效自我评价结果：良好。</w:t>
      </w:r>
    </w:p>
    <w:p>
      <w:pPr>
        <w:rPr>
          <w:color w:val="FF0000"/>
        </w:rPr>
      </w:pPr>
    </w:p>
    <w:p>
      <w:pPr>
        <w:rPr>
          <w:color w:val="FF0000"/>
        </w:rPr>
      </w:pPr>
    </w:p>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spacing w:line="576" w:lineRule="exact"/>
        <w:ind w:firstLine="560" w:firstLineChars="200"/>
        <w:jc w:val="left"/>
        <w:rPr>
          <w:rFonts w:ascii="黑体" w:hAnsi="黑体" w:eastAsia="黑体"/>
          <w:sz w:val="28"/>
          <w:szCs w:val="28"/>
        </w:rPr>
      </w:pPr>
      <w:r>
        <w:rPr>
          <w:rFonts w:hint="eastAsia" w:ascii="黑体" w:hAnsi="黑体" w:eastAsia="黑体"/>
          <w:sz w:val="28"/>
          <w:szCs w:val="28"/>
        </w:rPr>
        <w:t>一、收入科目</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（一）财政拨款：指区级财政当年拨付的资金。</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（二）事业收入：指事业单位开展专业业务活动及辅助活动取得的收入。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（三）事业单位经营收入：指事业单位在专业业务活动及辅助活动之外开展非独立核算经营活动取得的收入。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（四）其他收入：指除财政拨款、事业收入、事业单位经营收入等以外的各项收入。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（六）上级补助收入：反映事业单位从主管部门和上级单位取得的非财政补助收入。</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（七）用事业基金弥补收支差额：填列事业单位用事业基金弥补2020年收支差额的数额。</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（八）上年结转和结余：填列2020年全部结转和结余的资金数，包括当年结转结余资金和历年滚存结转结余资金。</w:t>
      </w:r>
    </w:p>
    <w:p>
      <w:pPr>
        <w:spacing w:line="576" w:lineRule="exact"/>
        <w:ind w:firstLine="560" w:firstLineChars="200"/>
        <w:jc w:val="left"/>
        <w:rPr>
          <w:rFonts w:ascii="黑体" w:hAnsi="黑体" w:eastAsia="黑体"/>
          <w:sz w:val="28"/>
          <w:szCs w:val="28"/>
        </w:rPr>
      </w:pPr>
      <w:r>
        <w:rPr>
          <w:rFonts w:hint="eastAsia" w:ascii="黑体" w:hAnsi="黑体" w:eastAsia="黑体"/>
          <w:sz w:val="28"/>
          <w:szCs w:val="28"/>
        </w:rPr>
        <w:t>二、支出科目</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机关运行经费：为保障行政单位(含参照公务员法管理事业单位)运行用于购买货物和服务的各项资金，包括办公费、邮电费、取暖费、差旅费、维修（护）费、会议费、培训费、公务接待费、劳务费、委托业务费、工会经费、公务用车运行维护费、其他交通费用以及其他商品和服务支出费用。</w:t>
      </w:r>
    </w:p>
    <w:p>
      <w:pPr>
        <w:widowControl/>
        <w:spacing w:line="54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（二）三公经费；包括因公出国（境）费、公务接待费、公务用车购置费及运行维护费。</w:t>
      </w:r>
    </w:p>
    <w:p/>
    <w:p/>
    <w:p>
      <w:pPr>
        <w:pStyle w:val="12"/>
        <w:spacing w:line="600" w:lineRule="atLeast"/>
        <w:ind w:firstLine="600"/>
        <w:rPr>
          <w:rFonts w:ascii="仿宋" w:hAnsi="仿宋" w:eastAsia="仿宋"/>
          <w:sz w:val="30"/>
          <w:szCs w:val="30"/>
        </w:rPr>
      </w:pPr>
    </w:p>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pPr>
    <w:r>
      <w:fldChar w:fldCharType="begin"/>
    </w:r>
    <w:r>
      <w:rPr>
        <w:rStyle w:val="9"/>
      </w:rPr>
      <w:instrText xml:space="preserve"> PAGE  </w:instrText>
    </w:r>
    <w:r>
      <w:fldChar w:fldCharType="separate"/>
    </w:r>
    <w:r>
      <w:rPr>
        <w:rStyle w:val="9"/>
      </w:rPr>
      <w:t>- 1 -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MGE0NmVmNjJiNDQyZDA5OWIwNmY5MzEyODdlZTMifQ=="/>
  </w:docVars>
  <w:rsids>
    <w:rsidRoot w:val="007147A1"/>
    <w:rsid w:val="0016326F"/>
    <w:rsid w:val="001B2216"/>
    <w:rsid w:val="0024592C"/>
    <w:rsid w:val="00453D74"/>
    <w:rsid w:val="004B7A5B"/>
    <w:rsid w:val="00532722"/>
    <w:rsid w:val="006361C7"/>
    <w:rsid w:val="006752B9"/>
    <w:rsid w:val="007147A1"/>
    <w:rsid w:val="007C6E0F"/>
    <w:rsid w:val="008279A8"/>
    <w:rsid w:val="008A489C"/>
    <w:rsid w:val="008C1290"/>
    <w:rsid w:val="00B84CFC"/>
    <w:rsid w:val="00BE42A7"/>
    <w:rsid w:val="00DB01EE"/>
    <w:rsid w:val="00DC514E"/>
    <w:rsid w:val="00F467BE"/>
    <w:rsid w:val="0185255B"/>
    <w:rsid w:val="09524F20"/>
    <w:rsid w:val="0ECE329B"/>
    <w:rsid w:val="11C02D5E"/>
    <w:rsid w:val="160074B1"/>
    <w:rsid w:val="16D03928"/>
    <w:rsid w:val="182E79B3"/>
    <w:rsid w:val="188D7DC5"/>
    <w:rsid w:val="1F104F65"/>
    <w:rsid w:val="1FC14756"/>
    <w:rsid w:val="1FEF4E1F"/>
    <w:rsid w:val="214E28F9"/>
    <w:rsid w:val="25705853"/>
    <w:rsid w:val="258129BE"/>
    <w:rsid w:val="299B7DC6"/>
    <w:rsid w:val="2A53244F"/>
    <w:rsid w:val="33437E6D"/>
    <w:rsid w:val="34D04DC8"/>
    <w:rsid w:val="37AD49B3"/>
    <w:rsid w:val="389C3213"/>
    <w:rsid w:val="398B36FE"/>
    <w:rsid w:val="3A805D8E"/>
    <w:rsid w:val="3B174BCB"/>
    <w:rsid w:val="3EB05E36"/>
    <w:rsid w:val="40257B1E"/>
    <w:rsid w:val="41C4755E"/>
    <w:rsid w:val="44CC44F5"/>
    <w:rsid w:val="4A842484"/>
    <w:rsid w:val="4B07047B"/>
    <w:rsid w:val="51A21707"/>
    <w:rsid w:val="52445A58"/>
    <w:rsid w:val="54B607F4"/>
    <w:rsid w:val="56601047"/>
    <w:rsid w:val="57120E18"/>
    <w:rsid w:val="59D57251"/>
    <w:rsid w:val="5B490B80"/>
    <w:rsid w:val="5B6555C2"/>
    <w:rsid w:val="5BE9160C"/>
    <w:rsid w:val="5CF05758"/>
    <w:rsid w:val="5F577D10"/>
    <w:rsid w:val="620102BC"/>
    <w:rsid w:val="621C0D9D"/>
    <w:rsid w:val="62CF7543"/>
    <w:rsid w:val="6840762F"/>
    <w:rsid w:val="6ADA5C7C"/>
    <w:rsid w:val="6C6765F8"/>
    <w:rsid w:val="6CF3094C"/>
    <w:rsid w:val="741B7106"/>
    <w:rsid w:val="77DA1086"/>
    <w:rsid w:val="78D74EBD"/>
    <w:rsid w:val="7903114F"/>
    <w:rsid w:val="7D161574"/>
    <w:rsid w:val="7F43273E"/>
    <w:rsid w:val="7F6A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unhideWhenUsed/>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customStyle="1" w:styleId="10">
    <w:name w:val="页眉 Char"/>
    <w:basedOn w:val="8"/>
    <w:link w:val="6"/>
    <w:qFormat/>
    <w:uiPriority w:val="0"/>
    <w:rPr>
      <w:rFonts w:ascii="Times New Roman" w:hAnsi="Times New Roman" w:eastAsia="宋体" w:cs="Times New Roman"/>
      <w:sz w:val="18"/>
      <w:szCs w:val="20"/>
    </w:rPr>
  </w:style>
  <w:style w:type="character" w:customStyle="1" w:styleId="11">
    <w:name w:val="页脚 Char"/>
    <w:basedOn w:val="8"/>
    <w:link w:val="5"/>
    <w:qFormat/>
    <w:uiPriority w:val="0"/>
    <w:rPr>
      <w:rFonts w:ascii="Times New Roman" w:hAnsi="Times New Roman" w:eastAsia="宋体" w:cs="Times New Roman"/>
      <w:sz w:val="18"/>
      <w:szCs w:val="20"/>
    </w:rPr>
  </w:style>
  <w:style w:type="paragraph" w:customStyle="1" w:styleId="12">
    <w:name w:val="p0"/>
    <w:basedOn w:val="1"/>
    <w:qFormat/>
    <w:uiPriority w:val="0"/>
    <w:pPr>
      <w:widowControl/>
    </w:pPr>
    <w:rPr>
      <w:kern w:val="0"/>
      <w:szCs w:val="21"/>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paragraph" w:customStyle="1" w:styleId="14">
    <w:name w:val="正文首行缩进 21"/>
    <w:basedOn w:val="1"/>
    <w:qFormat/>
    <w:uiPriority w:val="0"/>
    <w:pPr>
      <w:ind w:left="420" w:leftChars="200" w:firstLine="21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XiTongTianDi.Com</Company>
  <Pages>12</Pages>
  <Words>4405</Words>
  <Characters>4630</Characters>
  <Lines>43</Lines>
  <Paragraphs>12</Paragraphs>
  <TotalTime>1</TotalTime>
  <ScaleCrop>false</ScaleCrop>
  <LinksUpToDate>false</LinksUpToDate>
  <CharactersWithSpaces>4712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2020-09-17T03:10:00Z</dcterms:created>
  <dc:creator>XiTongTianDi</dc:creator>
  <cp:lastModifiedBy>年轮</cp:lastModifiedBy>
  <dcterms:modified xsi:type="dcterms:W3CDTF">2022-09-20T08:03:53Z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286550036910432293F919EC56EE3A4D</vt:lpwstr>
  </property>
</Properties>
</file>