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98E" w:rsidRDefault="00220CD5">
      <w:pPr>
        <w:spacing w:line="600" w:lineRule="exact"/>
        <w:jc w:val="center"/>
        <w:rPr>
          <w:rFonts w:ascii="宋体" w:hAnsi="宋体" w:cs="宋体"/>
          <w:b/>
          <w:bCs/>
          <w:sz w:val="44"/>
          <w:szCs w:val="36"/>
        </w:rPr>
      </w:pPr>
      <w:r>
        <w:rPr>
          <w:rFonts w:ascii="宋体" w:hAnsi="宋体" w:cs="宋体" w:hint="eastAsia"/>
          <w:b/>
          <w:bCs/>
          <w:sz w:val="44"/>
          <w:szCs w:val="36"/>
        </w:rPr>
        <w:t>青山湖区市场监督管理局</w:t>
      </w:r>
    </w:p>
    <w:p w:rsidR="00220CD5" w:rsidRDefault="0048098E">
      <w:pPr>
        <w:spacing w:line="600" w:lineRule="exact"/>
        <w:jc w:val="center"/>
        <w:rPr>
          <w:rFonts w:ascii="宋体" w:hAnsi="宋体" w:cs="宋体"/>
          <w:b/>
          <w:bCs/>
          <w:sz w:val="44"/>
          <w:szCs w:val="36"/>
        </w:rPr>
      </w:pPr>
      <w:r w:rsidRPr="0048098E">
        <w:rPr>
          <w:rFonts w:ascii="宋体" w:hAnsi="宋体" w:cs="宋体" w:hint="eastAsia"/>
          <w:b/>
          <w:bCs/>
          <w:sz w:val="44"/>
          <w:szCs w:val="36"/>
        </w:rPr>
        <w:t>市场监督综合执法大队</w:t>
      </w:r>
    </w:p>
    <w:p w:rsidR="00057927" w:rsidRDefault="00057927">
      <w:pPr>
        <w:spacing w:line="600" w:lineRule="exact"/>
        <w:jc w:val="center"/>
        <w:rPr>
          <w:rFonts w:ascii="宋体" w:hAnsi="宋体" w:cs="宋体"/>
          <w:b/>
          <w:bCs/>
          <w:sz w:val="44"/>
          <w:szCs w:val="36"/>
        </w:rPr>
      </w:pPr>
      <w:r>
        <w:rPr>
          <w:rFonts w:ascii="宋体" w:hAnsi="宋体" w:cs="宋体" w:hint="eastAsia"/>
          <w:b/>
          <w:bCs/>
          <w:sz w:val="44"/>
          <w:szCs w:val="36"/>
        </w:rPr>
        <w:t>2020年度部门决算</w:t>
      </w:r>
    </w:p>
    <w:p w:rsidR="00057927" w:rsidRDefault="00057927">
      <w:pPr>
        <w:spacing w:line="600" w:lineRule="exact"/>
        <w:jc w:val="center"/>
        <w:rPr>
          <w:rFonts w:ascii="黑体" w:eastAsia="黑体"/>
          <w:sz w:val="44"/>
          <w:szCs w:val="36"/>
        </w:rPr>
      </w:pPr>
    </w:p>
    <w:p w:rsidR="00057927" w:rsidRDefault="00057927">
      <w:pPr>
        <w:spacing w:line="600" w:lineRule="exact"/>
        <w:jc w:val="center"/>
        <w:rPr>
          <w:rFonts w:ascii="宋体" w:hAnsi="宋体" w:cs="宋体"/>
          <w:b/>
          <w:bCs/>
          <w:sz w:val="40"/>
          <w:szCs w:val="36"/>
        </w:rPr>
      </w:pPr>
      <w:r>
        <w:rPr>
          <w:rFonts w:ascii="宋体" w:hAnsi="宋体" w:cs="宋体" w:hint="eastAsia"/>
          <w:b/>
          <w:bCs/>
          <w:sz w:val="40"/>
          <w:szCs w:val="36"/>
        </w:rPr>
        <w:t>目    录</w:t>
      </w:r>
    </w:p>
    <w:p w:rsidR="00057927" w:rsidRDefault="00057927">
      <w:pPr>
        <w:widowControl/>
        <w:spacing w:line="600" w:lineRule="exact"/>
        <w:ind w:firstLine="640"/>
        <w:jc w:val="left"/>
        <w:rPr>
          <w:rFonts w:ascii="仿宋_GB2312" w:eastAsia="仿宋_GB2312"/>
          <w:sz w:val="32"/>
          <w:szCs w:val="30"/>
        </w:rPr>
      </w:pPr>
    </w:p>
    <w:p w:rsidR="00057927" w:rsidRDefault="00057927">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 xml:space="preserve">第一部分  </w:t>
      </w:r>
      <w:r w:rsidR="00220CD5">
        <w:rPr>
          <w:rFonts w:ascii="方正小标宋简体" w:eastAsia="方正小标宋简体" w:hAnsi="黑体" w:hint="eastAsia"/>
          <w:sz w:val="32"/>
          <w:szCs w:val="32"/>
        </w:rPr>
        <w:t>青山湖区市场监督管理局</w:t>
      </w:r>
      <w:r w:rsidR="0048098E" w:rsidRPr="0048098E">
        <w:rPr>
          <w:rFonts w:ascii="方正小标宋简体" w:eastAsia="方正小标宋简体" w:hAnsi="黑体" w:hint="eastAsia"/>
          <w:sz w:val="32"/>
          <w:szCs w:val="32"/>
        </w:rPr>
        <w:t>市场监督综合执法大队</w:t>
      </w:r>
      <w:r>
        <w:rPr>
          <w:rFonts w:ascii="黑体" w:eastAsia="黑体" w:hAnsi="黑体" w:hint="eastAsia"/>
          <w:b/>
          <w:sz w:val="32"/>
          <w:szCs w:val="32"/>
        </w:rPr>
        <w:t>概况</w:t>
      </w:r>
    </w:p>
    <w:p w:rsidR="00057927" w:rsidRDefault="00057927">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二、部门基本情况</w:t>
      </w:r>
    </w:p>
    <w:p w:rsidR="00057927" w:rsidRDefault="00057927">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  2020年度部门决算表</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三、支出决算表</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四、财政拨款收入支出决算总表</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五、一般公共预算财政拨款支出决算表</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六、一般公共预算财政拨款基本支出决算表</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七、一般公共预算财政拨款“三公”经费支出决算</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057927" w:rsidRDefault="00057927">
      <w:pPr>
        <w:widowControl/>
        <w:numPr>
          <w:ilvl w:val="0"/>
          <w:numId w:val="1"/>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政府性基金预算财政拨款收入支出决算表</w:t>
      </w:r>
    </w:p>
    <w:p w:rsidR="00057927" w:rsidRDefault="00057927">
      <w:pPr>
        <w:widowControl/>
        <w:numPr>
          <w:ilvl w:val="0"/>
          <w:numId w:val="1"/>
        </w:numPr>
        <w:spacing w:line="600" w:lineRule="exact"/>
        <w:jc w:val="left"/>
        <w:rPr>
          <w:rFonts w:ascii="仿宋" w:eastAsia="仿宋" w:hAnsi="仿宋" w:cs="宋体"/>
          <w:kern w:val="0"/>
          <w:sz w:val="32"/>
          <w:szCs w:val="32"/>
        </w:rPr>
      </w:pPr>
      <w:r>
        <w:rPr>
          <w:rFonts w:ascii="仿宋" w:eastAsia="仿宋" w:hAnsi="仿宋" w:cs="宋体" w:hint="eastAsia"/>
          <w:kern w:val="0"/>
          <w:sz w:val="32"/>
          <w:szCs w:val="32"/>
        </w:rPr>
        <w:t>国有资本经营预算财政拨款支出决算表</w:t>
      </w:r>
    </w:p>
    <w:p w:rsidR="00057927" w:rsidRDefault="00057927">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十、国有资产占用情况表</w:t>
      </w:r>
    </w:p>
    <w:p w:rsidR="00057927" w:rsidRDefault="00057927">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  2020年度部门决算情况说明</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一、收入决算情况说明</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五、一般公共预算财政拨款“三公”经费支出决算</w:t>
      </w:r>
    </w:p>
    <w:p w:rsidR="00057927" w:rsidRDefault="00057927">
      <w:pPr>
        <w:widowControl/>
        <w:spacing w:line="600" w:lineRule="exact"/>
        <w:jc w:val="left"/>
        <w:rPr>
          <w:rFonts w:ascii="仿宋" w:eastAsia="仿宋" w:hAnsi="仿宋"/>
          <w:sz w:val="32"/>
          <w:szCs w:val="30"/>
        </w:rPr>
      </w:pPr>
      <w:r>
        <w:rPr>
          <w:rFonts w:ascii="仿宋" w:eastAsia="仿宋" w:hAnsi="仿宋" w:hint="eastAsia"/>
          <w:sz w:val="32"/>
          <w:szCs w:val="30"/>
        </w:rPr>
        <w:t xml:space="preserve">    情况说明</w:t>
      </w:r>
    </w:p>
    <w:p w:rsidR="00057927" w:rsidRDefault="00057927">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057927" w:rsidRDefault="00057927">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七、政府采购支出情况说明</w:t>
      </w:r>
    </w:p>
    <w:p w:rsidR="00057927" w:rsidRDefault="00057927">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八、国有资产占用情况说明</w:t>
      </w:r>
    </w:p>
    <w:p w:rsidR="00057927" w:rsidRDefault="00057927">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九、预算绩效情况说明</w:t>
      </w:r>
    </w:p>
    <w:p w:rsidR="008E5313" w:rsidRDefault="008E5313" w:rsidP="008E5313">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  名词解释</w:t>
      </w:r>
    </w:p>
    <w:p w:rsidR="008E5313" w:rsidRDefault="008E5313">
      <w:pPr>
        <w:widowControl/>
        <w:spacing w:line="600" w:lineRule="exact"/>
        <w:ind w:firstLine="640"/>
        <w:jc w:val="left"/>
        <w:rPr>
          <w:rFonts w:ascii="仿宋" w:eastAsia="仿宋" w:hAnsi="仿宋"/>
          <w:sz w:val="32"/>
          <w:szCs w:val="30"/>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057927" w:rsidRDefault="00057927">
      <w:pPr>
        <w:ind w:firstLine="630"/>
        <w:jc w:val="center"/>
        <w:rPr>
          <w:rFonts w:ascii="宋体" w:hAnsi="宋体"/>
          <w:b/>
          <w:sz w:val="36"/>
          <w:szCs w:val="36"/>
        </w:rPr>
      </w:pPr>
    </w:p>
    <w:p w:rsidR="00220CD5" w:rsidRDefault="00220CD5" w:rsidP="008E5313">
      <w:pPr>
        <w:widowControl/>
        <w:spacing w:line="580" w:lineRule="exact"/>
        <w:rPr>
          <w:rFonts w:ascii="宋体" w:hAnsi="宋体"/>
          <w:b/>
          <w:sz w:val="32"/>
          <w:szCs w:val="30"/>
        </w:rPr>
      </w:pPr>
    </w:p>
    <w:p w:rsidR="00057927" w:rsidRDefault="00057927">
      <w:pPr>
        <w:widowControl/>
        <w:spacing w:line="580" w:lineRule="exact"/>
        <w:jc w:val="center"/>
        <w:rPr>
          <w:rFonts w:ascii="宋体" w:hAnsi="宋体"/>
          <w:b/>
          <w:sz w:val="32"/>
          <w:szCs w:val="30"/>
        </w:rPr>
      </w:pPr>
      <w:r>
        <w:rPr>
          <w:rFonts w:ascii="宋体" w:hAnsi="宋体" w:hint="eastAsia"/>
          <w:b/>
          <w:sz w:val="32"/>
          <w:szCs w:val="30"/>
        </w:rPr>
        <w:lastRenderedPageBreak/>
        <w:t xml:space="preserve">第一部分  </w:t>
      </w:r>
      <w:r w:rsidR="00220CD5">
        <w:rPr>
          <w:rFonts w:ascii="方正小标宋简体" w:eastAsia="方正小标宋简体" w:hAnsi="黑体" w:hint="eastAsia"/>
          <w:sz w:val="32"/>
          <w:szCs w:val="32"/>
        </w:rPr>
        <w:t>青山湖区市场监督管理局</w:t>
      </w:r>
      <w:r w:rsidR="0048098E" w:rsidRPr="0048098E">
        <w:rPr>
          <w:rFonts w:ascii="方正小标宋简体" w:eastAsia="方正小标宋简体" w:hAnsi="黑体" w:hint="eastAsia"/>
          <w:sz w:val="32"/>
          <w:szCs w:val="32"/>
        </w:rPr>
        <w:t>市场监督综合执法大队</w:t>
      </w:r>
      <w:r>
        <w:rPr>
          <w:rFonts w:ascii="宋体" w:hAnsi="宋体" w:hint="eastAsia"/>
          <w:b/>
          <w:sz w:val="32"/>
          <w:szCs w:val="30"/>
        </w:rPr>
        <w:t>概况</w:t>
      </w:r>
    </w:p>
    <w:p w:rsidR="00057927" w:rsidRDefault="00057927">
      <w:pPr>
        <w:ind w:firstLine="630"/>
        <w:jc w:val="center"/>
        <w:rPr>
          <w:sz w:val="32"/>
          <w:szCs w:val="32"/>
        </w:rPr>
      </w:pPr>
    </w:p>
    <w:p w:rsidR="00057927" w:rsidRDefault="00057927">
      <w:pPr>
        <w:ind w:firstLine="630"/>
        <w:jc w:val="left"/>
        <w:rPr>
          <w:rFonts w:ascii="黑体" w:eastAsia="黑体" w:hAnsi="黑体"/>
          <w:sz w:val="30"/>
          <w:szCs w:val="30"/>
        </w:rPr>
      </w:pPr>
      <w:r>
        <w:rPr>
          <w:rFonts w:ascii="黑体" w:eastAsia="黑体" w:hAnsi="黑体" w:hint="eastAsia"/>
          <w:sz w:val="30"/>
          <w:szCs w:val="30"/>
        </w:rPr>
        <w:t>一、部门主要职能</w:t>
      </w:r>
    </w:p>
    <w:p w:rsidR="0048098E" w:rsidRPr="0048098E" w:rsidRDefault="0048098E" w:rsidP="0048098E">
      <w:pPr>
        <w:ind w:firstLine="630"/>
        <w:jc w:val="left"/>
        <w:rPr>
          <w:rFonts w:ascii="仿宋" w:eastAsia="仿宋" w:hAnsi="仿宋"/>
          <w:sz w:val="30"/>
          <w:szCs w:val="30"/>
        </w:rPr>
      </w:pPr>
      <w:r w:rsidRPr="0048098E">
        <w:rPr>
          <w:rFonts w:ascii="仿宋" w:eastAsia="仿宋" w:hAnsi="仿宋" w:hint="eastAsia"/>
          <w:sz w:val="30"/>
          <w:szCs w:val="30"/>
        </w:rPr>
        <w:t>1．主要负责辖区内食品生产、流通和餐饮消费环节食品安全监管，对食品添加剂等食品相关产品、保健食品、化妆品的生产经营进行安全监督检查；建立不安全食品召回制度和食品安全信用档案；负责开展食品安全监督稽查，指导和组织查处违反食品安全相关法律法规的行为，对食品安全违法案件进行查处；组织实施食品安全专项整治；负责本区食品安全风险监测和风险评估，以及食品和化妆品的抽样送检工作；指导和参与重大活动食品安全保障工作；负责本区食品污染和食源性疾患等食品安全突发事件的报告、调查和处理，开展应急处置和食品安全应急演练；开展有关法律法规宣传，负责本区食品从业人员食品安全法律法规和专业知识的培训；承办上级交办和部门移送案件。指导基层开展食品和化妆品安全监管工作。</w:t>
      </w:r>
    </w:p>
    <w:p w:rsidR="0048098E" w:rsidRPr="0048098E" w:rsidRDefault="0048098E" w:rsidP="0048098E">
      <w:pPr>
        <w:ind w:firstLine="630"/>
        <w:jc w:val="left"/>
        <w:rPr>
          <w:rFonts w:ascii="仿宋" w:eastAsia="仿宋" w:hAnsi="仿宋"/>
          <w:sz w:val="30"/>
          <w:szCs w:val="30"/>
        </w:rPr>
      </w:pPr>
      <w:r>
        <w:rPr>
          <w:rFonts w:ascii="仿宋" w:eastAsia="仿宋" w:hAnsi="仿宋" w:hint="eastAsia"/>
          <w:sz w:val="30"/>
          <w:szCs w:val="30"/>
        </w:rPr>
        <w:t>2.</w:t>
      </w:r>
      <w:r w:rsidRPr="0048098E">
        <w:rPr>
          <w:rFonts w:ascii="仿宋" w:eastAsia="仿宋" w:hAnsi="仿宋" w:hint="eastAsia"/>
          <w:sz w:val="30"/>
          <w:szCs w:val="30"/>
        </w:rPr>
        <w:t>承担产品（商品）质量监督抽查工作；承担产品（商品）质量安全强制检验和风险监控工作；指导和协调产品（商品）质量的行业、地方和专业性监督；负责纤维质量监督检查工作；承担有关产品（商品）质量安全专项整治工作；组织和参与有关产品质量事故的调查；承担产品防伪的监督管理工作；监督管理产品质量仲裁检验工作；依法监督管理质量检验机构及相关社会中</w:t>
      </w:r>
      <w:r w:rsidRPr="0048098E">
        <w:rPr>
          <w:rFonts w:ascii="仿宋" w:eastAsia="仿宋" w:hAnsi="仿宋" w:hint="eastAsia"/>
          <w:sz w:val="30"/>
          <w:szCs w:val="30"/>
        </w:rPr>
        <w:lastRenderedPageBreak/>
        <w:t>介组织。</w:t>
      </w:r>
    </w:p>
    <w:p w:rsidR="00057927" w:rsidRDefault="00057927">
      <w:pPr>
        <w:ind w:firstLine="630"/>
        <w:jc w:val="left"/>
        <w:rPr>
          <w:rFonts w:ascii="黑体" w:eastAsia="黑体" w:hAnsi="黑体"/>
          <w:sz w:val="30"/>
          <w:szCs w:val="30"/>
        </w:rPr>
      </w:pPr>
      <w:r>
        <w:rPr>
          <w:rFonts w:ascii="黑体" w:eastAsia="黑体" w:hAnsi="黑体" w:hint="eastAsia"/>
          <w:sz w:val="30"/>
          <w:szCs w:val="30"/>
        </w:rPr>
        <w:t>二、部门基本情况</w:t>
      </w:r>
    </w:p>
    <w:p w:rsidR="00057927" w:rsidRDefault="00057927" w:rsidP="003669FA">
      <w:pPr>
        <w:ind w:firstLine="630"/>
        <w:jc w:val="left"/>
        <w:rPr>
          <w:rFonts w:ascii="仿宋" w:eastAsia="仿宋" w:hAnsi="仿宋"/>
          <w:sz w:val="30"/>
          <w:szCs w:val="30"/>
        </w:rPr>
      </w:pPr>
      <w:r>
        <w:rPr>
          <w:rFonts w:ascii="仿宋" w:eastAsia="仿宋" w:hAnsi="仿宋" w:hint="eastAsia"/>
          <w:sz w:val="30"/>
          <w:szCs w:val="30"/>
        </w:rPr>
        <w:t>纳入本套部门决算汇编范围的单位共</w:t>
      </w:r>
      <w:r w:rsidR="0048098E">
        <w:rPr>
          <w:rFonts w:ascii="仿宋" w:eastAsia="仿宋" w:hAnsi="仿宋" w:hint="eastAsia"/>
          <w:sz w:val="30"/>
          <w:szCs w:val="30"/>
        </w:rPr>
        <w:t>1</w:t>
      </w:r>
      <w:r>
        <w:rPr>
          <w:rFonts w:ascii="仿宋" w:eastAsia="仿宋" w:hAnsi="仿宋" w:hint="eastAsia"/>
          <w:sz w:val="30"/>
          <w:szCs w:val="30"/>
        </w:rPr>
        <w:t>个，包括：</w:t>
      </w:r>
      <w:r w:rsidR="003669FA" w:rsidRPr="003669FA">
        <w:rPr>
          <w:rFonts w:ascii="仿宋" w:eastAsia="仿宋" w:hAnsi="仿宋" w:hint="eastAsia"/>
          <w:sz w:val="30"/>
          <w:szCs w:val="30"/>
        </w:rPr>
        <w:t>青山湖区市场监督管理局市场监督综合执法大队。</w:t>
      </w:r>
    </w:p>
    <w:p w:rsidR="00057927" w:rsidRPr="00D16E8D" w:rsidRDefault="00057927" w:rsidP="00D16E8D">
      <w:pPr>
        <w:ind w:firstLine="630"/>
        <w:jc w:val="left"/>
        <w:rPr>
          <w:rFonts w:ascii="仿宋" w:eastAsia="仿宋" w:hAnsi="仿宋"/>
          <w:sz w:val="30"/>
          <w:szCs w:val="30"/>
        </w:rPr>
      </w:pPr>
      <w:r>
        <w:rPr>
          <w:rFonts w:ascii="仿宋" w:eastAsia="仿宋" w:hAnsi="仿宋" w:hint="eastAsia"/>
          <w:sz w:val="30"/>
          <w:szCs w:val="30"/>
        </w:rPr>
        <w:t>本部门2020年年末实有人数</w:t>
      </w:r>
      <w:r w:rsidR="0048098E">
        <w:rPr>
          <w:rFonts w:ascii="仿宋" w:eastAsia="仿宋" w:hAnsi="仿宋" w:hint="eastAsia"/>
          <w:sz w:val="30"/>
          <w:szCs w:val="30"/>
        </w:rPr>
        <w:t>32</w:t>
      </w:r>
      <w:r>
        <w:rPr>
          <w:rFonts w:ascii="仿宋" w:eastAsia="仿宋" w:hAnsi="仿宋" w:hint="eastAsia"/>
          <w:sz w:val="30"/>
          <w:szCs w:val="30"/>
        </w:rPr>
        <w:t>人，其中在职人员</w:t>
      </w:r>
      <w:r w:rsidR="0048098E">
        <w:rPr>
          <w:rFonts w:ascii="仿宋" w:eastAsia="仿宋" w:hAnsi="仿宋" w:hint="eastAsia"/>
          <w:sz w:val="30"/>
          <w:szCs w:val="30"/>
        </w:rPr>
        <w:t>31</w:t>
      </w:r>
      <w:r>
        <w:rPr>
          <w:rFonts w:ascii="仿宋" w:eastAsia="仿宋" w:hAnsi="仿宋" w:hint="eastAsia"/>
          <w:sz w:val="30"/>
          <w:szCs w:val="30"/>
        </w:rPr>
        <w:t>人，退休人员</w:t>
      </w:r>
      <w:r w:rsidR="0048098E">
        <w:rPr>
          <w:rFonts w:ascii="仿宋" w:eastAsia="仿宋" w:hAnsi="仿宋" w:hint="eastAsia"/>
          <w:sz w:val="30"/>
          <w:szCs w:val="30"/>
        </w:rPr>
        <w:t>1</w:t>
      </w:r>
      <w:r w:rsidR="00CB175A">
        <w:rPr>
          <w:rFonts w:ascii="仿宋" w:eastAsia="仿宋" w:hAnsi="仿宋" w:hint="eastAsia"/>
          <w:sz w:val="30"/>
          <w:szCs w:val="30"/>
        </w:rPr>
        <w:t>人</w:t>
      </w:r>
      <w:r>
        <w:rPr>
          <w:rFonts w:ascii="仿宋" w:eastAsia="仿宋" w:hAnsi="仿宋" w:hint="eastAsia"/>
          <w:sz w:val="30"/>
          <w:szCs w:val="30"/>
        </w:rPr>
        <w:t>。</w:t>
      </w:r>
    </w:p>
    <w:p w:rsidR="001C2683" w:rsidRDefault="001C2683">
      <w:pPr>
        <w:widowControl/>
        <w:spacing w:line="600" w:lineRule="exact"/>
        <w:ind w:firstLine="640"/>
        <w:jc w:val="center"/>
        <w:rPr>
          <w:rFonts w:ascii="宋体" w:hAnsi="宋体"/>
          <w:b/>
          <w:sz w:val="32"/>
          <w:szCs w:val="32"/>
        </w:rPr>
      </w:pPr>
    </w:p>
    <w:p w:rsidR="001C4AD2" w:rsidRDefault="001C4AD2">
      <w:pPr>
        <w:widowControl/>
        <w:jc w:val="left"/>
        <w:rPr>
          <w:rFonts w:ascii="宋体" w:hAnsi="宋体"/>
          <w:b/>
          <w:sz w:val="32"/>
          <w:szCs w:val="32"/>
        </w:rPr>
      </w:pPr>
      <w:r>
        <w:rPr>
          <w:rFonts w:ascii="宋体" w:hAnsi="宋体"/>
          <w:b/>
          <w:sz w:val="32"/>
          <w:szCs w:val="32"/>
        </w:rPr>
        <w:br w:type="page"/>
      </w:r>
    </w:p>
    <w:p w:rsidR="00057927" w:rsidRDefault="00057927">
      <w:pPr>
        <w:widowControl/>
        <w:spacing w:line="600" w:lineRule="exact"/>
        <w:ind w:firstLine="640"/>
        <w:jc w:val="center"/>
        <w:rPr>
          <w:rFonts w:ascii="宋体" w:hAnsi="宋体"/>
          <w:b/>
          <w:sz w:val="32"/>
          <w:szCs w:val="32"/>
        </w:rPr>
      </w:pPr>
      <w:r>
        <w:rPr>
          <w:rFonts w:ascii="宋体" w:hAnsi="宋体" w:hint="eastAsia"/>
          <w:b/>
          <w:sz w:val="32"/>
          <w:szCs w:val="32"/>
        </w:rPr>
        <w:lastRenderedPageBreak/>
        <w:t>第二部分  2020年度部门决算表</w:t>
      </w:r>
    </w:p>
    <w:p w:rsidR="00057927" w:rsidRPr="001C4AD2" w:rsidRDefault="00057927">
      <w:pPr>
        <w:widowControl/>
        <w:spacing w:line="600" w:lineRule="exact"/>
        <w:ind w:firstLine="640"/>
        <w:jc w:val="center"/>
        <w:rPr>
          <w:rFonts w:ascii="宋体" w:hAnsi="宋体"/>
          <w:b/>
          <w:sz w:val="32"/>
          <w:szCs w:val="32"/>
        </w:rPr>
      </w:pPr>
    </w:p>
    <w:p w:rsidR="00057927" w:rsidRPr="00186809" w:rsidRDefault="001C4AD2">
      <w:pPr>
        <w:widowControl/>
        <w:spacing w:line="600" w:lineRule="exact"/>
        <w:ind w:firstLine="640"/>
        <w:jc w:val="center"/>
        <w:rPr>
          <w:rFonts w:ascii="宋体" w:hAnsi="宋体"/>
          <w:b/>
          <w:sz w:val="32"/>
          <w:szCs w:val="32"/>
        </w:rPr>
      </w:pPr>
      <w:r>
        <w:rPr>
          <w:rFonts w:ascii="宋体" w:hAnsi="宋体"/>
          <w:b/>
          <w:noProof/>
          <w:sz w:val="32"/>
          <w:szCs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190500</wp:posOffset>
            </wp:positionV>
            <wp:extent cx="5274310" cy="6381750"/>
            <wp:effectExtent l="19050" t="0" r="254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6381750"/>
                    </a:xfrm>
                    <a:prstGeom prst="rect">
                      <a:avLst/>
                    </a:prstGeom>
                    <a:noFill/>
                    <a:ln w="9525">
                      <a:noFill/>
                      <a:miter lim="800000"/>
                      <a:headEnd/>
                      <a:tailEnd/>
                    </a:ln>
                  </pic:spPr>
                </pic:pic>
              </a:graphicData>
            </a:graphic>
          </wp:anchor>
        </w:drawing>
      </w:r>
    </w:p>
    <w:p w:rsidR="00057927" w:rsidRDefault="00057927">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Pr="00186809"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Pr="00D16E8D"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Default="00CB175A">
      <w:pPr>
        <w:widowControl/>
        <w:spacing w:line="600" w:lineRule="exact"/>
        <w:ind w:firstLine="640"/>
        <w:jc w:val="center"/>
        <w:rPr>
          <w:rFonts w:ascii="宋体" w:hAnsi="宋体"/>
          <w:b/>
          <w:sz w:val="32"/>
          <w:szCs w:val="32"/>
        </w:rPr>
      </w:pPr>
    </w:p>
    <w:p w:rsidR="00CB175A" w:rsidRPr="00186809" w:rsidRDefault="00CB175A">
      <w:pPr>
        <w:widowControl/>
        <w:spacing w:line="600" w:lineRule="exact"/>
        <w:ind w:firstLine="640"/>
        <w:jc w:val="center"/>
        <w:rPr>
          <w:rFonts w:ascii="宋体" w:hAnsi="宋体"/>
          <w:b/>
          <w:sz w:val="32"/>
          <w:szCs w:val="32"/>
        </w:rPr>
      </w:pPr>
    </w:p>
    <w:p w:rsidR="001C4AD2" w:rsidRDefault="00D16E8D">
      <w:pPr>
        <w:widowControl/>
        <w:jc w:val="left"/>
        <w:rPr>
          <w:rFonts w:ascii="宋体" w:hAnsi="宋体" w:hint="eastAsia"/>
          <w:b/>
          <w:sz w:val="32"/>
          <w:szCs w:val="32"/>
        </w:rPr>
      </w:pPr>
      <w:r>
        <w:rPr>
          <w:rFonts w:ascii="宋体" w:hAnsi="宋体"/>
          <w:b/>
          <w:sz w:val="32"/>
          <w:szCs w:val="32"/>
        </w:rPr>
        <w:br w:type="page"/>
      </w:r>
      <w:r w:rsidR="001C4AD2" w:rsidRPr="001C4AD2">
        <w:rPr>
          <w:szCs w:val="32"/>
        </w:rPr>
        <w:lastRenderedPageBreak/>
        <w:drawing>
          <wp:anchor distT="0" distB="0" distL="114300" distR="114300" simplePos="0" relativeHeight="251660288" behindDoc="0" locked="0" layoutInCell="1" allowOverlap="1">
            <wp:simplePos x="0" y="0"/>
            <wp:positionH relativeFrom="column">
              <wp:posOffset>-152401</wp:posOffset>
            </wp:positionH>
            <wp:positionV relativeFrom="paragraph">
              <wp:posOffset>4333875</wp:posOffset>
            </wp:positionV>
            <wp:extent cx="6067425" cy="3181350"/>
            <wp:effectExtent l="19050" t="0" r="9525" b="0"/>
            <wp:wrapNone/>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67425" cy="3181350"/>
                    </a:xfrm>
                    <a:prstGeom prst="rect">
                      <a:avLst/>
                    </a:prstGeom>
                    <a:noFill/>
                    <a:ln w="9525">
                      <a:noFill/>
                      <a:miter lim="800000"/>
                      <a:headEnd/>
                      <a:tailEnd/>
                    </a:ln>
                  </pic:spPr>
                </pic:pic>
              </a:graphicData>
            </a:graphic>
          </wp:anchor>
        </w:drawing>
      </w:r>
      <w:r w:rsidR="001C4AD2" w:rsidRPr="001C4AD2">
        <w:rPr>
          <w:szCs w:val="32"/>
        </w:rPr>
        <w:drawing>
          <wp:anchor distT="0" distB="0" distL="114300" distR="114300" simplePos="0" relativeHeight="251659264" behindDoc="0" locked="0" layoutInCell="1" allowOverlap="1">
            <wp:simplePos x="0" y="0"/>
            <wp:positionH relativeFrom="column">
              <wp:posOffset>-152400</wp:posOffset>
            </wp:positionH>
            <wp:positionV relativeFrom="paragraph">
              <wp:posOffset>533400</wp:posOffset>
            </wp:positionV>
            <wp:extent cx="5819775" cy="3333750"/>
            <wp:effectExtent l="19050" t="0" r="9525" b="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19775" cy="3333750"/>
                    </a:xfrm>
                    <a:prstGeom prst="rect">
                      <a:avLst/>
                    </a:prstGeom>
                    <a:noFill/>
                    <a:ln w="9525">
                      <a:noFill/>
                      <a:miter lim="800000"/>
                      <a:headEnd/>
                      <a:tailEnd/>
                    </a:ln>
                  </pic:spPr>
                </pic:pic>
              </a:graphicData>
            </a:graphic>
          </wp:anchor>
        </w:drawing>
      </w:r>
      <w:r>
        <w:rPr>
          <w:rFonts w:ascii="宋体" w:hAnsi="宋体"/>
          <w:b/>
          <w:sz w:val="32"/>
          <w:szCs w:val="32"/>
        </w:rPr>
        <w:br w:type="page"/>
      </w:r>
      <w:r w:rsidR="001C4AD2" w:rsidRPr="001C4AD2">
        <w:rPr>
          <w:szCs w:val="32"/>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66675</wp:posOffset>
            </wp:positionV>
            <wp:extent cx="5274310" cy="7286625"/>
            <wp:effectExtent l="19050" t="0" r="2540" b="0"/>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274310" cy="7286625"/>
                    </a:xfrm>
                    <a:prstGeom prst="rect">
                      <a:avLst/>
                    </a:prstGeom>
                    <a:noFill/>
                    <a:ln w="9525">
                      <a:noFill/>
                      <a:miter lim="800000"/>
                      <a:headEnd/>
                      <a:tailEnd/>
                    </a:ln>
                  </pic:spPr>
                </pic:pic>
              </a:graphicData>
            </a:graphic>
          </wp:anchor>
        </w:drawing>
      </w:r>
      <w:r>
        <w:rPr>
          <w:rFonts w:ascii="宋体" w:hAnsi="宋体"/>
          <w:b/>
          <w:sz w:val="32"/>
          <w:szCs w:val="32"/>
        </w:rPr>
        <w:br w:type="page"/>
      </w:r>
      <w:r w:rsidR="001C4AD2" w:rsidRPr="001C4AD2">
        <w:rPr>
          <w:szCs w:val="32"/>
        </w:rPr>
        <w:lastRenderedPageBreak/>
        <w:drawing>
          <wp:anchor distT="0" distB="0" distL="114300" distR="114300" simplePos="0" relativeHeight="251662336" behindDoc="0" locked="0" layoutInCell="1" allowOverlap="1">
            <wp:simplePos x="0" y="0"/>
            <wp:positionH relativeFrom="column">
              <wp:posOffset>19050</wp:posOffset>
            </wp:positionH>
            <wp:positionV relativeFrom="paragraph">
              <wp:posOffset>-38100</wp:posOffset>
            </wp:positionV>
            <wp:extent cx="5274310" cy="3009900"/>
            <wp:effectExtent l="19050" t="0" r="2540" b="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274310" cy="3009900"/>
                    </a:xfrm>
                    <a:prstGeom prst="rect">
                      <a:avLst/>
                    </a:prstGeom>
                    <a:noFill/>
                    <a:ln w="9525">
                      <a:noFill/>
                      <a:miter lim="800000"/>
                      <a:headEnd/>
                      <a:tailEnd/>
                    </a:ln>
                  </pic:spPr>
                </pic:pic>
              </a:graphicData>
            </a:graphic>
          </wp:anchor>
        </w:drawing>
      </w:r>
      <w:r w:rsidR="0025786F">
        <w:rPr>
          <w:rFonts w:ascii="宋体" w:hAnsi="宋体"/>
          <w:b/>
          <w:sz w:val="32"/>
          <w:szCs w:val="32"/>
        </w:rPr>
        <w:br w:type="page"/>
      </w:r>
      <w:r w:rsidR="001C4AD2" w:rsidRPr="001C4AD2">
        <w:rPr>
          <w:szCs w:val="32"/>
        </w:rPr>
        <w:lastRenderedPageBreak/>
        <w:drawing>
          <wp:anchor distT="0" distB="0" distL="114300" distR="114300" simplePos="0" relativeHeight="251663360" behindDoc="0" locked="0" layoutInCell="1" allowOverlap="1">
            <wp:simplePos x="0" y="0"/>
            <wp:positionH relativeFrom="column">
              <wp:posOffset>161925</wp:posOffset>
            </wp:positionH>
            <wp:positionV relativeFrom="paragraph">
              <wp:posOffset>323850</wp:posOffset>
            </wp:positionV>
            <wp:extent cx="5274310" cy="7905750"/>
            <wp:effectExtent l="19050" t="0" r="2540" b="0"/>
            <wp:wrapNone/>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274310" cy="7905750"/>
                    </a:xfrm>
                    <a:prstGeom prst="rect">
                      <a:avLst/>
                    </a:prstGeom>
                    <a:noFill/>
                    <a:ln w="9525">
                      <a:noFill/>
                      <a:miter lim="800000"/>
                      <a:headEnd/>
                      <a:tailEnd/>
                    </a:ln>
                  </pic:spPr>
                </pic:pic>
              </a:graphicData>
            </a:graphic>
          </wp:anchor>
        </w:drawing>
      </w:r>
      <w:r w:rsidR="0025786F">
        <w:rPr>
          <w:rFonts w:ascii="宋体" w:hAnsi="宋体"/>
          <w:b/>
          <w:sz w:val="32"/>
          <w:szCs w:val="32"/>
        </w:rPr>
        <w:br w:type="page"/>
      </w:r>
      <w:r w:rsidR="001C4AD2" w:rsidRPr="001C4AD2">
        <w:rPr>
          <w:szCs w:val="32"/>
        </w:rPr>
        <w:lastRenderedPageBreak/>
        <w:drawing>
          <wp:anchor distT="0" distB="0" distL="114300" distR="114300" simplePos="0" relativeHeight="251665408" behindDoc="0" locked="0" layoutInCell="1" allowOverlap="1">
            <wp:simplePos x="0" y="0"/>
            <wp:positionH relativeFrom="column">
              <wp:posOffset>38100</wp:posOffset>
            </wp:positionH>
            <wp:positionV relativeFrom="paragraph">
              <wp:posOffset>4324350</wp:posOffset>
            </wp:positionV>
            <wp:extent cx="5274310" cy="2476500"/>
            <wp:effectExtent l="19050" t="0" r="2540" b="0"/>
            <wp:wrapNone/>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274310" cy="2476500"/>
                    </a:xfrm>
                    <a:prstGeom prst="rect">
                      <a:avLst/>
                    </a:prstGeom>
                    <a:noFill/>
                    <a:ln w="9525">
                      <a:noFill/>
                      <a:miter lim="800000"/>
                      <a:headEnd/>
                      <a:tailEnd/>
                    </a:ln>
                  </pic:spPr>
                </pic:pic>
              </a:graphicData>
            </a:graphic>
          </wp:anchor>
        </w:drawing>
      </w:r>
      <w:r w:rsidR="001C4AD2" w:rsidRPr="001C4AD2">
        <w:rPr>
          <w:szCs w:val="32"/>
        </w:rPr>
        <w:drawing>
          <wp:anchor distT="0" distB="0" distL="114300" distR="114300" simplePos="0" relativeHeight="251664384" behindDoc="0" locked="0" layoutInCell="1" allowOverlap="1">
            <wp:simplePos x="0" y="0"/>
            <wp:positionH relativeFrom="column">
              <wp:posOffset>38100</wp:posOffset>
            </wp:positionH>
            <wp:positionV relativeFrom="paragraph">
              <wp:posOffset>247650</wp:posOffset>
            </wp:positionV>
            <wp:extent cx="5276850" cy="3819525"/>
            <wp:effectExtent l="19050" t="0" r="0" b="0"/>
            <wp:wrapNone/>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276850" cy="3819525"/>
                    </a:xfrm>
                    <a:prstGeom prst="rect">
                      <a:avLst/>
                    </a:prstGeom>
                    <a:noFill/>
                    <a:ln w="9525">
                      <a:noFill/>
                      <a:miter lim="800000"/>
                      <a:headEnd/>
                      <a:tailEnd/>
                    </a:ln>
                  </pic:spPr>
                </pic:pic>
              </a:graphicData>
            </a:graphic>
          </wp:anchor>
        </w:drawing>
      </w:r>
      <w:r w:rsidR="0025786F">
        <w:rPr>
          <w:rFonts w:ascii="宋体" w:hAnsi="宋体"/>
          <w:b/>
          <w:sz w:val="32"/>
          <w:szCs w:val="32"/>
        </w:rPr>
        <w:br w:type="page"/>
      </w:r>
      <w:r w:rsidR="001C4AD2">
        <w:rPr>
          <w:rFonts w:ascii="宋体" w:hAnsi="宋体"/>
          <w:b/>
          <w:sz w:val="32"/>
          <w:szCs w:val="32"/>
        </w:rPr>
        <w:lastRenderedPageBreak/>
        <w:br w:type="page"/>
      </w:r>
      <w:r w:rsidR="001C4AD2" w:rsidRPr="001C4AD2">
        <w:rPr>
          <w:szCs w:val="32"/>
        </w:rPr>
        <w:lastRenderedPageBreak/>
        <w:drawing>
          <wp:inline distT="0" distB="0" distL="0" distR="0">
            <wp:extent cx="5258333" cy="2362200"/>
            <wp:effectExtent l="19050" t="0" r="0"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274310" cy="2369377"/>
                    </a:xfrm>
                    <a:prstGeom prst="rect">
                      <a:avLst/>
                    </a:prstGeom>
                    <a:noFill/>
                    <a:ln w="9525">
                      <a:noFill/>
                      <a:miter lim="800000"/>
                      <a:headEnd/>
                      <a:tailEnd/>
                    </a:ln>
                  </pic:spPr>
                </pic:pic>
              </a:graphicData>
            </a:graphic>
          </wp:inline>
        </w:drawing>
      </w:r>
    </w:p>
    <w:p w:rsidR="0082578F" w:rsidRDefault="0082578F">
      <w:pPr>
        <w:widowControl/>
        <w:jc w:val="left"/>
        <w:rPr>
          <w:rFonts w:ascii="宋体" w:hAnsi="宋体" w:hint="eastAsia"/>
          <w:b/>
          <w:sz w:val="32"/>
          <w:szCs w:val="32"/>
        </w:rPr>
      </w:pPr>
    </w:p>
    <w:p w:rsidR="0082578F" w:rsidRDefault="0082578F">
      <w:pPr>
        <w:widowControl/>
        <w:jc w:val="left"/>
        <w:rPr>
          <w:rFonts w:ascii="宋体" w:hAnsi="宋体" w:hint="eastAsia"/>
          <w:b/>
          <w:sz w:val="32"/>
          <w:szCs w:val="32"/>
        </w:rPr>
      </w:pPr>
    </w:p>
    <w:p w:rsidR="0082578F" w:rsidRDefault="0082578F">
      <w:pPr>
        <w:widowControl/>
        <w:jc w:val="left"/>
        <w:rPr>
          <w:rFonts w:ascii="宋体" w:hAnsi="宋体" w:hint="eastAsia"/>
          <w:b/>
          <w:sz w:val="32"/>
          <w:szCs w:val="32"/>
        </w:rPr>
      </w:pPr>
    </w:p>
    <w:p w:rsidR="0082578F" w:rsidRPr="001C4AD2" w:rsidRDefault="0082578F">
      <w:pPr>
        <w:widowControl/>
        <w:jc w:val="left"/>
        <w:rPr>
          <w:rFonts w:ascii="宋体" w:hAnsi="宋体"/>
          <w:b/>
          <w:sz w:val="32"/>
          <w:szCs w:val="32"/>
        </w:rPr>
      </w:pPr>
    </w:p>
    <w:p w:rsidR="0082578F" w:rsidRPr="0082578F" w:rsidRDefault="0082578F">
      <w:pPr>
        <w:widowControl/>
        <w:jc w:val="left"/>
        <w:rPr>
          <w:rFonts w:ascii="宋体" w:hAnsi="宋体"/>
          <w:b/>
          <w:sz w:val="32"/>
          <w:szCs w:val="32"/>
        </w:rPr>
      </w:pPr>
      <w:r w:rsidRPr="0082578F">
        <w:rPr>
          <w:szCs w:val="32"/>
        </w:rPr>
        <w:drawing>
          <wp:inline distT="0" distB="0" distL="0" distR="0">
            <wp:extent cx="5274310" cy="2761509"/>
            <wp:effectExtent l="19050" t="0" r="2540" b="0"/>
            <wp:docPr id="2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274310" cy="2761509"/>
                    </a:xfrm>
                    <a:prstGeom prst="rect">
                      <a:avLst/>
                    </a:prstGeom>
                    <a:noFill/>
                    <a:ln w="9525">
                      <a:noFill/>
                      <a:miter lim="800000"/>
                      <a:headEnd/>
                      <a:tailEnd/>
                    </a:ln>
                  </pic:spPr>
                </pic:pic>
              </a:graphicData>
            </a:graphic>
          </wp:inline>
        </w:drawing>
      </w:r>
      <w:r>
        <w:rPr>
          <w:rFonts w:ascii="宋体" w:hAnsi="宋体"/>
          <w:b/>
          <w:sz w:val="32"/>
          <w:szCs w:val="32"/>
        </w:rPr>
        <w:br w:type="page"/>
      </w:r>
    </w:p>
    <w:p w:rsidR="00057927" w:rsidRDefault="00057927" w:rsidP="0025786F">
      <w:pPr>
        <w:widowControl/>
        <w:spacing w:line="600" w:lineRule="exact"/>
        <w:ind w:firstLine="640"/>
        <w:jc w:val="center"/>
        <w:rPr>
          <w:rFonts w:ascii="宋体" w:hAnsi="宋体"/>
          <w:b/>
          <w:sz w:val="32"/>
          <w:szCs w:val="32"/>
        </w:rPr>
      </w:pPr>
      <w:r>
        <w:rPr>
          <w:rFonts w:ascii="宋体" w:hAnsi="宋体" w:hint="eastAsia"/>
          <w:b/>
          <w:sz w:val="32"/>
          <w:szCs w:val="32"/>
        </w:rPr>
        <w:lastRenderedPageBreak/>
        <w:t>第三部分  2020年度部门决算情况说明</w:t>
      </w:r>
    </w:p>
    <w:p w:rsidR="00057927" w:rsidRDefault="00057927">
      <w:pPr>
        <w:ind w:firstLine="630"/>
        <w:jc w:val="left"/>
        <w:rPr>
          <w:rFonts w:ascii="仿宋" w:eastAsia="仿宋" w:hAnsi="仿宋"/>
          <w:sz w:val="30"/>
          <w:szCs w:val="30"/>
        </w:rPr>
      </w:pPr>
    </w:p>
    <w:p w:rsidR="00057927" w:rsidRDefault="00057927">
      <w:pPr>
        <w:ind w:firstLine="630"/>
        <w:jc w:val="left"/>
        <w:rPr>
          <w:rFonts w:ascii="黑体" w:eastAsia="黑体" w:hAnsi="黑体"/>
          <w:sz w:val="30"/>
          <w:szCs w:val="30"/>
        </w:rPr>
      </w:pPr>
      <w:r>
        <w:rPr>
          <w:rFonts w:ascii="黑体" w:eastAsia="黑体" w:hAnsi="黑体" w:hint="eastAsia"/>
          <w:sz w:val="30"/>
          <w:szCs w:val="30"/>
        </w:rPr>
        <w:t>一、收入决算情况说明</w:t>
      </w:r>
    </w:p>
    <w:p w:rsidR="00057927" w:rsidRDefault="00057927">
      <w:pPr>
        <w:ind w:firstLine="630"/>
        <w:jc w:val="left"/>
        <w:rPr>
          <w:rFonts w:ascii="仿宋" w:eastAsia="仿宋" w:hAnsi="仿宋"/>
          <w:sz w:val="30"/>
          <w:szCs w:val="30"/>
        </w:rPr>
      </w:pPr>
      <w:r>
        <w:rPr>
          <w:rFonts w:ascii="仿宋" w:eastAsia="仿宋" w:hAnsi="仿宋" w:hint="eastAsia"/>
          <w:sz w:val="30"/>
          <w:szCs w:val="30"/>
        </w:rPr>
        <w:t>本部门2020年度收入总计</w:t>
      </w:r>
      <w:r w:rsidR="0004412B">
        <w:rPr>
          <w:rFonts w:ascii="仿宋" w:eastAsia="仿宋" w:hAnsi="仿宋" w:hint="eastAsia"/>
          <w:sz w:val="30"/>
          <w:szCs w:val="30"/>
        </w:rPr>
        <w:t>7</w:t>
      </w:r>
      <w:r w:rsidR="00F40BDD">
        <w:rPr>
          <w:rFonts w:ascii="仿宋" w:eastAsia="仿宋" w:hAnsi="仿宋" w:hint="eastAsia"/>
          <w:sz w:val="30"/>
          <w:szCs w:val="30"/>
        </w:rPr>
        <w:t>02.72</w:t>
      </w:r>
      <w:r>
        <w:rPr>
          <w:rFonts w:ascii="仿宋" w:eastAsia="仿宋" w:hAnsi="仿宋" w:hint="eastAsia"/>
          <w:sz w:val="30"/>
          <w:szCs w:val="30"/>
        </w:rPr>
        <w:t>万元，其中年初结转和结余</w:t>
      </w:r>
      <w:r w:rsidR="00F40BDD">
        <w:rPr>
          <w:rFonts w:ascii="仿宋" w:eastAsia="仿宋" w:hAnsi="仿宋" w:hint="eastAsia"/>
          <w:sz w:val="30"/>
          <w:szCs w:val="30"/>
        </w:rPr>
        <w:t>15.42</w:t>
      </w:r>
      <w:r>
        <w:rPr>
          <w:rFonts w:ascii="仿宋" w:eastAsia="仿宋" w:hAnsi="仿宋" w:hint="eastAsia"/>
          <w:sz w:val="30"/>
          <w:szCs w:val="30"/>
        </w:rPr>
        <w:t>万元，较2019年</w:t>
      </w:r>
      <w:r w:rsidR="006C2A18">
        <w:rPr>
          <w:rFonts w:ascii="仿宋" w:eastAsia="仿宋" w:hAnsi="仿宋" w:hint="eastAsia"/>
          <w:sz w:val="30"/>
          <w:szCs w:val="30"/>
        </w:rPr>
        <w:t>减少25.31</w:t>
      </w:r>
      <w:r>
        <w:rPr>
          <w:rFonts w:ascii="仿宋" w:eastAsia="仿宋" w:hAnsi="仿宋" w:hint="eastAsia"/>
          <w:sz w:val="30"/>
          <w:szCs w:val="30"/>
        </w:rPr>
        <w:t>万元，</w:t>
      </w:r>
      <w:r w:rsidR="006C2A18">
        <w:rPr>
          <w:rFonts w:ascii="仿宋" w:eastAsia="仿宋" w:hAnsi="仿宋" w:hint="eastAsia"/>
          <w:sz w:val="30"/>
          <w:szCs w:val="30"/>
        </w:rPr>
        <w:t>减少62.14</w:t>
      </w:r>
      <w:r>
        <w:rPr>
          <w:rFonts w:ascii="仿宋" w:eastAsia="仿宋" w:hAnsi="仿宋" w:hint="eastAsia"/>
          <w:sz w:val="30"/>
          <w:szCs w:val="30"/>
        </w:rPr>
        <w:t xml:space="preserve"> %；本年收入合计</w:t>
      </w:r>
      <w:r w:rsidR="00F40BDD">
        <w:rPr>
          <w:rFonts w:ascii="仿宋" w:eastAsia="仿宋" w:hAnsi="仿宋" w:hint="eastAsia"/>
          <w:sz w:val="30"/>
          <w:szCs w:val="30"/>
        </w:rPr>
        <w:t>687.3</w:t>
      </w:r>
      <w:r>
        <w:rPr>
          <w:rFonts w:ascii="仿宋" w:eastAsia="仿宋" w:hAnsi="仿宋" w:hint="eastAsia"/>
          <w:sz w:val="30"/>
          <w:szCs w:val="30"/>
        </w:rPr>
        <w:t>万元，较2019年减少</w:t>
      </w:r>
      <w:r w:rsidR="006C2A18">
        <w:rPr>
          <w:rFonts w:ascii="仿宋" w:eastAsia="仿宋" w:hAnsi="仿宋" w:hint="eastAsia"/>
          <w:sz w:val="30"/>
          <w:szCs w:val="30"/>
        </w:rPr>
        <w:t>6.12</w:t>
      </w:r>
      <w:r>
        <w:rPr>
          <w:rFonts w:ascii="仿宋" w:eastAsia="仿宋" w:hAnsi="仿宋" w:hint="eastAsia"/>
          <w:sz w:val="30"/>
          <w:szCs w:val="30"/>
        </w:rPr>
        <w:t>万元，下降</w:t>
      </w:r>
      <w:r w:rsidR="006C2A18">
        <w:rPr>
          <w:rFonts w:ascii="仿宋" w:eastAsia="仿宋" w:hAnsi="仿宋" w:hint="eastAsia"/>
          <w:sz w:val="30"/>
          <w:szCs w:val="30"/>
        </w:rPr>
        <w:t>0.88</w:t>
      </w:r>
      <w:r>
        <w:rPr>
          <w:rFonts w:ascii="仿宋" w:eastAsia="仿宋" w:hAnsi="仿宋" w:hint="eastAsia"/>
          <w:sz w:val="30"/>
          <w:szCs w:val="30"/>
        </w:rPr>
        <w:t>%，主要原因是：</w:t>
      </w:r>
      <w:r w:rsidR="00890209">
        <w:rPr>
          <w:rFonts w:ascii="仿宋" w:eastAsia="仿宋" w:hAnsi="仿宋" w:hint="eastAsia"/>
          <w:sz w:val="30"/>
          <w:szCs w:val="30"/>
        </w:rPr>
        <w:t>财政拨款收入减少</w:t>
      </w:r>
      <w:r>
        <w:rPr>
          <w:rFonts w:ascii="仿宋" w:eastAsia="仿宋" w:hAnsi="仿宋" w:hint="eastAsia"/>
          <w:sz w:val="30"/>
          <w:szCs w:val="30"/>
        </w:rPr>
        <w:t>。</w:t>
      </w:r>
    </w:p>
    <w:p w:rsidR="00057927" w:rsidRDefault="00057927">
      <w:pPr>
        <w:ind w:firstLine="630"/>
        <w:jc w:val="left"/>
        <w:rPr>
          <w:rFonts w:ascii="仿宋" w:eastAsia="仿宋" w:hAnsi="仿宋"/>
          <w:sz w:val="30"/>
          <w:szCs w:val="30"/>
        </w:rPr>
      </w:pPr>
      <w:r>
        <w:rPr>
          <w:rFonts w:ascii="仿宋" w:eastAsia="仿宋" w:hAnsi="仿宋" w:hint="eastAsia"/>
          <w:sz w:val="30"/>
          <w:szCs w:val="30"/>
        </w:rPr>
        <w:t>本年收入的具体构成为：财政拨款收入</w:t>
      </w:r>
      <w:r w:rsidR="006C2A18">
        <w:rPr>
          <w:rFonts w:ascii="仿宋" w:eastAsia="仿宋" w:hAnsi="仿宋" w:hint="eastAsia"/>
          <w:sz w:val="30"/>
          <w:szCs w:val="30"/>
        </w:rPr>
        <w:t>687.3</w:t>
      </w:r>
      <w:r>
        <w:rPr>
          <w:rFonts w:ascii="仿宋" w:eastAsia="仿宋" w:hAnsi="仿宋" w:hint="eastAsia"/>
          <w:sz w:val="30"/>
          <w:szCs w:val="30"/>
        </w:rPr>
        <w:t>万元，占</w:t>
      </w:r>
      <w:r w:rsidR="003A7E00">
        <w:rPr>
          <w:rFonts w:ascii="仿宋" w:eastAsia="仿宋" w:hAnsi="仿宋" w:hint="eastAsia"/>
          <w:sz w:val="30"/>
          <w:szCs w:val="30"/>
        </w:rPr>
        <w:t>100</w:t>
      </w:r>
      <w:r>
        <w:rPr>
          <w:rFonts w:ascii="仿宋" w:eastAsia="仿宋" w:hAnsi="仿宋" w:hint="eastAsia"/>
          <w:sz w:val="30"/>
          <w:szCs w:val="30"/>
        </w:rPr>
        <w:t>%</w:t>
      </w:r>
      <w:r w:rsidR="003A7E00">
        <w:rPr>
          <w:rFonts w:ascii="仿宋" w:eastAsia="仿宋" w:hAnsi="仿宋" w:hint="eastAsia"/>
          <w:sz w:val="30"/>
          <w:szCs w:val="30"/>
        </w:rPr>
        <w:t xml:space="preserve"> </w:t>
      </w:r>
      <w:r>
        <w:rPr>
          <w:rFonts w:ascii="仿宋" w:eastAsia="仿宋" w:hAnsi="仿宋" w:hint="eastAsia"/>
          <w:sz w:val="30"/>
          <w:szCs w:val="30"/>
        </w:rPr>
        <w:t xml:space="preserve">。  </w:t>
      </w:r>
    </w:p>
    <w:p w:rsidR="00057927" w:rsidRDefault="00057927">
      <w:pPr>
        <w:ind w:firstLine="630"/>
        <w:jc w:val="left"/>
        <w:rPr>
          <w:rFonts w:ascii="黑体" w:eastAsia="黑体" w:hAnsi="黑体"/>
          <w:sz w:val="30"/>
          <w:szCs w:val="30"/>
        </w:rPr>
      </w:pPr>
      <w:r>
        <w:rPr>
          <w:rFonts w:ascii="黑体" w:eastAsia="黑体" w:hAnsi="黑体" w:hint="eastAsia"/>
          <w:sz w:val="30"/>
          <w:szCs w:val="30"/>
        </w:rPr>
        <w:t>二、支出决算情况说明</w:t>
      </w:r>
    </w:p>
    <w:p w:rsidR="00057927" w:rsidRDefault="00057927">
      <w:pPr>
        <w:ind w:firstLine="630"/>
        <w:jc w:val="left"/>
        <w:rPr>
          <w:rFonts w:ascii="仿宋" w:eastAsia="仿宋" w:hAnsi="仿宋"/>
          <w:sz w:val="30"/>
          <w:szCs w:val="30"/>
        </w:rPr>
      </w:pPr>
      <w:r>
        <w:rPr>
          <w:rFonts w:ascii="仿宋" w:eastAsia="仿宋" w:hAnsi="仿宋" w:hint="eastAsia"/>
          <w:sz w:val="30"/>
          <w:szCs w:val="30"/>
        </w:rPr>
        <w:t>本部门2020年度支出总计</w:t>
      </w:r>
      <w:r w:rsidR="006C2A18">
        <w:rPr>
          <w:rFonts w:ascii="仿宋" w:eastAsia="仿宋" w:hAnsi="仿宋" w:hint="eastAsia"/>
          <w:sz w:val="30"/>
          <w:szCs w:val="30"/>
        </w:rPr>
        <w:t>702.72</w:t>
      </w:r>
      <w:r>
        <w:rPr>
          <w:rFonts w:ascii="仿宋" w:eastAsia="仿宋" w:hAnsi="仿宋" w:hint="eastAsia"/>
          <w:sz w:val="30"/>
          <w:szCs w:val="30"/>
        </w:rPr>
        <w:t>万元，其中本年支出合计</w:t>
      </w:r>
      <w:r w:rsidR="006C2A18">
        <w:rPr>
          <w:rFonts w:ascii="仿宋" w:eastAsia="仿宋" w:hAnsi="仿宋" w:hint="eastAsia"/>
          <w:sz w:val="30"/>
          <w:szCs w:val="30"/>
        </w:rPr>
        <w:t>654.28</w:t>
      </w:r>
      <w:r>
        <w:rPr>
          <w:rFonts w:ascii="仿宋" w:eastAsia="仿宋" w:hAnsi="仿宋" w:hint="eastAsia"/>
          <w:sz w:val="30"/>
          <w:szCs w:val="30"/>
        </w:rPr>
        <w:t>万元，较2019年减少</w:t>
      </w:r>
      <w:r w:rsidR="006C2A18">
        <w:rPr>
          <w:rFonts w:ascii="仿宋" w:eastAsia="仿宋" w:hAnsi="仿宋" w:hint="eastAsia"/>
          <w:sz w:val="30"/>
          <w:szCs w:val="30"/>
        </w:rPr>
        <w:t>64.45</w:t>
      </w:r>
      <w:r>
        <w:rPr>
          <w:rFonts w:ascii="仿宋" w:eastAsia="仿宋" w:hAnsi="仿宋" w:hint="eastAsia"/>
          <w:sz w:val="30"/>
          <w:szCs w:val="30"/>
        </w:rPr>
        <w:t>万元，下降</w:t>
      </w:r>
      <w:r w:rsidR="006C2A18">
        <w:rPr>
          <w:rFonts w:ascii="仿宋" w:eastAsia="仿宋" w:hAnsi="仿宋" w:hint="eastAsia"/>
          <w:sz w:val="30"/>
          <w:szCs w:val="30"/>
        </w:rPr>
        <w:t>8.97</w:t>
      </w:r>
      <w:r>
        <w:rPr>
          <w:rFonts w:ascii="仿宋" w:eastAsia="仿宋" w:hAnsi="仿宋" w:hint="eastAsia"/>
          <w:sz w:val="30"/>
          <w:szCs w:val="30"/>
        </w:rPr>
        <w:t>%，主要原因是：</w:t>
      </w:r>
      <w:r w:rsidR="00890209">
        <w:rPr>
          <w:rFonts w:ascii="仿宋" w:eastAsia="仿宋" w:hAnsi="仿宋" w:hint="eastAsia"/>
          <w:sz w:val="30"/>
          <w:szCs w:val="30"/>
        </w:rPr>
        <w:t>缩减开支</w:t>
      </w:r>
      <w:r>
        <w:rPr>
          <w:rFonts w:ascii="仿宋" w:eastAsia="仿宋" w:hAnsi="仿宋" w:hint="eastAsia"/>
          <w:sz w:val="30"/>
          <w:szCs w:val="30"/>
        </w:rPr>
        <w:t>；年末结转和结余</w:t>
      </w:r>
      <w:r w:rsidR="006C2A18">
        <w:rPr>
          <w:rFonts w:ascii="仿宋" w:eastAsia="仿宋" w:hAnsi="仿宋" w:hint="eastAsia"/>
          <w:sz w:val="30"/>
          <w:szCs w:val="30"/>
        </w:rPr>
        <w:t>48.44</w:t>
      </w:r>
      <w:r>
        <w:rPr>
          <w:rFonts w:ascii="仿宋" w:eastAsia="仿宋" w:hAnsi="仿宋" w:hint="eastAsia"/>
          <w:sz w:val="30"/>
          <w:szCs w:val="30"/>
        </w:rPr>
        <w:t>万元，较2019年</w:t>
      </w:r>
      <w:r w:rsidR="006C2A18">
        <w:rPr>
          <w:rFonts w:ascii="仿宋" w:eastAsia="仿宋" w:hAnsi="仿宋" w:hint="eastAsia"/>
          <w:sz w:val="30"/>
          <w:szCs w:val="30"/>
        </w:rPr>
        <w:t>增加33.02</w:t>
      </w:r>
      <w:r>
        <w:rPr>
          <w:rFonts w:ascii="仿宋" w:eastAsia="仿宋" w:hAnsi="仿宋" w:hint="eastAsia"/>
          <w:sz w:val="30"/>
          <w:szCs w:val="30"/>
        </w:rPr>
        <w:t>万元，</w:t>
      </w:r>
      <w:r w:rsidR="006C2A18">
        <w:rPr>
          <w:rFonts w:ascii="仿宋" w:eastAsia="仿宋" w:hAnsi="仿宋" w:hint="eastAsia"/>
          <w:sz w:val="30"/>
          <w:szCs w:val="30"/>
        </w:rPr>
        <w:t>增加214.14</w:t>
      </w:r>
      <w:r>
        <w:rPr>
          <w:rFonts w:ascii="仿宋" w:eastAsia="仿宋" w:hAnsi="仿宋" w:hint="eastAsia"/>
          <w:sz w:val="30"/>
          <w:szCs w:val="30"/>
        </w:rPr>
        <w:t>%。</w:t>
      </w:r>
    </w:p>
    <w:p w:rsidR="00057927" w:rsidRDefault="00057927">
      <w:pPr>
        <w:ind w:firstLine="630"/>
        <w:jc w:val="left"/>
        <w:rPr>
          <w:rFonts w:ascii="仿宋" w:eastAsia="仿宋" w:hAnsi="仿宋"/>
          <w:sz w:val="30"/>
          <w:szCs w:val="30"/>
        </w:rPr>
      </w:pPr>
      <w:r>
        <w:rPr>
          <w:rFonts w:ascii="仿宋" w:eastAsia="仿宋" w:hAnsi="仿宋" w:hint="eastAsia"/>
          <w:sz w:val="30"/>
          <w:szCs w:val="30"/>
        </w:rPr>
        <w:t>本年支出的具体构成为：基本支出</w:t>
      </w:r>
      <w:r w:rsidR="006C2A18">
        <w:rPr>
          <w:rFonts w:ascii="仿宋" w:eastAsia="仿宋" w:hAnsi="仿宋" w:hint="eastAsia"/>
          <w:sz w:val="30"/>
          <w:szCs w:val="30"/>
        </w:rPr>
        <w:t>609.83</w:t>
      </w:r>
      <w:r>
        <w:rPr>
          <w:rFonts w:ascii="仿宋" w:eastAsia="仿宋" w:hAnsi="仿宋" w:hint="eastAsia"/>
          <w:sz w:val="30"/>
          <w:szCs w:val="30"/>
        </w:rPr>
        <w:t>万元，占</w:t>
      </w:r>
      <w:r w:rsidR="006C2A18">
        <w:rPr>
          <w:rFonts w:ascii="仿宋" w:eastAsia="仿宋" w:hAnsi="仿宋" w:hint="eastAsia"/>
          <w:sz w:val="30"/>
          <w:szCs w:val="30"/>
        </w:rPr>
        <w:t>93.2</w:t>
      </w:r>
      <w:r>
        <w:rPr>
          <w:rFonts w:ascii="仿宋" w:eastAsia="仿宋" w:hAnsi="仿宋" w:hint="eastAsia"/>
          <w:sz w:val="30"/>
          <w:szCs w:val="30"/>
        </w:rPr>
        <w:t>%；项目支出</w:t>
      </w:r>
      <w:r w:rsidR="006C2A18">
        <w:rPr>
          <w:rFonts w:ascii="仿宋" w:eastAsia="仿宋" w:hAnsi="仿宋" w:hint="eastAsia"/>
          <w:sz w:val="30"/>
          <w:szCs w:val="30"/>
        </w:rPr>
        <w:t>44.45</w:t>
      </w:r>
      <w:r>
        <w:rPr>
          <w:rFonts w:ascii="仿宋" w:eastAsia="仿宋" w:hAnsi="仿宋" w:hint="eastAsia"/>
          <w:sz w:val="30"/>
          <w:szCs w:val="30"/>
        </w:rPr>
        <w:t>万元，占</w:t>
      </w:r>
      <w:r w:rsidR="006C2A18">
        <w:rPr>
          <w:rFonts w:ascii="仿宋" w:eastAsia="仿宋" w:hAnsi="仿宋" w:hint="eastAsia"/>
          <w:sz w:val="30"/>
          <w:szCs w:val="30"/>
        </w:rPr>
        <w:t>6.8</w:t>
      </w:r>
      <w:r>
        <w:rPr>
          <w:rFonts w:ascii="仿宋" w:eastAsia="仿宋" w:hAnsi="仿宋" w:hint="eastAsia"/>
          <w:sz w:val="30"/>
          <w:szCs w:val="30"/>
        </w:rPr>
        <w:t>%。</w:t>
      </w:r>
    </w:p>
    <w:p w:rsidR="00057927" w:rsidRDefault="00057927">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057927" w:rsidRDefault="00057927">
      <w:pPr>
        <w:ind w:firstLine="630"/>
        <w:jc w:val="left"/>
        <w:rPr>
          <w:rFonts w:ascii="仿宋" w:eastAsia="仿宋" w:hAnsi="仿宋"/>
          <w:sz w:val="30"/>
          <w:szCs w:val="30"/>
        </w:rPr>
      </w:pPr>
      <w:r>
        <w:rPr>
          <w:rFonts w:ascii="仿宋" w:eastAsia="仿宋" w:hAnsi="仿宋" w:hint="eastAsia"/>
          <w:sz w:val="30"/>
          <w:szCs w:val="30"/>
        </w:rPr>
        <w:t>本部门2020年度财政拨款本年支出年初预算数为</w:t>
      </w:r>
      <w:r w:rsidR="0028488F">
        <w:rPr>
          <w:rFonts w:ascii="仿宋" w:eastAsia="仿宋" w:hAnsi="仿宋" w:hint="eastAsia"/>
          <w:sz w:val="30"/>
          <w:szCs w:val="30"/>
        </w:rPr>
        <w:t>487.54</w:t>
      </w:r>
      <w:r>
        <w:rPr>
          <w:rFonts w:ascii="仿宋" w:eastAsia="仿宋" w:hAnsi="仿宋" w:hint="eastAsia"/>
          <w:sz w:val="30"/>
          <w:szCs w:val="30"/>
        </w:rPr>
        <w:t>万元，决算数为</w:t>
      </w:r>
      <w:r w:rsidR="0005626E">
        <w:rPr>
          <w:rFonts w:ascii="仿宋" w:eastAsia="仿宋" w:hAnsi="仿宋" w:hint="eastAsia"/>
          <w:sz w:val="30"/>
          <w:szCs w:val="30"/>
        </w:rPr>
        <w:t>654.28</w:t>
      </w:r>
      <w:r>
        <w:rPr>
          <w:rFonts w:ascii="仿宋" w:eastAsia="仿宋" w:hAnsi="仿宋" w:hint="eastAsia"/>
          <w:sz w:val="30"/>
          <w:szCs w:val="30"/>
        </w:rPr>
        <w:t>万元，完成年初预算的</w:t>
      </w:r>
      <w:r w:rsidR="0005626E">
        <w:rPr>
          <w:rFonts w:ascii="仿宋" w:eastAsia="仿宋" w:hAnsi="仿宋" w:hint="eastAsia"/>
          <w:sz w:val="30"/>
          <w:szCs w:val="30"/>
        </w:rPr>
        <w:t>134.2</w:t>
      </w:r>
      <w:r>
        <w:rPr>
          <w:rFonts w:ascii="仿宋" w:eastAsia="仿宋" w:hAnsi="仿宋" w:hint="eastAsia"/>
          <w:sz w:val="30"/>
          <w:szCs w:val="30"/>
        </w:rPr>
        <w:t>%。其中：</w:t>
      </w:r>
    </w:p>
    <w:p w:rsidR="00057927" w:rsidRDefault="00057927">
      <w:pPr>
        <w:ind w:firstLine="630"/>
        <w:jc w:val="left"/>
        <w:rPr>
          <w:rFonts w:ascii="仿宋" w:eastAsia="仿宋" w:hAnsi="仿宋"/>
          <w:sz w:val="30"/>
          <w:szCs w:val="30"/>
        </w:rPr>
      </w:pPr>
      <w:r>
        <w:rPr>
          <w:rFonts w:ascii="仿宋" w:eastAsia="仿宋" w:hAnsi="仿宋" w:hint="eastAsia"/>
          <w:sz w:val="30"/>
          <w:szCs w:val="30"/>
        </w:rPr>
        <w:t>（一）一般公共服务支出年初预算数为</w:t>
      </w:r>
      <w:r w:rsidR="0005626E">
        <w:rPr>
          <w:rFonts w:ascii="仿宋" w:eastAsia="仿宋" w:hAnsi="仿宋" w:hint="eastAsia"/>
          <w:sz w:val="30"/>
          <w:szCs w:val="30"/>
        </w:rPr>
        <w:t>487.54</w:t>
      </w:r>
      <w:r>
        <w:rPr>
          <w:rFonts w:ascii="仿宋" w:eastAsia="仿宋" w:hAnsi="仿宋" w:hint="eastAsia"/>
          <w:sz w:val="30"/>
          <w:szCs w:val="30"/>
        </w:rPr>
        <w:t>万元，决算数为</w:t>
      </w:r>
      <w:r w:rsidR="0005626E">
        <w:rPr>
          <w:rFonts w:ascii="仿宋" w:eastAsia="仿宋" w:hAnsi="仿宋" w:hint="eastAsia"/>
          <w:sz w:val="30"/>
          <w:szCs w:val="30"/>
        </w:rPr>
        <w:t>654.28</w:t>
      </w:r>
      <w:r>
        <w:rPr>
          <w:rFonts w:ascii="仿宋" w:eastAsia="仿宋" w:hAnsi="仿宋" w:hint="eastAsia"/>
          <w:sz w:val="30"/>
          <w:szCs w:val="30"/>
        </w:rPr>
        <w:t>万元，完成年初预算的</w:t>
      </w:r>
      <w:r w:rsidR="0005626E">
        <w:rPr>
          <w:rFonts w:ascii="仿宋" w:eastAsia="仿宋" w:hAnsi="仿宋" w:hint="eastAsia"/>
          <w:sz w:val="30"/>
          <w:szCs w:val="30"/>
        </w:rPr>
        <w:t>134.2</w:t>
      </w:r>
      <w:r>
        <w:rPr>
          <w:rFonts w:ascii="仿宋" w:eastAsia="仿宋" w:hAnsi="仿宋" w:hint="eastAsia"/>
          <w:sz w:val="30"/>
          <w:szCs w:val="30"/>
        </w:rPr>
        <w:t>%，主要原因是：</w:t>
      </w:r>
      <w:r w:rsidR="00890209">
        <w:rPr>
          <w:rFonts w:ascii="仿宋" w:eastAsia="仿宋" w:hAnsi="仿宋" w:hint="eastAsia"/>
          <w:sz w:val="30"/>
          <w:szCs w:val="30"/>
        </w:rPr>
        <w:t>年中追加经费</w:t>
      </w:r>
      <w:r>
        <w:rPr>
          <w:rFonts w:ascii="仿宋" w:eastAsia="仿宋" w:hAnsi="仿宋" w:hint="eastAsia"/>
          <w:sz w:val="30"/>
          <w:szCs w:val="30"/>
        </w:rPr>
        <w:t>。</w:t>
      </w:r>
    </w:p>
    <w:p w:rsidR="00057927" w:rsidRDefault="00057927">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057927" w:rsidRDefault="00057927">
      <w:pPr>
        <w:ind w:firstLine="585"/>
        <w:jc w:val="left"/>
        <w:rPr>
          <w:rFonts w:ascii="仿宋" w:eastAsia="仿宋" w:hAnsi="仿宋"/>
          <w:sz w:val="30"/>
          <w:szCs w:val="30"/>
        </w:rPr>
      </w:pPr>
      <w:r>
        <w:rPr>
          <w:rFonts w:ascii="仿宋" w:eastAsia="仿宋" w:hAnsi="仿宋" w:hint="eastAsia"/>
          <w:sz w:val="30"/>
          <w:szCs w:val="30"/>
        </w:rPr>
        <w:lastRenderedPageBreak/>
        <w:t>本部门2020年度一般公共预算财政拨款基本支出</w:t>
      </w:r>
      <w:r w:rsidR="0005626E">
        <w:rPr>
          <w:rFonts w:ascii="仿宋" w:eastAsia="仿宋" w:hAnsi="仿宋" w:hint="eastAsia"/>
          <w:sz w:val="30"/>
          <w:szCs w:val="30"/>
        </w:rPr>
        <w:t>609.83</w:t>
      </w:r>
      <w:r>
        <w:rPr>
          <w:rFonts w:ascii="仿宋" w:eastAsia="仿宋" w:hAnsi="仿宋" w:hint="eastAsia"/>
          <w:sz w:val="30"/>
          <w:szCs w:val="30"/>
        </w:rPr>
        <w:t>万元，其中：</w:t>
      </w:r>
    </w:p>
    <w:p w:rsidR="00057927" w:rsidRDefault="00057927">
      <w:pPr>
        <w:ind w:firstLine="585"/>
        <w:jc w:val="left"/>
        <w:rPr>
          <w:rFonts w:ascii="仿宋" w:eastAsia="仿宋" w:hAnsi="仿宋"/>
          <w:sz w:val="30"/>
          <w:szCs w:val="30"/>
        </w:rPr>
      </w:pPr>
      <w:r>
        <w:rPr>
          <w:rFonts w:ascii="仿宋" w:eastAsia="仿宋" w:hAnsi="仿宋" w:hint="eastAsia"/>
          <w:sz w:val="30"/>
          <w:szCs w:val="30"/>
        </w:rPr>
        <w:t>（一）工资福利支出</w:t>
      </w:r>
      <w:r w:rsidR="0005626E">
        <w:rPr>
          <w:rFonts w:ascii="仿宋" w:eastAsia="仿宋" w:hAnsi="仿宋" w:hint="eastAsia"/>
          <w:sz w:val="30"/>
          <w:szCs w:val="30"/>
        </w:rPr>
        <w:t>558.66</w:t>
      </w:r>
      <w:r>
        <w:rPr>
          <w:rFonts w:ascii="仿宋" w:eastAsia="仿宋" w:hAnsi="仿宋" w:hint="eastAsia"/>
          <w:sz w:val="30"/>
          <w:szCs w:val="30"/>
        </w:rPr>
        <w:t>万元，较2019年</w:t>
      </w:r>
      <w:r w:rsidR="0005626E">
        <w:rPr>
          <w:rFonts w:ascii="仿宋" w:eastAsia="仿宋" w:hAnsi="仿宋" w:hint="eastAsia"/>
          <w:sz w:val="30"/>
          <w:szCs w:val="30"/>
        </w:rPr>
        <w:t>减少44.69</w:t>
      </w:r>
      <w:r>
        <w:rPr>
          <w:rFonts w:ascii="仿宋" w:eastAsia="仿宋" w:hAnsi="仿宋" w:hint="eastAsia"/>
          <w:sz w:val="30"/>
          <w:szCs w:val="30"/>
        </w:rPr>
        <w:t>万元，</w:t>
      </w:r>
      <w:r w:rsidR="0005626E">
        <w:rPr>
          <w:rFonts w:ascii="仿宋" w:eastAsia="仿宋" w:hAnsi="仿宋" w:hint="eastAsia"/>
          <w:sz w:val="30"/>
          <w:szCs w:val="30"/>
        </w:rPr>
        <w:t>下降7.4</w:t>
      </w:r>
      <w:r>
        <w:rPr>
          <w:rFonts w:ascii="仿宋" w:eastAsia="仿宋" w:hAnsi="仿宋" w:hint="eastAsia"/>
          <w:sz w:val="30"/>
          <w:szCs w:val="30"/>
        </w:rPr>
        <w:t>%，主要原因是：</w:t>
      </w:r>
      <w:r w:rsidR="00D46F82" w:rsidRPr="00D46F82">
        <w:rPr>
          <w:rFonts w:ascii="仿宋" w:eastAsia="仿宋" w:hAnsi="仿宋" w:hint="eastAsia"/>
          <w:sz w:val="30"/>
          <w:szCs w:val="30"/>
        </w:rPr>
        <w:t>人员</w:t>
      </w:r>
      <w:r w:rsidR="0005626E">
        <w:rPr>
          <w:rFonts w:ascii="仿宋" w:eastAsia="仿宋" w:hAnsi="仿宋" w:hint="eastAsia"/>
          <w:sz w:val="30"/>
          <w:szCs w:val="30"/>
        </w:rPr>
        <w:t>减少</w:t>
      </w:r>
      <w:r>
        <w:rPr>
          <w:rFonts w:ascii="仿宋" w:eastAsia="仿宋" w:hAnsi="仿宋" w:hint="eastAsia"/>
          <w:sz w:val="30"/>
          <w:szCs w:val="30"/>
        </w:rPr>
        <w:t>。</w:t>
      </w:r>
    </w:p>
    <w:p w:rsidR="00057927" w:rsidRDefault="00057927" w:rsidP="0005626E">
      <w:pPr>
        <w:ind w:firstLine="585"/>
        <w:jc w:val="left"/>
        <w:rPr>
          <w:rFonts w:ascii="仿宋" w:eastAsia="仿宋" w:hAnsi="仿宋"/>
          <w:sz w:val="30"/>
          <w:szCs w:val="30"/>
        </w:rPr>
      </w:pPr>
      <w:r>
        <w:rPr>
          <w:rFonts w:ascii="仿宋" w:eastAsia="仿宋" w:hAnsi="仿宋" w:hint="eastAsia"/>
          <w:sz w:val="30"/>
          <w:szCs w:val="30"/>
        </w:rPr>
        <w:t>（二）商品和服务支出</w:t>
      </w:r>
      <w:r w:rsidR="0005626E">
        <w:rPr>
          <w:rFonts w:ascii="仿宋" w:eastAsia="仿宋" w:hAnsi="仿宋" w:hint="eastAsia"/>
          <w:sz w:val="30"/>
          <w:szCs w:val="30"/>
        </w:rPr>
        <w:t>51.17</w:t>
      </w:r>
      <w:r>
        <w:rPr>
          <w:rFonts w:ascii="仿宋" w:eastAsia="仿宋" w:hAnsi="仿宋" w:hint="eastAsia"/>
          <w:sz w:val="30"/>
          <w:szCs w:val="30"/>
        </w:rPr>
        <w:t>万元，较2019年</w:t>
      </w:r>
      <w:r w:rsidR="0005626E">
        <w:rPr>
          <w:rFonts w:ascii="仿宋" w:eastAsia="仿宋" w:hAnsi="仿宋" w:hint="eastAsia"/>
          <w:sz w:val="30"/>
          <w:szCs w:val="30"/>
        </w:rPr>
        <w:t>减少60.06</w:t>
      </w:r>
      <w:r>
        <w:rPr>
          <w:rFonts w:ascii="仿宋" w:eastAsia="仿宋" w:hAnsi="仿宋" w:hint="eastAsia"/>
          <w:sz w:val="30"/>
          <w:szCs w:val="30"/>
        </w:rPr>
        <w:t xml:space="preserve"> 万元，</w:t>
      </w:r>
      <w:r w:rsidR="0005626E">
        <w:rPr>
          <w:rFonts w:ascii="仿宋" w:eastAsia="仿宋" w:hAnsi="仿宋" w:hint="eastAsia"/>
          <w:sz w:val="30"/>
          <w:szCs w:val="30"/>
        </w:rPr>
        <w:t>下降54</w:t>
      </w:r>
      <w:r>
        <w:rPr>
          <w:rFonts w:ascii="仿宋" w:eastAsia="仿宋" w:hAnsi="仿宋" w:hint="eastAsia"/>
          <w:sz w:val="30"/>
          <w:szCs w:val="30"/>
        </w:rPr>
        <w:t>%，主要原因是：</w:t>
      </w:r>
      <w:r w:rsidR="0005626E">
        <w:rPr>
          <w:rFonts w:ascii="仿宋" w:eastAsia="仿宋" w:hAnsi="仿宋" w:hint="eastAsia"/>
          <w:sz w:val="30"/>
          <w:szCs w:val="30"/>
        </w:rPr>
        <w:t>厉行节约，缩减开支</w:t>
      </w:r>
      <w:r>
        <w:rPr>
          <w:rFonts w:ascii="仿宋" w:eastAsia="仿宋" w:hAnsi="仿宋" w:hint="eastAsia"/>
          <w:sz w:val="30"/>
          <w:szCs w:val="30"/>
        </w:rPr>
        <w:t>。</w:t>
      </w:r>
    </w:p>
    <w:p w:rsidR="00057927" w:rsidRDefault="00057927">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057927" w:rsidRDefault="00057927">
      <w:pPr>
        <w:ind w:firstLine="630"/>
        <w:jc w:val="left"/>
        <w:rPr>
          <w:rFonts w:ascii="仿宋" w:eastAsia="仿宋" w:hAnsi="仿宋"/>
          <w:sz w:val="30"/>
          <w:szCs w:val="30"/>
        </w:rPr>
      </w:pPr>
      <w:r>
        <w:rPr>
          <w:rFonts w:ascii="仿宋" w:eastAsia="仿宋" w:hAnsi="仿宋" w:hint="eastAsia"/>
          <w:sz w:val="30"/>
          <w:szCs w:val="30"/>
        </w:rPr>
        <w:t>本部门2020年度一般公共预算财政拨款“三公”经费支出年初预算数</w:t>
      </w:r>
      <w:r w:rsidR="0028488F">
        <w:rPr>
          <w:rFonts w:ascii="仿宋" w:eastAsia="仿宋" w:hAnsi="仿宋" w:hint="eastAsia"/>
          <w:sz w:val="30"/>
          <w:szCs w:val="30"/>
        </w:rPr>
        <w:t>5</w:t>
      </w:r>
      <w:r>
        <w:rPr>
          <w:rFonts w:ascii="仿宋" w:eastAsia="仿宋" w:hAnsi="仿宋" w:hint="eastAsia"/>
          <w:sz w:val="30"/>
          <w:szCs w:val="30"/>
        </w:rPr>
        <w:t>万元，决算数为</w:t>
      </w:r>
      <w:r w:rsidR="0028488F">
        <w:rPr>
          <w:rFonts w:ascii="仿宋" w:eastAsia="仿宋" w:hAnsi="仿宋" w:hint="eastAsia"/>
          <w:sz w:val="30"/>
          <w:szCs w:val="30"/>
        </w:rPr>
        <w:t>0.34</w:t>
      </w:r>
      <w:r>
        <w:rPr>
          <w:rFonts w:ascii="仿宋" w:eastAsia="仿宋" w:hAnsi="仿宋" w:hint="eastAsia"/>
          <w:sz w:val="30"/>
          <w:szCs w:val="30"/>
        </w:rPr>
        <w:t>万元，完成预算的</w:t>
      </w:r>
      <w:r w:rsidR="0028488F">
        <w:rPr>
          <w:rFonts w:ascii="仿宋" w:eastAsia="仿宋" w:hAnsi="仿宋" w:hint="eastAsia"/>
          <w:sz w:val="30"/>
          <w:szCs w:val="30"/>
        </w:rPr>
        <w:t>6.8</w:t>
      </w:r>
      <w:r>
        <w:rPr>
          <w:rFonts w:ascii="仿宋" w:eastAsia="仿宋" w:hAnsi="仿宋" w:hint="eastAsia"/>
          <w:sz w:val="30"/>
          <w:szCs w:val="30"/>
        </w:rPr>
        <w:t>%，决算数较2019年</w:t>
      </w:r>
      <w:r w:rsidR="0028488F">
        <w:rPr>
          <w:rFonts w:ascii="仿宋" w:eastAsia="仿宋" w:hAnsi="仿宋" w:hint="eastAsia"/>
          <w:sz w:val="30"/>
          <w:szCs w:val="30"/>
        </w:rPr>
        <w:t>减少0.51</w:t>
      </w:r>
      <w:r>
        <w:rPr>
          <w:rFonts w:ascii="仿宋" w:eastAsia="仿宋" w:hAnsi="仿宋" w:hint="eastAsia"/>
          <w:sz w:val="30"/>
          <w:szCs w:val="30"/>
        </w:rPr>
        <w:t xml:space="preserve"> 万元，</w:t>
      </w:r>
      <w:r w:rsidR="0028488F">
        <w:rPr>
          <w:rFonts w:ascii="仿宋" w:eastAsia="仿宋" w:hAnsi="仿宋" w:hint="eastAsia"/>
          <w:sz w:val="30"/>
          <w:szCs w:val="30"/>
        </w:rPr>
        <w:t>减少60</w:t>
      </w:r>
      <w:r>
        <w:rPr>
          <w:rFonts w:ascii="仿宋" w:eastAsia="仿宋" w:hAnsi="仿宋" w:hint="eastAsia"/>
          <w:sz w:val="30"/>
          <w:szCs w:val="30"/>
        </w:rPr>
        <w:t xml:space="preserve"> %，其中：</w:t>
      </w:r>
    </w:p>
    <w:p w:rsidR="00057927" w:rsidRDefault="00057927">
      <w:pPr>
        <w:ind w:firstLine="630"/>
        <w:jc w:val="left"/>
        <w:rPr>
          <w:rFonts w:ascii="仿宋" w:eastAsia="仿宋" w:hAnsi="仿宋"/>
          <w:sz w:val="30"/>
          <w:szCs w:val="30"/>
        </w:rPr>
      </w:pPr>
      <w:r>
        <w:rPr>
          <w:rFonts w:ascii="仿宋" w:eastAsia="仿宋" w:hAnsi="仿宋" w:hint="eastAsia"/>
          <w:sz w:val="30"/>
          <w:szCs w:val="30"/>
        </w:rPr>
        <w:t xml:space="preserve">（一）因公出国（境）支出年初预算数为 </w:t>
      </w:r>
      <w:r w:rsidR="008E5DCD">
        <w:rPr>
          <w:rFonts w:ascii="仿宋" w:eastAsia="仿宋" w:hAnsi="仿宋" w:hint="eastAsia"/>
          <w:sz w:val="30"/>
          <w:szCs w:val="30"/>
        </w:rPr>
        <w:t>0</w:t>
      </w:r>
      <w:r>
        <w:rPr>
          <w:rFonts w:ascii="仿宋" w:eastAsia="仿宋" w:hAnsi="仿宋" w:hint="eastAsia"/>
          <w:sz w:val="30"/>
          <w:szCs w:val="30"/>
        </w:rPr>
        <w:t>万元，决算数为</w:t>
      </w:r>
      <w:r w:rsidR="008E5DCD">
        <w:rPr>
          <w:rFonts w:ascii="仿宋" w:eastAsia="仿宋" w:hAnsi="仿宋" w:hint="eastAsia"/>
          <w:sz w:val="30"/>
          <w:szCs w:val="30"/>
        </w:rPr>
        <w:t>0</w:t>
      </w:r>
      <w:r>
        <w:rPr>
          <w:rFonts w:ascii="仿宋" w:eastAsia="仿宋" w:hAnsi="仿宋" w:hint="eastAsia"/>
          <w:sz w:val="30"/>
          <w:szCs w:val="30"/>
        </w:rPr>
        <w:t>万元。</w:t>
      </w:r>
    </w:p>
    <w:p w:rsidR="00057927" w:rsidRDefault="00057927" w:rsidP="00026B40">
      <w:pPr>
        <w:ind w:firstLine="630"/>
        <w:jc w:val="left"/>
        <w:rPr>
          <w:rFonts w:ascii="仿宋" w:eastAsia="仿宋" w:hAnsi="仿宋"/>
          <w:sz w:val="30"/>
          <w:szCs w:val="30"/>
        </w:rPr>
      </w:pPr>
      <w:r>
        <w:rPr>
          <w:rFonts w:ascii="仿宋" w:eastAsia="仿宋" w:hAnsi="仿宋" w:hint="eastAsia"/>
          <w:sz w:val="30"/>
          <w:szCs w:val="30"/>
        </w:rPr>
        <w:t>（二）公务接待费支出年初预算数为</w:t>
      </w:r>
      <w:r w:rsidR="0028488F">
        <w:rPr>
          <w:rFonts w:ascii="仿宋" w:eastAsia="仿宋" w:hAnsi="仿宋" w:hint="eastAsia"/>
          <w:sz w:val="30"/>
          <w:szCs w:val="30"/>
        </w:rPr>
        <w:t>1.5</w:t>
      </w:r>
      <w:r>
        <w:rPr>
          <w:rFonts w:ascii="仿宋" w:eastAsia="仿宋" w:hAnsi="仿宋" w:hint="eastAsia"/>
          <w:sz w:val="30"/>
          <w:szCs w:val="30"/>
        </w:rPr>
        <w:t>万元，决算数为</w:t>
      </w:r>
      <w:r w:rsidR="008E5DCD">
        <w:rPr>
          <w:rFonts w:ascii="仿宋" w:eastAsia="仿宋" w:hAnsi="仿宋" w:hint="eastAsia"/>
          <w:sz w:val="30"/>
          <w:szCs w:val="30"/>
        </w:rPr>
        <w:t>0</w:t>
      </w:r>
      <w:r>
        <w:rPr>
          <w:rFonts w:ascii="仿宋" w:eastAsia="仿宋" w:hAnsi="仿宋" w:hint="eastAsia"/>
          <w:sz w:val="30"/>
          <w:szCs w:val="30"/>
        </w:rPr>
        <w:t>万元</w:t>
      </w:r>
      <w:r w:rsidR="0028488F">
        <w:rPr>
          <w:rFonts w:ascii="仿宋" w:eastAsia="仿宋" w:hAnsi="仿宋" w:hint="eastAsia"/>
          <w:sz w:val="30"/>
          <w:szCs w:val="30"/>
        </w:rPr>
        <w:t>,</w:t>
      </w:r>
      <w:r>
        <w:rPr>
          <w:rFonts w:ascii="仿宋" w:eastAsia="仿宋" w:hAnsi="仿宋" w:hint="eastAsia"/>
          <w:sz w:val="30"/>
          <w:szCs w:val="30"/>
        </w:rPr>
        <w:t>决算数较2019年</w:t>
      </w:r>
      <w:r w:rsidR="0028488F">
        <w:rPr>
          <w:rFonts w:ascii="仿宋" w:eastAsia="仿宋" w:hAnsi="仿宋" w:hint="eastAsia"/>
          <w:sz w:val="30"/>
          <w:szCs w:val="30"/>
        </w:rPr>
        <w:t>相同</w:t>
      </w:r>
      <w:r>
        <w:rPr>
          <w:rFonts w:ascii="仿宋" w:eastAsia="仿宋" w:hAnsi="仿宋" w:hint="eastAsia"/>
          <w:sz w:val="30"/>
          <w:szCs w:val="30"/>
        </w:rPr>
        <w:t>，主要原因是</w:t>
      </w:r>
      <w:r w:rsidR="0028488F">
        <w:rPr>
          <w:rFonts w:ascii="仿宋" w:eastAsia="仿宋" w:hAnsi="仿宋" w:hint="eastAsia"/>
          <w:sz w:val="30"/>
          <w:szCs w:val="30"/>
        </w:rPr>
        <w:t>厉行节约</w:t>
      </w:r>
      <w:r>
        <w:rPr>
          <w:rFonts w:ascii="仿宋" w:eastAsia="仿宋" w:hAnsi="仿宋" w:hint="eastAsia"/>
          <w:sz w:val="30"/>
          <w:szCs w:val="30"/>
        </w:rPr>
        <w:t>。决算数较年初预算数减少的主要原因是：</w:t>
      </w:r>
      <w:r w:rsidR="00026B40">
        <w:rPr>
          <w:rFonts w:ascii="仿宋" w:eastAsia="仿宋" w:hAnsi="仿宋" w:hint="eastAsia"/>
          <w:sz w:val="30"/>
          <w:szCs w:val="30"/>
        </w:rPr>
        <w:t>严格控制公务接待支出</w:t>
      </w:r>
      <w:r>
        <w:rPr>
          <w:rFonts w:ascii="仿宋" w:eastAsia="仿宋" w:hAnsi="仿宋" w:hint="eastAsia"/>
          <w:sz w:val="30"/>
          <w:szCs w:val="30"/>
        </w:rPr>
        <w:t>。</w:t>
      </w:r>
    </w:p>
    <w:p w:rsidR="00057927" w:rsidRDefault="00057927">
      <w:pPr>
        <w:ind w:firstLine="630"/>
        <w:jc w:val="left"/>
        <w:rPr>
          <w:rFonts w:ascii="仿宋" w:eastAsia="仿宋" w:hAnsi="仿宋"/>
          <w:sz w:val="30"/>
          <w:szCs w:val="30"/>
        </w:rPr>
      </w:pPr>
      <w:r>
        <w:rPr>
          <w:rFonts w:ascii="仿宋" w:eastAsia="仿宋" w:hAnsi="仿宋" w:hint="eastAsia"/>
          <w:sz w:val="30"/>
          <w:szCs w:val="30"/>
        </w:rPr>
        <w:t>（三）公务用车购置及运行维护费支出</w:t>
      </w:r>
      <w:r w:rsidR="0028488F">
        <w:rPr>
          <w:rFonts w:ascii="仿宋" w:eastAsia="仿宋" w:hAnsi="仿宋" w:hint="eastAsia"/>
          <w:sz w:val="30"/>
          <w:szCs w:val="30"/>
        </w:rPr>
        <w:t>0.34</w:t>
      </w:r>
      <w:r>
        <w:rPr>
          <w:rFonts w:ascii="仿宋" w:eastAsia="仿宋" w:hAnsi="仿宋" w:hint="eastAsia"/>
          <w:sz w:val="30"/>
          <w:szCs w:val="30"/>
        </w:rPr>
        <w:t>万元，其中公务用车购置年初预算数为</w:t>
      </w:r>
      <w:r w:rsidR="0028488F">
        <w:rPr>
          <w:rFonts w:ascii="仿宋" w:eastAsia="仿宋" w:hAnsi="仿宋" w:hint="eastAsia"/>
          <w:sz w:val="30"/>
          <w:szCs w:val="30"/>
        </w:rPr>
        <w:t>0</w:t>
      </w:r>
      <w:r>
        <w:rPr>
          <w:rFonts w:ascii="仿宋" w:eastAsia="仿宋" w:hAnsi="仿宋" w:hint="eastAsia"/>
          <w:sz w:val="30"/>
          <w:szCs w:val="30"/>
        </w:rPr>
        <w:t>万元，决算数为</w:t>
      </w:r>
      <w:r w:rsidR="0028488F">
        <w:rPr>
          <w:rFonts w:ascii="仿宋" w:eastAsia="仿宋" w:hAnsi="仿宋" w:hint="eastAsia"/>
          <w:sz w:val="30"/>
          <w:szCs w:val="30"/>
        </w:rPr>
        <w:t>0万元，</w:t>
      </w:r>
      <w:r>
        <w:rPr>
          <w:rFonts w:ascii="仿宋" w:eastAsia="仿宋" w:hAnsi="仿宋" w:hint="eastAsia"/>
          <w:sz w:val="30"/>
          <w:szCs w:val="30"/>
        </w:rPr>
        <w:t>决算数较2019年</w:t>
      </w:r>
      <w:r w:rsidR="0028488F">
        <w:rPr>
          <w:rFonts w:ascii="仿宋" w:eastAsia="仿宋" w:hAnsi="仿宋" w:hint="eastAsia"/>
          <w:sz w:val="30"/>
          <w:szCs w:val="30"/>
        </w:rPr>
        <w:t>相同</w:t>
      </w:r>
      <w:r>
        <w:rPr>
          <w:rFonts w:ascii="仿宋" w:eastAsia="仿宋" w:hAnsi="仿宋" w:hint="eastAsia"/>
          <w:sz w:val="30"/>
          <w:szCs w:val="30"/>
        </w:rPr>
        <w:t>。公务用车运行维护费支出年初预算数为</w:t>
      </w:r>
      <w:r w:rsidR="0028488F">
        <w:rPr>
          <w:rFonts w:ascii="仿宋" w:eastAsia="仿宋" w:hAnsi="仿宋" w:hint="eastAsia"/>
          <w:sz w:val="30"/>
          <w:szCs w:val="30"/>
        </w:rPr>
        <w:t>5</w:t>
      </w:r>
      <w:r>
        <w:rPr>
          <w:rFonts w:ascii="仿宋" w:eastAsia="仿宋" w:hAnsi="仿宋" w:hint="eastAsia"/>
          <w:sz w:val="30"/>
          <w:szCs w:val="30"/>
        </w:rPr>
        <w:t>万元，决算数为</w:t>
      </w:r>
      <w:r w:rsidR="0028488F">
        <w:rPr>
          <w:rFonts w:ascii="仿宋" w:eastAsia="仿宋" w:hAnsi="仿宋" w:hint="eastAsia"/>
          <w:sz w:val="30"/>
          <w:szCs w:val="30"/>
        </w:rPr>
        <w:t>0.34</w:t>
      </w:r>
      <w:r>
        <w:rPr>
          <w:rFonts w:ascii="仿宋" w:eastAsia="仿宋" w:hAnsi="仿宋" w:hint="eastAsia"/>
          <w:sz w:val="30"/>
          <w:szCs w:val="30"/>
        </w:rPr>
        <w:t>万元，完成预算的</w:t>
      </w:r>
      <w:r w:rsidR="0028488F">
        <w:rPr>
          <w:rFonts w:ascii="仿宋" w:eastAsia="仿宋" w:hAnsi="仿宋" w:hint="eastAsia"/>
          <w:sz w:val="30"/>
          <w:szCs w:val="30"/>
        </w:rPr>
        <w:t>6.8</w:t>
      </w:r>
      <w:r>
        <w:rPr>
          <w:rFonts w:ascii="仿宋" w:eastAsia="仿宋" w:hAnsi="仿宋" w:hint="eastAsia"/>
          <w:sz w:val="30"/>
          <w:szCs w:val="30"/>
        </w:rPr>
        <w:t>%，决算数较2019年</w:t>
      </w:r>
      <w:r w:rsidR="0028488F">
        <w:rPr>
          <w:rFonts w:ascii="仿宋" w:eastAsia="仿宋" w:hAnsi="仿宋" w:hint="eastAsia"/>
          <w:sz w:val="30"/>
          <w:szCs w:val="30"/>
        </w:rPr>
        <w:t>减少0.51 万元，减少60 %，</w:t>
      </w:r>
      <w:r>
        <w:rPr>
          <w:rFonts w:ascii="仿宋" w:eastAsia="仿宋" w:hAnsi="仿宋" w:hint="eastAsia"/>
          <w:sz w:val="30"/>
          <w:szCs w:val="30"/>
        </w:rPr>
        <w:t>主要原因是</w:t>
      </w:r>
      <w:r w:rsidR="00731C04">
        <w:rPr>
          <w:rFonts w:ascii="仿宋" w:eastAsia="仿宋" w:hAnsi="仿宋" w:hint="eastAsia"/>
          <w:sz w:val="30"/>
          <w:szCs w:val="30"/>
        </w:rPr>
        <w:t>2020年</w:t>
      </w:r>
      <w:r w:rsidR="0028488F">
        <w:rPr>
          <w:rFonts w:ascii="仿宋" w:eastAsia="仿宋" w:hAnsi="仿宋" w:hint="eastAsia"/>
          <w:sz w:val="30"/>
          <w:szCs w:val="30"/>
        </w:rPr>
        <w:t>厉行节约</w:t>
      </w:r>
      <w:r>
        <w:rPr>
          <w:rFonts w:ascii="仿宋" w:eastAsia="仿宋" w:hAnsi="仿宋" w:hint="eastAsia"/>
          <w:sz w:val="30"/>
          <w:szCs w:val="30"/>
        </w:rPr>
        <w:t>。决算数较年初预算数减少的主要原因是：</w:t>
      </w:r>
      <w:r w:rsidR="00731C04" w:rsidRPr="00731C04">
        <w:rPr>
          <w:rFonts w:ascii="仿宋" w:eastAsia="仿宋" w:hAnsi="仿宋" w:hint="eastAsia"/>
          <w:sz w:val="30"/>
          <w:szCs w:val="30"/>
        </w:rPr>
        <w:t>加强公务车辆运行管理，公务车运行费用降低</w:t>
      </w:r>
      <w:r>
        <w:rPr>
          <w:rFonts w:ascii="仿宋" w:eastAsia="仿宋" w:hAnsi="仿宋" w:hint="eastAsia"/>
          <w:sz w:val="30"/>
          <w:szCs w:val="30"/>
        </w:rPr>
        <w:t>。</w:t>
      </w:r>
    </w:p>
    <w:p w:rsidR="00057927" w:rsidRDefault="00057927">
      <w:pPr>
        <w:ind w:firstLine="630"/>
        <w:jc w:val="left"/>
        <w:rPr>
          <w:rFonts w:ascii="黑体" w:eastAsia="黑体" w:hAnsi="黑体"/>
          <w:sz w:val="30"/>
          <w:szCs w:val="30"/>
        </w:rPr>
      </w:pPr>
      <w:r>
        <w:rPr>
          <w:rFonts w:ascii="黑体" w:eastAsia="黑体" w:hAnsi="黑体" w:hint="eastAsia"/>
          <w:sz w:val="30"/>
          <w:szCs w:val="30"/>
        </w:rPr>
        <w:lastRenderedPageBreak/>
        <w:t>六、机关运行经费支出情况说明</w:t>
      </w:r>
    </w:p>
    <w:p w:rsidR="00057927" w:rsidRDefault="00057927">
      <w:pPr>
        <w:ind w:firstLine="630"/>
        <w:jc w:val="left"/>
        <w:rPr>
          <w:rFonts w:ascii="仿宋" w:eastAsia="仿宋" w:hAnsi="仿宋"/>
          <w:sz w:val="30"/>
          <w:szCs w:val="30"/>
        </w:rPr>
      </w:pPr>
      <w:r>
        <w:rPr>
          <w:rFonts w:ascii="仿宋" w:eastAsia="仿宋" w:hAnsi="仿宋" w:hint="eastAsia"/>
          <w:sz w:val="30"/>
          <w:szCs w:val="30"/>
        </w:rPr>
        <w:t>本部门2020年度机关运行经费支出</w:t>
      </w:r>
      <w:r w:rsidR="0028488F">
        <w:rPr>
          <w:rFonts w:ascii="仿宋" w:eastAsia="仿宋" w:hAnsi="仿宋" w:hint="eastAsia"/>
          <w:sz w:val="30"/>
          <w:szCs w:val="30"/>
        </w:rPr>
        <w:t>51.17</w:t>
      </w:r>
      <w:r>
        <w:rPr>
          <w:rFonts w:ascii="仿宋" w:eastAsia="仿宋" w:hAnsi="仿宋" w:hint="eastAsia"/>
          <w:sz w:val="30"/>
          <w:szCs w:val="30"/>
        </w:rPr>
        <w:t>万元，较</w:t>
      </w:r>
      <w:r w:rsidR="00731C04">
        <w:rPr>
          <w:rFonts w:ascii="仿宋" w:eastAsia="仿宋" w:hAnsi="仿宋" w:hint="eastAsia"/>
          <w:sz w:val="30"/>
          <w:szCs w:val="30"/>
        </w:rPr>
        <w:t>2019年</w:t>
      </w:r>
      <w:r w:rsidR="0028488F">
        <w:rPr>
          <w:rFonts w:ascii="仿宋" w:eastAsia="仿宋" w:hAnsi="仿宋" w:hint="eastAsia"/>
          <w:sz w:val="30"/>
          <w:szCs w:val="30"/>
        </w:rPr>
        <w:t>减少60.06</w:t>
      </w:r>
      <w:r>
        <w:rPr>
          <w:rFonts w:ascii="仿宋" w:eastAsia="仿宋" w:hAnsi="仿宋" w:hint="eastAsia"/>
          <w:sz w:val="30"/>
          <w:szCs w:val="30"/>
        </w:rPr>
        <w:t>万元，</w:t>
      </w:r>
      <w:r w:rsidR="0028488F">
        <w:rPr>
          <w:rFonts w:ascii="仿宋" w:eastAsia="仿宋" w:hAnsi="仿宋" w:hint="eastAsia"/>
          <w:sz w:val="30"/>
          <w:szCs w:val="30"/>
        </w:rPr>
        <w:t>下降54</w:t>
      </w:r>
      <w:r>
        <w:rPr>
          <w:rFonts w:ascii="仿宋" w:eastAsia="仿宋" w:hAnsi="仿宋" w:hint="eastAsia"/>
          <w:sz w:val="30"/>
          <w:szCs w:val="30"/>
        </w:rPr>
        <w:t>%，主要原因是：</w:t>
      </w:r>
      <w:r w:rsidR="0028488F">
        <w:rPr>
          <w:rFonts w:ascii="仿宋" w:eastAsia="仿宋" w:hAnsi="仿宋" w:hint="eastAsia"/>
          <w:sz w:val="30"/>
          <w:szCs w:val="30"/>
        </w:rPr>
        <w:t>厉行节约,缩减开支。</w:t>
      </w:r>
    </w:p>
    <w:p w:rsidR="00057927" w:rsidRDefault="00057927">
      <w:pPr>
        <w:ind w:firstLine="630"/>
        <w:jc w:val="left"/>
        <w:rPr>
          <w:rFonts w:ascii="黑体" w:eastAsia="黑体" w:hAnsi="黑体"/>
          <w:sz w:val="30"/>
          <w:szCs w:val="30"/>
        </w:rPr>
      </w:pPr>
      <w:r>
        <w:rPr>
          <w:rFonts w:ascii="仿宋" w:eastAsia="仿宋" w:hAnsi="仿宋" w:hint="eastAsia"/>
          <w:sz w:val="30"/>
          <w:szCs w:val="30"/>
        </w:rPr>
        <w:t xml:space="preserve"> </w:t>
      </w:r>
      <w:r>
        <w:rPr>
          <w:rFonts w:ascii="黑体" w:eastAsia="黑体" w:hAnsi="黑体" w:hint="eastAsia"/>
          <w:sz w:val="30"/>
          <w:szCs w:val="30"/>
        </w:rPr>
        <w:t>七、政府采购支出情况说明</w:t>
      </w:r>
    </w:p>
    <w:p w:rsidR="00057927" w:rsidRDefault="00057927">
      <w:pPr>
        <w:pStyle w:val="p0"/>
        <w:spacing w:line="600" w:lineRule="atLeast"/>
        <w:ind w:firstLine="600"/>
        <w:rPr>
          <w:rFonts w:ascii="仿宋" w:eastAsia="仿宋" w:hAnsi="仿宋"/>
          <w:sz w:val="30"/>
          <w:szCs w:val="30"/>
        </w:rPr>
      </w:pPr>
      <w:r>
        <w:rPr>
          <w:rFonts w:ascii="仿宋" w:eastAsia="仿宋" w:hAnsi="仿宋" w:hint="eastAsia"/>
          <w:sz w:val="30"/>
          <w:szCs w:val="30"/>
        </w:rPr>
        <w:t>本部门2020年度政府采购支出总额</w:t>
      </w:r>
      <w:r w:rsidR="0005626E">
        <w:rPr>
          <w:rFonts w:ascii="仿宋" w:eastAsia="仿宋" w:hAnsi="仿宋" w:hint="eastAsia"/>
          <w:sz w:val="30"/>
          <w:szCs w:val="30"/>
        </w:rPr>
        <w:t>90.73</w:t>
      </w:r>
      <w:r>
        <w:rPr>
          <w:rFonts w:ascii="仿宋" w:eastAsia="仿宋" w:hAnsi="仿宋" w:hint="eastAsia"/>
          <w:sz w:val="30"/>
          <w:szCs w:val="30"/>
        </w:rPr>
        <w:t>万元，其中：政府采购货物支出</w:t>
      </w:r>
      <w:r w:rsidR="0005626E">
        <w:rPr>
          <w:rFonts w:ascii="仿宋" w:eastAsia="仿宋" w:hAnsi="仿宋" w:hint="eastAsia"/>
          <w:sz w:val="30"/>
          <w:szCs w:val="30"/>
        </w:rPr>
        <w:t>2.03</w:t>
      </w:r>
      <w:r>
        <w:rPr>
          <w:rFonts w:ascii="仿宋" w:eastAsia="仿宋" w:hAnsi="仿宋" w:hint="eastAsia"/>
          <w:sz w:val="30"/>
          <w:szCs w:val="30"/>
        </w:rPr>
        <w:t>万元、政府采购服务支出</w:t>
      </w:r>
      <w:r w:rsidR="0005626E">
        <w:rPr>
          <w:rFonts w:ascii="仿宋" w:eastAsia="仿宋" w:hAnsi="仿宋" w:hint="eastAsia"/>
          <w:sz w:val="30"/>
          <w:szCs w:val="30"/>
        </w:rPr>
        <w:t>88.7</w:t>
      </w:r>
      <w:r>
        <w:rPr>
          <w:rFonts w:ascii="仿宋" w:eastAsia="仿宋" w:hAnsi="仿宋" w:hint="eastAsia"/>
          <w:sz w:val="30"/>
          <w:szCs w:val="30"/>
        </w:rPr>
        <w:t>万元。授予中小企业合同金额</w:t>
      </w:r>
      <w:r w:rsidR="0005626E">
        <w:rPr>
          <w:rFonts w:ascii="仿宋" w:eastAsia="仿宋" w:hAnsi="仿宋" w:hint="eastAsia"/>
          <w:sz w:val="30"/>
          <w:szCs w:val="30"/>
        </w:rPr>
        <w:t>0</w:t>
      </w:r>
      <w:r>
        <w:rPr>
          <w:rFonts w:ascii="仿宋" w:eastAsia="仿宋" w:hAnsi="仿宋" w:hint="eastAsia"/>
          <w:sz w:val="30"/>
          <w:szCs w:val="30"/>
        </w:rPr>
        <w:t>万元。</w:t>
      </w:r>
    </w:p>
    <w:p w:rsidR="00057927" w:rsidRDefault="00057927">
      <w:pPr>
        <w:ind w:firstLine="630"/>
        <w:jc w:val="left"/>
        <w:rPr>
          <w:rFonts w:ascii="黑体" w:eastAsia="黑体" w:hAnsi="黑体"/>
          <w:sz w:val="30"/>
          <w:szCs w:val="30"/>
        </w:rPr>
      </w:pPr>
      <w:r>
        <w:rPr>
          <w:rFonts w:ascii="黑体" w:eastAsia="黑体" w:hAnsi="黑体" w:hint="eastAsia"/>
          <w:sz w:val="30"/>
          <w:szCs w:val="30"/>
        </w:rPr>
        <w:t>八、国有资产占用情况说明。</w:t>
      </w:r>
    </w:p>
    <w:p w:rsidR="00057927" w:rsidRDefault="00057927">
      <w:pPr>
        <w:ind w:firstLine="630"/>
        <w:jc w:val="left"/>
        <w:rPr>
          <w:rFonts w:ascii="仿宋" w:eastAsia="仿宋" w:hAnsi="仿宋"/>
          <w:kern w:val="0"/>
          <w:sz w:val="30"/>
          <w:szCs w:val="30"/>
        </w:rPr>
      </w:pPr>
      <w:r>
        <w:rPr>
          <w:rFonts w:ascii="仿宋" w:eastAsia="仿宋" w:hAnsi="仿宋" w:hint="eastAsia"/>
          <w:kern w:val="0"/>
          <w:sz w:val="30"/>
          <w:szCs w:val="30"/>
        </w:rPr>
        <w:t>截止2020年12月31日，本部门（单位）国有资产占用情况见公开10表《国有资产占用情况表》。其中车辆中的其他用车主要是</w:t>
      </w:r>
      <w:r w:rsidR="00504FA7">
        <w:rPr>
          <w:rFonts w:ascii="仿宋" w:eastAsia="仿宋" w:hAnsi="仿宋" w:hint="eastAsia"/>
          <w:kern w:val="0"/>
          <w:sz w:val="30"/>
          <w:szCs w:val="30"/>
        </w:rPr>
        <w:t>执法执勤用车</w:t>
      </w:r>
      <w:r>
        <w:rPr>
          <w:rFonts w:ascii="仿宋" w:eastAsia="仿宋" w:hAnsi="仿宋" w:hint="eastAsia"/>
          <w:kern w:val="0"/>
          <w:sz w:val="30"/>
          <w:szCs w:val="30"/>
        </w:rPr>
        <w:t>。</w:t>
      </w:r>
    </w:p>
    <w:p w:rsidR="00057927" w:rsidRDefault="00057927">
      <w:pPr>
        <w:ind w:firstLine="630"/>
        <w:jc w:val="left"/>
        <w:rPr>
          <w:rFonts w:ascii="黑体" w:eastAsia="黑体" w:hAnsi="黑体"/>
          <w:sz w:val="30"/>
          <w:szCs w:val="30"/>
        </w:rPr>
      </w:pPr>
      <w:r>
        <w:rPr>
          <w:rFonts w:ascii="黑体" w:eastAsia="黑体" w:hAnsi="黑体" w:hint="eastAsia"/>
          <w:sz w:val="30"/>
          <w:szCs w:val="30"/>
        </w:rPr>
        <w:t>九、预算绩效情况说明</w:t>
      </w:r>
    </w:p>
    <w:p w:rsidR="00057927" w:rsidRDefault="00057927">
      <w:pPr>
        <w:autoSpaceDE w:val="0"/>
        <w:autoSpaceDN w:val="0"/>
        <w:adjustRightInd w:val="0"/>
        <w:spacing w:line="360" w:lineRule="auto"/>
        <w:jc w:val="left"/>
        <w:rPr>
          <w:rFonts w:ascii="仿宋" w:eastAsia="仿宋" w:hAnsi="仿宋" w:cs="仿宋_GB2312"/>
          <w:kern w:val="0"/>
          <w:sz w:val="30"/>
          <w:szCs w:val="30"/>
        </w:rPr>
      </w:pPr>
      <w:r>
        <w:rPr>
          <w:rFonts w:ascii="仿宋" w:eastAsia="仿宋" w:hAnsi="仿宋" w:cs="仿宋_GB2312" w:hint="eastAsia"/>
          <w:kern w:val="0"/>
          <w:sz w:val="30"/>
          <w:szCs w:val="30"/>
        </w:rPr>
        <w:t xml:space="preserve">   （一）绩效管理工作开展情况。</w:t>
      </w:r>
    </w:p>
    <w:p w:rsidR="004E5836" w:rsidRDefault="00057927" w:rsidP="004E5836">
      <w:pPr>
        <w:autoSpaceDE w:val="0"/>
        <w:autoSpaceDN w:val="0"/>
        <w:adjustRightInd w:val="0"/>
        <w:spacing w:line="360" w:lineRule="auto"/>
        <w:ind w:firstLine="585"/>
        <w:jc w:val="left"/>
        <w:rPr>
          <w:rFonts w:ascii="仿宋" w:eastAsia="仿宋" w:hAnsi="仿宋" w:cs="仿宋_GB2312"/>
          <w:kern w:val="0"/>
          <w:sz w:val="30"/>
          <w:szCs w:val="30"/>
        </w:rPr>
      </w:pPr>
      <w:r>
        <w:rPr>
          <w:rFonts w:ascii="仿宋" w:eastAsia="仿宋" w:hAnsi="仿宋" w:cs="仿宋_GB2312" w:hint="eastAsia"/>
          <w:kern w:val="0"/>
          <w:sz w:val="30"/>
          <w:szCs w:val="30"/>
        </w:rPr>
        <w:t>根据预算绩效管理要求，我部门组织</w:t>
      </w:r>
      <w:r w:rsidR="004E5836">
        <w:rPr>
          <w:rFonts w:ascii="仿宋" w:eastAsia="仿宋" w:hAnsi="仿宋" w:hint="eastAsia"/>
          <w:sz w:val="30"/>
          <w:szCs w:val="30"/>
        </w:rPr>
        <w:t>组织对</w:t>
      </w:r>
      <w:r w:rsidR="004E5836" w:rsidRPr="003669FA">
        <w:rPr>
          <w:rFonts w:ascii="仿宋" w:eastAsia="仿宋" w:hAnsi="仿宋" w:hint="eastAsia"/>
          <w:sz w:val="30"/>
          <w:szCs w:val="30"/>
        </w:rPr>
        <w:t>青山湖区市场监督管理局市场监督综合执法大队</w:t>
      </w:r>
      <w:r w:rsidR="004E5836">
        <w:rPr>
          <w:rFonts w:ascii="仿宋" w:eastAsia="仿宋" w:hAnsi="仿宋" w:hint="eastAsia"/>
          <w:sz w:val="30"/>
          <w:szCs w:val="30"/>
        </w:rPr>
        <w:t>一个单位</w:t>
      </w:r>
      <w:r w:rsidR="004E5836">
        <w:rPr>
          <w:rFonts w:ascii="仿宋" w:eastAsia="仿宋" w:hAnsi="仿宋" w:cs="仿宋_GB2312" w:hint="eastAsia"/>
          <w:kern w:val="0"/>
          <w:sz w:val="30"/>
          <w:szCs w:val="30"/>
        </w:rPr>
        <w:t>开展整体支出绩效评价试点，涉及一般公共预算支出654.28万元。</w:t>
      </w:r>
    </w:p>
    <w:p w:rsidR="008F79B6" w:rsidRDefault="008F79B6" w:rsidP="008F79B6">
      <w:pPr>
        <w:autoSpaceDE w:val="0"/>
        <w:autoSpaceDN w:val="0"/>
        <w:adjustRightInd w:val="0"/>
        <w:spacing w:line="360" w:lineRule="auto"/>
        <w:jc w:val="left"/>
        <w:rPr>
          <w:rFonts w:ascii="仿宋" w:eastAsia="仿宋" w:hAnsi="仿宋" w:cs="仿宋_GB2312"/>
          <w:kern w:val="0"/>
          <w:sz w:val="30"/>
          <w:szCs w:val="30"/>
        </w:rPr>
      </w:pPr>
      <w:r w:rsidRPr="008F79B6">
        <w:rPr>
          <w:noProof/>
          <w:szCs w:val="30"/>
        </w:rPr>
        <w:lastRenderedPageBreak/>
        <w:drawing>
          <wp:inline distT="0" distB="0" distL="0" distR="0">
            <wp:extent cx="5274310" cy="4035023"/>
            <wp:effectExtent l="19050" t="0" r="254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274310" cy="4035023"/>
                    </a:xfrm>
                    <a:prstGeom prst="rect">
                      <a:avLst/>
                    </a:prstGeom>
                    <a:noFill/>
                    <a:ln w="9525">
                      <a:noFill/>
                      <a:miter lim="800000"/>
                      <a:headEnd/>
                      <a:tailEnd/>
                    </a:ln>
                  </pic:spPr>
                </pic:pic>
              </a:graphicData>
            </a:graphic>
          </wp:inline>
        </w:drawing>
      </w:r>
    </w:p>
    <w:p w:rsidR="008F79B6" w:rsidRPr="004E5836" w:rsidRDefault="008F79B6" w:rsidP="008F79B6">
      <w:pPr>
        <w:autoSpaceDE w:val="0"/>
        <w:autoSpaceDN w:val="0"/>
        <w:adjustRightInd w:val="0"/>
        <w:spacing w:line="360" w:lineRule="auto"/>
        <w:jc w:val="left"/>
        <w:rPr>
          <w:rFonts w:ascii="仿宋" w:eastAsia="仿宋" w:hAnsi="仿宋"/>
          <w:sz w:val="30"/>
          <w:szCs w:val="30"/>
        </w:rPr>
      </w:pPr>
    </w:p>
    <w:p w:rsidR="008F79B6" w:rsidRDefault="008F79B6" w:rsidP="008E5313">
      <w:pPr>
        <w:widowControl/>
        <w:spacing w:line="600" w:lineRule="exact"/>
        <w:ind w:firstLine="640"/>
        <w:jc w:val="center"/>
        <w:rPr>
          <w:rFonts w:ascii="宋体" w:hAnsi="宋体"/>
          <w:b/>
          <w:sz w:val="32"/>
          <w:szCs w:val="32"/>
        </w:rPr>
      </w:pPr>
    </w:p>
    <w:p w:rsidR="008F79B6" w:rsidRDefault="008F79B6" w:rsidP="008E5313">
      <w:pPr>
        <w:widowControl/>
        <w:spacing w:line="600" w:lineRule="exact"/>
        <w:ind w:firstLine="640"/>
        <w:jc w:val="center"/>
        <w:rPr>
          <w:rFonts w:ascii="宋体" w:hAnsi="宋体"/>
          <w:b/>
          <w:sz w:val="32"/>
          <w:szCs w:val="32"/>
        </w:rPr>
      </w:pPr>
    </w:p>
    <w:p w:rsidR="008E5313" w:rsidRDefault="008E5313" w:rsidP="008E5313">
      <w:pPr>
        <w:widowControl/>
        <w:spacing w:line="600" w:lineRule="exact"/>
        <w:ind w:firstLine="640"/>
        <w:jc w:val="center"/>
        <w:rPr>
          <w:rFonts w:ascii="宋体" w:hAnsi="宋体"/>
          <w:b/>
          <w:sz w:val="32"/>
          <w:szCs w:val="32"/>
        </w:rPr>
      </w:pPr>
      <w:r>
        <w:rPr>
          <w:rFonts w:ascii="宋体" w:hAnsi="宋体" w:hint="eastAsia"/>
          <w:b/>
          <w:sz w:val="32"/>
          <w:szCs w:val="32"/>
        </w:rPr>
        <w:t>第四部分  名词解释</w:t>
      </w:r>
    </w:p>
    <w:p w:rsidR="008E5313" w:rsidRDefault="008E5313" w:rsidP="008E5313">
      <w:pPr>
        <w:rPr>
          <w:rFonts w:ascii="仿宋" w:eastAsia="仿宋" w:hAnsi="仿宋"/>
          <w:kern w:val="0"/>
          <w:sz w:val="30"/>
          <w:szCs w:val="30"/>
        </w:rPr>
      </w:pPr>
      <w:r>
        <w:rPr>
          <w:rFonts w:ascii="仿宋" w:eastAsia="仿宋" w:hAnsi="仿宋" w:hint="eastAsia"/>
          <w:kern w:val="0"/>
          <w:sz w:val="30"/>
          <w:szCs w:val="30"/>
        </w:rPr>
        <w:t xml:space="preserve">  </w:t>
      </w:r>
    </w:p>
    <w:p w:rsidR="008E5313" w:rsidRDefault="008E5313" w:rsidP="008E5313">
      <w:pPr>
        <w:rPr>
          <w:rFonts w:ascii="黑体" w:eastAsia="黑体" w:hAnsi="黑体"/>
          <w:b/>
          <w:bCs/>
          <w:sz w:val="28"/>
          <w:szCs w:val="28"/>
        </w:rPr>
      </w:pPr>
      <w:r>
        <w:rPr>
          <w:rFonts w:ascii="仿宋" w:eastAsia="仿宋" w:hAnsi="仿宋" w:hint="eastAsia"/>
          <w:kern w:val="0"/>
          <w:sz w:val="30"/>
          <w:szCs w:val="30"/>
        </w:rPr>
        <w:t xml:space="preserve">   </w:t>
      </w:r>
      <w:r>
        <w:rPr>
          <w:rFonts w:ascii="仿宋" w:eastAsia="仿宋" w:hAnsi="仿宋" w:hint="eastAsia"/>
          <w:sz w:val="30"/>
          <w:szCs w:val="30"/>
        </w:rPr>
        <w:t xml:space="preserve"> </w:t>
      </w:r>
      <w:r>
        <w:rPr>
          <w:rFonts w:ascii="黑体" w:eastAsia="黑体" w:hAnsi="黑体" w:hint="eastAsia"/>
          <w:b/>
          <w:bCs/>
          <w:sz w:val="28"/>
          <w:szCs w:val="28"/>
        </w:rPr>
        <w:t>一、收入科目</w:t>
      </w:r>
    </w:p>
    <w:p w:rsidR="008E5313" w:rsidRDefault="008E5313" w:rsidP="008E5313">
      <w:pPr>
        <w:widowControl/>
        <w:spacing w:line="600" w:lineRule="exact"/>
        <w:ind w:firstLineChars="100" w:firstLine="320"/>
        <w:jc w:val="left"/>
        <w:rPr>
          <w:rFonts w:ascii="仿宋" w:eastAsia="仿宋" w:hAnsi="仿宋"/>
          <w:sz w:val="32"/>
          <w:szCs w:val="30"/>
        </w:rPr>
      </w:pPr>
      <w:r>
        <w:rPr>
          <w:rFonts w:ascii="仿宋" w:eastAsia="仿宋" w:hAnsi="仿宋" w:hint="eastAsia"/>
          <w:sz w:val="32"/>
          <w:szCs w:val="30"/>
        </w:rPr>
        <w:t xml:space="preserve">（一）财政拨款：指区级财政拨付的资金。 </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t xml:space="preserve">（二）事业收入：指事业单位开展专业业务活动及辅助活动取得的收入。 </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t xml:space="preserve">（三）事业单位经营收入：指事业单位在专业业务活动及辅助活动之外开展非独立核算经营活动取得的收入。 </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lastRenderedPageBreak/>
        <w:t>（四）其他收入：指除财政拨款、事业收入、事业单位经营收入等以外的各项收入。</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t xml:space="preserve">（五）附属单位上缴收入：反映事业单位附属的独立核算单位按规定标准或比例缴纳的各项收入，包括附属的事业单位上缴的收入和附属的企业上缴的利润等。 </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t xml:space="preserve">（六）上级补助收入：反映事业单位从主管部门和上级单位取得的非财政补助收入。 </w:t>
      </w:r>
    </w:p>
    <w:p w:rsidR="008E5313" w:rsidRDefault="008E5313" w:rsidP="008E5313">
      <w:pPr>
        <w:widowControl/>
        <w:spacing w:line="600" w:lineRule="exact"/>
        <w:ind w:firstLineChars="100" w:firstLine="320"/>
        <w:jc w:val="left"/>
        <w:rPr>
          <w:rFonts w:ascii="仿宋" w:eastAsia="仿宋" w:hAnsi="仿宋"/>
          <w:sz w:val="32"/>
          <w:szCs w:val="30"/>
        </w:rPr>
      </w:pPr>
      <w:r>
        <w:rPr>
          <w:rFonts w:ascii="仿宋" w:eastAsia="仿宋" w:hAnsi="仿宋" w:hint="eastAsia"/>
          <w:sz w:val="32"/>
          <w:szCs w:val="30"/>
        </w:rPr>
        <w:t xml:space="preserve">（七）用事业基金弥补收支差额：反映事业单位用事业基金弥补收支差额的数额。 </w:t>
      </w:r>
    </w:p>
    <w:p w:rsidR="008E5313" w:rsidRDefault="008E5313" w:rsidP="008E5313">
      <w:pPr>
        <w:widowControl/>
        <w:spacing w:line="600" w:lineRule="exact"/>
        <w:ind w:firstLineChars="100" w:firstLine="320"/>
        <w:jc w:val="left"/>
        <w:rPr>
          <w:rFonts w:ascii="仿宋" w:eastAsia="仿宋" w:hAnsi="仿宋"/>
          <w:sz w:val="32"/>
          <w:szCs w:val="30"/>
        </w:rPr>
      </w:pPr>
      <w:r>
        <w:rPr>
          <w:rFonts w:ascii="仿宋" w:eastAsia="仿宋" w:hAnsi="仿宋" w:hint="eastAsia"/>
          <w:sz w:val="32"/>
          <w:szCs w:val="30"/>
        </w:rPr>
        <w:t xml:space="preserve">（八）上年结转和结余：指上年结转和结余的资金数，包括当年结转结余资金和历年滚存结转结余资金。 </w:t>
      </w:r>
    </w:p>
    <w:p w:rsidR="008E5313" w:rsidRDefault="008E5313" w:rsidP="008E5313">
      <w:pPr>
        <w:pStyle w:val="p16"/>
        <w:spacing w:line="576" w:lineRule="atLeast"/>
        <w:ind w:firstLine="560"/>
        <w:jc w:val="left"/>
        <w:rPr>
          <w:rFonts w:ascii="黑体" w:eastAsia="黑体" w:hAnsi="黑体"/>
          <w:b/>
          <w:bCs/>
          <w:sz w:val="28"/>
          <w:szCs w:val="28"/>
        </w:rPr>
      </w:pPr>
      <w:r>
        <w:rPr>
          <w:rFonts w:ascii="黑体" w:eastAsia="黑体" w:hAnsi="黑体" w:hint="eastAsia"/>
          <w:b/>
          <w:bCs/>
          <w:sz w:val="28"/>
          <w:szCs w:val="28"/>
        </w:rPr>
        <w:t xml:space="preserve">二、支出科目 </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t xml:space="preserve">（一）一般公共服务（类）行政运行 （项）：指用于保障机构正常运行、开展日常工作的基本支出。 </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t xml:space="preserve">（二）一般公共服务（类）事业运行 （项）：指所属事业单位的基本支出。 </w:t>
      </w:r>
    </w:p>
    <w:p w:rsidR="008E5313" w:rsidRDefault="008E5313" w:rsidP="008E5313">
      <w:pPr>
        <w:widowControl/>
        <w:spacing w:line="600" w:lineRule="exact"/>
        <w:ind w:firstLineChars="100" w:firstLine="320"/>
        <w:jc w:val="left"/>
        <w:rPr>
          <w:rFonts w:ascii="仿宋" w:eastAsia="仿宋" w:hAnsi="仿宋"/>
          <w:sz w:val="32"/>
          <w:szCs w:val="30"/>
        </w:rPr>
      </w:pPr>
      <w:r>
        <w:rPr>
          <w:rFonts w:ascii="仿宋" w:eastAsia="仿宋" w:hAnsi="仿宋" w:hint="eastAsia"/>
          <w:sz w:val="32"/>
          <w:szCs w:val="30"/>
        </w:rPr>
        <w:t>（三）一般公共服务（类）其他事务支出（项）：指除上述项目以外其他事业方面的支出。</w:t>
      </w:r>
    </w:p>
    <w:p w:rsidR="008E5313" w:rsidRDefault="008E5313" w:rsidP="008E5313">
      <w:pPr>
        <w:widowControl/>
        <w:spacing w:line="600" w:lineRule="exact"/>
        <w:ind w:firstLineChars="100" w:firstLine="320"/>
        <w:jc w:val="left"/>
        <w:rPr>
          <w:rFonts w:ascii="仿宋" w:eastAsia="仿宋" w:hAnsi="仿宋"/>
          <w:sz w:val="32"/>
          <w:szCs w:val="30"/>
        </w:rPr>
      </w:pPr>
      <w:r>
        <w:rPr>
          <w:rFonts w:ascii="仿宋" w:eastAsia="仿宋" w:hAnsi="仿宋" w:hint="eastAsia"/>
          <w:sz w:val="32"/>
          <w:szCs w:val="30"/>
        </w:rPr>
        <w:t xml:space="preserve"> （四）行政单位离退休（项）：反映未实行归口管理的行政单位（包括实行公务员管理的事业单位）开支的离退休支出。</w:t>
      </w:r>
    </w:p>
    <w:p w:rsidR="008E5313" w:rsidRDefault="008E5313" w:rsidP="008E5313">
      <w:pPr>
        <w:widowControl/>
        <w:spacing w:line="600" w:lineRule="exact"/>
        <w:ind w:firstLineChars="150" w:firstLine="480"/>
        <w:jc w:val="left"/>
        <w:rPr>
          <w:rFonts w:ascii="仿宋" w:eastAsia="仿宋" w:hAnsi="仿宋"/>
          <w:sz w:val="32"/>
          <w:szCs w:val="30"/>
        </w:rPr>
      </w:pPr>
      <w:r>
        <w:rPr>
          <w:rFonts w:ascii="仿宋" w:eastAsia="仿宋" w:hAnsi="仿宋" w:hint="eastAsia"/>
          <w:sz w:val="32"/>
          <w:szCs w:val="30"/>
        </w:rPr>
        <w:t>（五）“三公”经费：指使用一般公共预算财政拨款安排的因公出国(境)费、公务用车购置及运行维护费和公务接</w:t>
      </w:r>
      <w:r>
        <w:rPr>
          <w:rFonts w:ascii="仿宋" w:eastAsia="仿宋" w:hAnsi="仿宋" w:hint="eastAsia"/>
          <w:sz w:val="32"/>
          <w:szCs w:val="30"/>
        </w:rPr>
        <w:lastRenderedPageBreak/>
        <w:t>待费。其中，因公出国(境)费用反映单位公务出国(境)的国际旅费、国外城市间交通费、住宿费、伙食费、培训费、公杂费等支出；公务用车购置及运行维护费反映单位公务用车车辆购置支出(含车辆购置税)及租用费、燃料费、维修费、过桥过路费、保险费、安全奖励费用等支出；公务接待费反映单位按规定开支的各类公务接待(含外宾接待)费用。</w:t>
      </w:r>
    </w:p>
    <w:p w:rsidR="008E5313" w:rsidRDefault="008E5313" w:rsidP="008E5313">
      <w:pPr>
        <w:widowControl/>
        <w:spacing w:line="600" w:lineRule="exact"/>
        <w:ind w:firstLineChars="150" w:firstLine="480"/>
        <w:jc w:val="left"/>
        <w:rPr>
          <w:rFonts w:ascii="仿宋" w:eastAsia="仿宋" w:hAnsi="仿宋"/>
          <w:sz w:val="30"/>
          <w:szCs w:val="30"/>
        </w:rPr>
      </w:pPr>
      <w:r>
        <w:rPr>
          <w:rFonts w:ascii="仿宋" w:eastAsia="仿宋" w:hAnsi="仿宋" w:hint="eastAsia"/>
          <w:sz w:val="32"/>
          <w:szCs w:val="30"/>
        </w:rPr>
        <w:t>（六）机关运行经费：行政单位和参照公务员法管理的事业单位为保障单位运行使用一般公共预算财政拨款安排的基本支出中的日常公用经费支出。包括办公费、印刷费、邮电费、差旅费、会议费、福利费、公务接待费、日常维修费、租赁费、劳务费、公务用车运行维护费以及其他费用。</w:t>
      </w:r>
    </w:p>
    <w:p w:rsidR="00057927" w:rsidRPr="008E5313" w:rsidRDefault="00057927">
      <w:pPr>
        <w:rPr>
          <w:rFonts w:ascii="仿宋" w:eastAsia="仿宋" w:hAnsi="仿宋"/>
          <w:sz w:val="30"/>
          <w:szCs w:val="30"/>
        </w:rPr>
      </w:pPr>
    </w:p>
    <w:p w:rsidR="00057927" w:rsidRDefault="00057927">
      <w:pPr>
        <w:rPr>
          <w:rFonts w:ascii="仿宋" w:eastAsia="仿宋" w:hAnsi="仿宋"/>
          <w:sz w:val="30"/>
          <w:szCs w:val="30"/>
        </w:rPr>
      </w:pPr>
    </w:p>
    <w:p w:rsidR="00057927" w:rsidRDefault="00057927">
      <w:pPr>
        <w:rPr>
          <w:rFonts w:ascii="仿宋" w:eastAsia="仿宋" w:hAnsi="仿宋"/>
          <w:sz w:val="30"/>
          <w:szCs w:val="30"/>
        </w:rPr>
      </w:pPr>
      <w:r>
        <w:rPr>
          <w:rFonts w:ascii="仿宋" w:eastAsia="仿宋" w:hAnsi="仿宋" w:hint="eastAsia"/>
          <w:sz w:val="30"/>
          <w:szCs w:val="30"/>
        </w:rPr>
        <w:t xml:space="preserve"> </w:t>
      </w:r>
    </w:p>
    <w:p w:rsidR="00057927" w:rsidRDefault="00057927">
      <w:pPr>
        <w:spacing w:line="360" w:lineRule="auto"/>
        <w:rPr>
          <w:rFonts w:ascii="仿宋" w:eastAsia="仿宋" w:hAnsi="仿宋"/>
          <w:sz w:val="30"/>
          <w:szCs w:val="30"/>
        </w:rPr>
      </w:pPr>
    </w:p>
    <w:sectPr w:rsidR="00057927" w:rsidSect="003D46E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5A4" w:rsidRDefault="009135A4" w:rsidP="00220CD5">
      <w:r>
        <w:separator/>
      </w:r>
    </w:p>
  </w:endnote>
  <w:endnote w:type="continuationSeparator" w:id="1">
    <w:p w:rsidR="009135A4" w:rsidRDefault="009135A4" w:rsidP="00220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5A4" w:rsidRDefault="009135A4" w:rsidP="00220CD5">
      <w:r>
        <w:separator/>
      </w:r>
    </w:p>
  </w:footnote>
  <w:footnote w:type="continuationSeparator" w:id="1">
    <w:p w:rsidR="009135A4" w:rsidRDefault="009135A4" w:rsidP="00220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1AB64"/>
    <w:multiLevelType w:val="singleLevel"/>
    <w:tmpl w:val="CEF1AB64"/>
    <w:lvl w:ilvl="0">
      <w:start w:val="8"/>
      <w:numFmt w:val="chineseCounting"/>
      <w:suff w:val="nothing"/>
      <w:lvlText w:val="%1、"/>
      <w:lvlJc w:val="left"/>
      <w:pPr>
        <w:ind w:left="12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1356C"/>
    <w:rsid w:val="00026B40"/>
    <w:rsid w:val="0004412B"/>
    <w:rsid w:val="0005626E"/>
    <w:rsid w:val="00057927"/>
    <w:rsid w:val="0011495D"/>
    <w:rsid w:val="00172A27"/>
    <w:rsid w:val="00184EC7"/>
    <w:rsid w:val="00186809"/>
    <w:rsid w:val="0019514B"/>
    <w:rsid w:val="001C2683"/>
    <w:rsid w:val="001C4AD2"/>
    <w:rsid w:val="00220CD5"/>
    <w:rsid w:val="0023162A"/>
    <w:rsid w:val="0025786F"/>
    <w:rsid w:val="0028488F"/>
    <w:rsid w:val="002F11A5"/>
    <w:rsid w:val="00362E69"/>
    <w:rsid w:val="003669FA"/>
    <w:rsid w:val="003A7E00"/>
    <w:rsid w:val="003D46E6"/>
    <w:rsid w:val="004548CF"/>
    <w:rsid w:val="0048098E"/>
    <w:rsid w:val="004D0CC5"/>
    <w:rsid w:val="004E0899"/>
    <w:rsid w:val="004E5836"/>
    <w:rsid w:val="00504FA7"/>
    <w:rsid w:val="005511F9"/>
    <w:rsid w:val="00560D95"/>
    <w:rsid w:val="005F39B5"/>
    <w:rsid w:val="00636DA4"/>
    <w:rsid w:val="006B33E8"/>
    <w:rsid w:val="006C2A18"/>
    <w:rsid w:val="00731C04"/>
    <w:rsid w:val="007A7480"/>
    <w:rsid w:val="0082578F"/>
    <w:rsid w:val="00890209"/>
    <w:rsid w:val="008E5313"/>
    <w:rsid w:val="008E5DCD"/>
    <w:rsid w:val="008F79B6"/>
    <w:rsid w:val="00903CA6"/>
    <w:rsid w:val="009135A4"/>
    <w:rsid w:val="009641DC"/>
    <w:rsid w:val="00973D26"/>
    <w:rsid w:val="00A251A3"/>
    <w:rsid w:val="00A50E1A"/>
    <w:rsid w:val="00AC7655"/>
    <w:rsid w:val="00B3226E"/>
    <w:rsid w:val="00BA7FCF"/>
    <w:rsid w:val="00BF245C"/>
    <w:rsid w:val="00CB175A"/>
    <w:rsid w:val="00D16C58"/>
    <w:rsid w:val="00D16E8D"/>
    <w:rsid w:val="00D46F82"/>
    <w:rsid w:val="00DA64EF"/>
    <w:rsid w:val="00DF6E69"/>
    <w:rsid w:val="00E44652"/>
    <w:rsid w:val="00E94B01"/>
    <w:rsid w:val="00EA273A"/>
    <w:rsid w:val="00F001A7"/>
    <w:rsid w:val="00F40BDD"/>
    <w:rsid w:val="00F86C50"/>
    <w:rsid w:val="00F96891"/>
    <w:rsid w:val="076D374E"/>
    <w:rsid w:val="16FC47B8"/>
    <w:rsid w:val="17636C08"/>
    <w:rsid w:val="195A6CF6"/>
    <w:rsid w:val="1B562253"/>
    <w:rsid w:val="1C9F6334"/>
    <w:rsid w:val="24201257"/>
    <w:rsid w:val="2D9519C3"/>
    <w:rsid w:val="36716B17"/>
    <w:rsid w:val="3D0F50C1"/>
    <w:rsid w:val="46A77AC9"/>
    <w:rsid w:val="4EED34E2"/>
    <w:rsid w:val="508634C3"/>
    <w:rsid w:val="57C35C95"/>
    <w:rsid w:val="589B7671"/>
    <w:rsid w:val="63F14814"/>
    <w:rsid w:val="67874F61"/>
    <w:rsid w:val="784E0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46E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3D46E6"/>
    <w:rPr>
      <w:sz w:val="18"/>
      <w:szCs w:val="18"/>
    </w:rPr>
  </w:style>
  <w:style w:type="character" w:customStyle="1" w:styleId="Char0">
    <w:name w:val="批注框文本 Char"/>
    <w:basedOn w:val="a0"/>
    <w:link w:val="a4"/>
    <w:rsid w:val="003D46E6"/>
    <w:rPr>
      <w:sz w:val="18"/>
      <w:szCs w:val="18"/>
    </w:rPr>
  </w:style>
  <w:style w:type="character" w:customStyle="1" w:styleId="Char1">
    <w:name w:val="页眉 Char"/>
    <w:basedOn w:val="a0"/>
    <w:link w:val="a5"/>
    <w:rsid w:val="003D46E6"/>
    <w:rPr>
      <w:sz w:val="18"/>
      <w:szCs w:val="18"/>
    </w:rPr>
  </w:style>
  <w:style w:type="paragraph" w:customStyle="1" w:styleId="p0">
    <w:name w:val="p0"/>
    <w:basedOn w:val="a"/>
    <w:rsid w:val="003D46E6"/>
    <w:pPr>
      <w:widowControl/>
    </w:pPr>
    <w:rPr>
      <w:kern w:val="0"/>
      <w:szCs w:val="21"/>
    </w:rPr>
  </w:style>
  <w:style w:type="paragraph" w:styleId="a4">
    <w:name w:val="Balloon Text"/>
    <w:basedOn w:val="a"/>
    <w:link w:val="Char0"/>
    <w:rsid w:val="003D46E6"/>
    <w:rPr>
      <w:sz w:val="18"/>
      <w:szCs w:val="18"/>
    </w:rPr>
  </w:style>
  <w:style w:type="paragraph" w:styleId="a5">
    <w:name w:val="header"/>
    <w:basedOn w:val="a"/>
    <w:link w:val="Char1"/>
    <w:rsid w:val="003D46E6"/>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3D46E6"/>
    <w:pPr>
      <w:tabs>
        <w:tab w:val="center" w:pos="4153"/>
        <w:tab w:val="right" w:pos="8306"/>
      </w:tabs>
      <w:snapToGrid w:val="0"/>
      <w:jc w:val="left"/>
    </w:pPr>
    <w:rPr>
      <w:sz w:val="18"/>
      <w:szCs w:val="18"/>
    </w:rPr>
  </w:style>
  <w:style w:type="paragraph" w:customStyle="1" w:styleId="p16">
    <w:name w:val="p16"/>
    <w:basedOn w:val="a"/>
    <w:rsid w:val="008E5313"/>
    <w:pPr>
      <w:widowControl/>
    </w:pPr>
    <w:rPr>
      <w:kern w:val="0"/>
      <w:szCs w:val="21"/>
    </w:rPr>
  </w:style>
</w:styles>
</file>

<file path=word/webSettings.xml><?xml version="1.0" encoding="utf-8"?>
<w:webSettings xmlns:r="http://schemas.openxmlformats.org/officeDocument/2006/relationships" xmlns:w="http://schemas.openxmlformats.org/wordprocessingml/2006/main">
  <w:divs>
    <w:div w:id="115177498">
      <w:bodyDiv w:val="1"/>
      <w:marLeft w:val="0"/>
      <w:marRight w:val="0"/>
      <w:marTop w:val="0"/>
      <w:marBottom w:val="0"/>
      <w:divBdr>
        <w:top w:val="none" w:sz="0" w:space="0" w:color="auto"/>
        <w:left w:val="none" w:sz="0" w:space="0" w:color="auto"/>
        <w:bottom w:val="none" w:sz="0" w:space="0" w:color="auto"/>
        <w:right w:val="none" w:sz="0" w:space="0" w:color="auto"/>
      </w:divBdr>
    </w:div>
    <w:div w:id="258954067">
      <w:bodyDiv w:val="1"/>
      <w:marLeft w:val="0"/>
      <w:marRight w:val="0"/>
      <w:marTop w:val="0"/>
      <w:marBottom w:val="0"/>
      <w:divBdr>
        <w:top w:val="none" w:sz="0" w:space="0" w:color="auto"/>
        <w:left w:val="none" w:sz="0" w:space="0" w:color="auto"/>
        <w:bottom w:val="none" w:sz="0" w:space="0" w:color="auto"/>
        <w:right w:val="none" w:sz="0" w:space="0" w:color="auto"/>
      </w:divBdr>
    </w:div>
    <w:div w:id="269944680">
      <w:bodyDiv w:val="1"/>
      <w:marLeft w:val="0"/>
      <w:marRight w:val="0"/>
      <w:marTop w:val="0"/>
      <w:marBottom w:val="0"/>
      <w:divBdr>
        <w:top w:val="none" w:sz="0" w:space="0" w:color="auto"/>
        <w:left w:val="none" w:sz="0" w:space="0" w:color="auto"/>
        <w:bottom w:val="none" w:sz="0" w:space="0" w:color="auto"/>
        <w:right w:val="none" w:sz="0" w:space="0" w:color="auto"/>
      </w:divBdr>
    </w:div>
    <w:div w:id="298343132">
      <w:bodyDiv w:val="1"/>
      <w:marLeft w:val="0"/>
      <w:marRight w:val="0"/>
      <w:marTop w:val="0"/>
      <w:marBottom w:val="0"/>
      <w:divBdr>
        <w:top w:val="none" w:sz="0" w:space="0" w:color="auto"/>
        <w:left w:val="none" w:sz="0" w:space="0" w:color="auto"/>
        <w:bottom w:val="none" w:sz="0" w:space="0" w:color="auto"/>
        <w:right w:val="none" w:sz="0" w:space="0" w:color="auto"/>
      </w:divBdr>
    </w:div>
    <w:div w:id="323899341">
      <w:bodyDiv w:val="1"/>
      <w:marLeft w:val="0"/>
      <w:marRight w:val="0"/>
      <w:marTop w:val="0"/>
      <w:marBottom w:val="0"/>
      <w:divBdr>
        <w:top w:val="none" w:sz="0" w:space="0" w:color="auto"/>
        <w:left w:val="none" w:sz="0" w:space="0" w:color="auto"/>
        <w:bottom w:val="none" w:sz="0" w:space="0" w:color="auto"/>
        <w:right w:val="none" w:sz="0" w:space="0" w:color="auto"/>
      </w:divBdr>
    </w:div>
    <w:div w:id="354622950">
      <w:bodyDiv w:val="1"/>
      <w:marLeft w:val="0"/>
      <w:marRight w:val="0"/>
      <w:marTop w:val="0"/>
      <w:marBottom w:val="0"/>
      <w:divBdr>
        <w:top w:val="none" w:sz="0" w:space="0" w:color="auto"/>
        <w:left w:val="none" w:sz="0" w:space="0" w:color="auto"/>
        <w:bottom w:val="none" w:sz="0" w:space="0" w:color="auto"/>
        <w:right w:val="none" w:sz="0" w:space="0" w:color="auto"/>
      </w:divBdr>
    </w:div>
    <w:div w:id="360473914">
      <w:bodyDiv w:val="1"/>
      <w:marLeft w:val="0"/>
      <w:marRight w:val="0"/>
      <w:marTop w:val="0"/>
      <w:marBottom w:val="0"/>
      <w:divBdr>
        <w:top w:val="none" w:sz="0" w:space="0" w:color="auto"/>
        <w:left w:val="none" w:sz="0" w:space="0" w:color="auto"/>
        <w:bottom w:val="none" w:sz="0" w:space="0" w:color="auto"/>
        <w:right w:val="none" w:sz="0" w:space="0" w:color="auto"/>
      </w:divBdr>
    </w:div>
    <w:div w:id="518667238">
      <w:bodyDiv w:val="1"/>
      <w:marLeft w:val="0"/>
      <w:marRight w:val="0"/>
      <w:marTop w:val="0"/>
      <w:marBottom w:val="0"/>
      <w:divBdr>
        <w:top w:val="none" w:sz="0" w:space="0" w:color="auto"/>
        <w:left w:val="none" w:sz="0" w:space="0" w:color="auto"/>
        <w:bottom w:val="none" w:sz="0" w:space="0" w:color="auto"/>
        <w:right w:val="none" w:sz="0" w:space="0" w:color="auto"/>
      </w:divBdr>
    </w:div>
    <w:div w:id="519658827">
      <w:bodyDiv w:val="1"/>
      <w:marLeft w:val="0"/>
      <w:marRight w:val="0"/>
      <w:marTop w:val="0"/>
      <w:marBottom w:val="0"/>
      <w:divBdr>
        <w:top w:val="none" w:sz="0" w:space="0" w:color="auto"/>
        <w:left w:val="none" w:sz="0" w:space="0" w:color="auto"/>
        <w:bottom w:val="none" w:sz="0" w:space="0" w:color="auto"/>
        <w:right w:val="none" w:sz="0" w:space="0" w:color="auto"/>
      </w:divBdr>
    </w:div>
    <w:div w:id="520775556">
      <w:bodyDiv w:val="1"/>
      <w:marLeft w:val="0"/>
      <w:marRight w:val="0"/>
      <w:marTop w:val="0"/>
      <w:marBottom w:val="0"/>
      <w:divBdr>
        <w:top w:val="none" w:sz="0" w:space="0" w:color="auto"/>
        <w:left w:val="none" w:sz="0" w:space="0" w:color="auto"/>
        <w:bottom w:val="none" w:sz="0" w:space="0" w:color="auto"/>
        <w:right w:val="none" w:sz="0" w:space="0" w:color="auto"/>
      </w:divBdr>
    </w:div>
    <w:div w:id="543178912">
      <w:bodyDiv w:val="1"/>
      <w:marLeft w:val="0"/>
      <w:marRight w:val="0"/>
      <w:marTop w:val="0"/>
      <w:marBottom w:val="0"/>
      <w:divBdr>
        <w:top w:val="none" w:sz="0" w:space="0" w:color="auto"/>
        <w:left w:val="none" w:sz="0" w:space="0" w:color="auto"/>
        <w:bottom w:val="none" w:sz="0" w:space="0" w:color="auto"/>
        <w:right w:val="none" w:sz="0" w:space="0" w:color="auto"/>
      </w:divBdr>
    </w:div>
    <w:div w:id="562788885">
      <w:bodyDiv w:val="1"/>
      <w:marLeft w:val="0"/>
      <w:marRight w:val="0"/>
      <w:marTop w:val="0"/>
      <w:marBottom w:val="0"/>
      <w:divBdr>
        <w:top w:val="none" w:sz="0" w:space="0" w:color="auto"/>
        <w:left w:val="none" w:sz="0" w:space="0" w:color="auto"/>
        <w:bottom w:val="none" w:sz="0" w:space="0" w:color="auto"/>
        <w:right w:val="none" w:sz="0" w:space="0" w:color="auto"/>
      </w:divBdr>
    </w:div>
    <w:div w:id="630213695">
      <w:bodyDiv w:val="1"/>
      <w:marLeft w:val="0"/>
      <w:marRight w:val="0"/>
      <w:marTop w:val="0"/>
      <w:marBottom w:val="0"/>
      <w:divBdr>
        <w:top w:val="none" w:sz="0" w:space="0" w:color="auto"/>
        <w:left w:val="none" w:sz="0" w:space="0" w:color="auto"/>
        <w:bottom w:val="none" w:sz="0" w:space="0" w:color="auto"/>
        <w:right w:val="none" w:sz="0" w:space="0" w:color="auto"/>
      </w:divBdr>
    </w:div>
    <w:div w:id="655688100">
      <w:bodyDiv w:val="1"/>
      <w:marLeft w:val="0"/>
      <w:marRight w:val="0"/>
      <w:marTop w:val="0"/>
      <w:marBottom w:val="0"/>
      <w:divBdr>
        <w:top w:val="none" w:sz="0" w:space="0" w:color="auto"/>
        <w:left w:val="none" w:sz="0" w:space="0" w:color="auto"/>
        <w:bottom w:val="none" w:sz="0" w:space="0" w:color="auto"/>
        <w:right w:val="none" w:sz="0" w:space="0" w:color="auto"/>
      </w:divBdr>
    </w:div>
    <w:div w:id="666060008">
      <w:bodyDiv w:val="1"/>
      <w:marLeft w:val="0"/>
      <w:marRight w:val="0"/>
      <w:marTop w:val="0"/>
      <w:marBottom w:val="0"/>
      <w:divBdr>
        <w:top w:val="none" w:sz="0" w:space="0" w:color="auto"/>
        <w:left w:val="none" w:sz="0" w:space="0" w:color="auto"/>
        <w:bottom w:val="none" w:sz="0" w:space="0" w:color="auto"/>
        <w:right w:val="none" w:sz="0" w:space="0" w:color="auto"/>
      </w:divBdr>
    </w:div>
    <w:div w:id="667943876">
      <w:bodyDiv w:val="1"/>
      <w:marLeft w:val="0"/>
      <w:marRight w:val="0"/>
      <w:marTop w:val="0"/>
      <w:marBottom w:val="0"/>
      <w:divBdr>
        <w:top w:val="none" w:sz="0" w:space="0" w:color="auto"/>
        <w:left w:val="none" w:sz="0" w:space="0" w:color="auto"/>
        <w:bottom w:val="none" w:sz="0" w:space="0" w:color="auto"/>
        <w:right w:val="none" w:sz="0" w:space="0" w:color="auto"/>
      </w:divBdr>
    </w:div>
    <w:div w:id="934872208">
      <w:bodyDiv w:val="1"/>
      <w:marLeft w:val="0"/>
      <w:marRight w:val="0"/>
      <w:marTop w:val="0"/>
      <w:marBottom w:val="0"/>
      <w:divBdr>
        <w:top w:val="none" w:sz="0" w:space="0" w:color="auto"/>
        <w:left w:val="none" w:sz="0" w:space="0" w:color="auto"/>
        <w:bottom w:val="none" w:sz="0" w:space="0" w:color="auto"/>
        <w:right w:val="none" w:sz="0" w:space="0" w:color="auto"/>
      </w:divBdr>
    </w:div>
    <w:div w:id="1052923359">
      <w:bodyDiv w:val="1"/>
      <w:marLeft w:val="0"/>
      <w:marRight w:val="0"/>
      <w:marTop w:val="0"/>
      <w:marBottom w:val="0"/>
      <w:divBdr>
        <w:top w:val="none" w:sz="0" w:space="0" w:color="auto"/>
        <w:left w:val="none" w:sz="0" w:space="0" w:color="auto"/>
        <w:bottom w:val="none" w:sz="0" w:space="0" w:color="auto"/>
        <w:right w:val="none" w:sz="0" w:space="0" w:color="auto"/>
      </w:divBdr>
    </w:div>
    <w:div w:id="1091588723">
      <w:bodyDiv w:val="1"/>
      <w:marLeft w:val="0"/>
      <w:marRight w:val="0"/>
      <w:marTop w:val="0"/>
      <w:marBottom w:val="0"/>
      <w:divBdr>
        <w:top w:val="none" w:sz="0" w:space="0" w:color="auto"/>
        <w:left w:val="none" w:sz="0" w:space="0" w:color="auto"/>
        <w:bottom w:val="none" w:sz="0" w:space="0" w:color="auto"/>
        <w:right w:val="none" w:sz="0" w:space="0" w:color="auto"/>
      </w:divBdr>
    </w:div>
    <w:div w:id="1127510707">
      <w:bodyDiv w:val="1"/>
      <w:marLeft w:val="0"/>
      <w:marRight w:val="0"/>
      <w:marTop w:val="0"/>
      <w:marBottom w:val="0"/>
      <w:divBdr>
        <w:top w:val="none" w:sz="0" w:space="0" w:color="auto"/>
        <w:left w:val="none" w:sz="0" w:space="0" w:color="auto"/>
        <w:bottom w:val="none" w:sz="0" w:space="0" w:color="auto"/>
        <w:right w:val="none" w:sz="0" w:space="0" w:color="auto"/>
      </w:divBdr>
    </w:div>
    <w:div w:id="1153061810">
      <w:bodyDiv w:val="1"/>
      <w:marLeft w:val="0"/>
      <w:marRight w:val="0"/>
      <w:marTop w:val="0"/>
      <w:marBottom w:val="0"/>
      <w:divBdr>
        <w:top w:val="none" w:sz="0" w:space="0" w:color="auto"/>
        <w:left w:val="none" w:sz="0" w:space="0" w:color="auto"/>
        <w:bottom w:val="none" w:sz="0" w:space="0" w:color="auto"/>
        <w:right w:val="none" w:sz="0" w:space="0" w:color="auto"/>
      </w:divBdr>
    </w:div>
    <w:div w:id="1228296940">
      <w:bodyDiv w:val="1"/>
      <w:marLeft w:val="0"/>
      <w:marRight w:val="0"/>
      <w:marTop w:val="0"/>
      <w:marBottom w:val="0"/>
      <w:divBdr>
        <w:top w:val="none" w:sz="0" w:space="0" w:color="auto"/>
        <w:left w:val="none" w:sz="0" w:space="0" w:color="auto"/>
        <w:bottom w:val="none" w:sz="0" w:space="0" w:color="auto"/>
        <w:right w:val="none" w:sz="0" w:space="0" w:color="auto"/>
      </w:divBdr>
    </w:div>
    <w:div w:id="1253203780">
      <w:bodyDiv w:val="1"/>
      <w:marLeft w:val="0"/>
      <w:marRight w:val="0"/>
      <w:marTop w:val="0"/>
      <w:marBottom w:val="0"/>
      <w:divBdr>
        <w:top w:val="none" w:sz="0" w:space="0" w:color="auto"/>
        <w:left w:val="none" w:sz="0" w:space="0" w:color="auto"/>
        <w:bottom w:val="none" w:sz="0" w:space="0" w:color="auto"/>
        <w:right w:val="none" w:sz="0" w:space="0" w:color="auto"/>
      </w:divBdr>
    </w:div>
    <w:div w:id="1397317546">
      <w:bodyDiv w:val="1"/>
      <w:marLeft w:val="0"/>
      <w:marRight w:val="0"/>
      <w:marTop w:val="0"/>
      <w:marBottom w:val="0"/>
      <w:divBdr>
        <w:top w:val="none" w:sz="0" w:space="0" w:color="auto"/>
        <w:left w:val="none" w:sz="0" w:space="0" w:color="auto"/>
        <w:bottom w:val="none" w:sz="0" w:space="0" w:color="auto"/>
        <w:right w:val="none" w:sz="0" w:space="0" w:color="auto"/>
      </w:divBdr>
    </w:div>
    <w:div w:id="1477837662">
      <w:bodyDiv w:val="1"/>
      <w:marLeft w:val="0"/>
      <w:marRight w:val="0"/>
      <w:marTop w:val="0"/>
      <w:marBottom w:val="0"/>
      <w:divBdr>
        <w:top w:val="none" w:sz="0" w:space="0" w:color="auto"/>
        <w:left w:val="none" w:sz="0" w:space="0" w:color="auto"/>
        <w:bottom w:val="none" w:sz="0" w:space="0" w:color="auto"/>
        <w:right w:val="none" w:sz="0" w:space="0" w:color="auto"/>
      </w:divBdr>
    </w:div>
    <w:div w:id="1519391271">
      <w:bodyDiv w:val="1"/>
      <w:marLeft w:val="0"/>
      <w:marRight w:val="0"/>
      <w:marTop w:val="0"/>
      <w:marBottom w:val="0"/>
      <w:divBdr>
        <w:top w:val="none" w:sz="0" w:space="0" w:color="auto"/>
        <w:left w:val="none" w:sz="0" w:space="0" w:color="auto"/>
        <w:bottom w:val="none" w:sz="0" w:space="0" w:color="auto"/>
        <w:right w:val="none" w:sz="0" w:space="0" w:color="auto"/>
      </w:divBdr>
    </w:div>
    <w:div w:id="1667439921">
      <w:bodyDiv w:val="1"/>
      <w:marLeft w:val="0"/>
      <w:marRight w:val="0"/>
      <w:marTop w:val="0"/>
      <w:marBottom w:val="0"/>
      <w:divBdr>
        <w:top w:val="none" w:sz="0" w:space="0" w:color="auto"/>
        <w:left w:val="none" w:sz="0" w:space="0" w:color="auto"/>
        <w:bottom w:val="none" w:sz="0" w:space="0" w:color="auto"/>
        <w:right w:val="none" w:sz="0" w:space="0" w:color="auto"/>
      </w:divBdr>
    </w:div>
    <w:div w:id="1712143175">
      <w:bodyDiv w:val="1"/>
      <w:marLeft w:val="0"/>
      <w:marRight w:val="0"/>
      <w:marTop w:val="0"/>
      <w:marBottom w:val="0"/>
      <w:divBdr>
        <w:top w:val="none" w:sz="0" w:space="0" w:color="auto"/>
        <w:left w:val="none" w:sz="0" w:space="0" w:color="auto"/>
        <w:bottom w:val="none" w:sz="0" w:space="0" w:color="auto"/>
        <w:right w:val="none" w:sz="0" w:space="0" w:color="auto"/>
      </w:divBdr>
    </w:div>
    <w:div w:id="1769157784">
      <w:bodyDiv w:val="1"/>
      <w:marLeft w:val="0"/>
      <w:marRight w:val="0"/>
      <w:marTop w:val="0"/>
      <w:marBottom w:val="0"/>
      <w:divBdr>
        <w:top w:val="none" w:sz="0" w:space="0" w:color="auto"/>
        <w:left w:val="none" w:sz="0" w:space="0" w:color="auto"/>
        <w:bottom w:val="none" w:sz="0" w:space="0" w:color="auto"/>
        <w:right w:val="none" w:sz="0" w:space="0" w:color="auto"/>
      </w:divBdr>
    </w:div>
    <w:div w:id="1800953492">
      <w:bodyDiv w:val="1"/>
      <w:marLeft w:val="0"/>
      <w:marRight w:val="0"/>
      <w:marTop w:val="0"/>
      <w:marBottom w:val="0"/>
      <w:divBdr>
        <w:top w:val="none" w:sz="0" w:space="0" w:color="auto"/>
        <w:left w:val="none" w:sz="0" w:space="0" w:color="auto"/>
        <w:bottom w:val="none" w:sz="0" w:space="0" w:color="auto"/>
        <w:right w:val="none" w:sz="0" w:space="0" w:color="auto"/>
      </w:divBdr>
    </w:div>
    <w:div w:id="1827936506">
      <w:bodyDiv w:val="1"/>
      <w:marLeft w:val="0"/>
      <w:marRight w:val="0"/>
      <w:marTop w:val="0"/>
      <w:marBottom w:val="0"/>
      <w:divBdr>
        <w:top w:val="none" w:sz="0" w:space="0" w:color="auto"/>
        <w:left w:val="none" w:sz="0" w:space="0" w:color="auto"/>
        <w:bottom w:val="none" w:sz="0" w:space="0" w:color="auto"/>
        <w:right w:val="none" w:sz="0" w:space="0" w:color="auto"/>
      </w:divBdr>
    </w:div>
    <w:div w:id="1836414867">
      <w:bodyDiv w:val="1"/>
      <w:marLeft w:val="0"/>
      <w:marRight w:val="0"/>
      <w:marTop w:val="0"/>
      <w:marBottom w:val="0"/>
      <w:divBdr>
        <w:top w:val="none" w:sz="0" w:space="0" w:color="auto"/>
        <w:left w:val="none" w:sz="0" w:space="0" w:color="auto"/>
        <w:bottom w:val="none" w:sz="0" w:space="0" w:color="auto"/>
        <w:right w:val="none" w:sz="0" w:space="0" w:color="auto"/>
      </w:divBdr>
    </w:div>
    <w:div w:id="1836456359">
      <w:bodyDiv w:val="1"/>
      <w:marLeft w:val="0"/>
      <w:marRight w:val="0"/>
      <w:marTop w:val="0"/>
      <w:marBottom w:val="0"/>
      <w:divBdr>
        <w:top w:val="none" w:sz="0" w:space="0" w:color="auto"/>
        <w:left w:val="none" w:sz="0" w:space="0" w:color="auto"/>
        <w:bottom w:val="none" w:sz="0" w:space="0" w:color="auto"/>
        <w:right w:val="none" w:sz="0" w:space="0" w:color="auto"/>
      </w:divBdr>
    </w:div>
    <w:div w:id="1869221161">
      <w:bodyDiv w:val="1"/>
      <w:marLeft w:val="0"/>
      <w:marRight w:val="0"/>
      <w:marTop w:val="0"/>
      <w:marBottom w:val="0"/>
      <w:divBdr>
        <w:top w:val="none" w:sz="0" w:space="0" w:color="auto"/>
        <w:left w:val="none" w:sz="0" w:space="0" w:color="auto"/>
        <w:bottom w:val="none" w:sz="0" w:space="0" w:color="auto"/>
        <w:right w:val="none" w:sz="0" w:space="0" w:color="auto"/>
      </w:divBdr>
    </w:div>
    <w:div w:id="1930964326">
      <w:bodyDiv w:val="1"/>
      <w:marLeft w:val="0"/>
      <w:marRight w:val="0"/>
      <w:marTop w:val="0"/>
      <w:marBottom w:val="0"/>
      <w:divBdr>
        <w:top w:val="none" w:sz="0" w:space="0" w:color="auto"/>
        <w:left w:val="none" w:sz="0" w:space="0" w:color="auto"/>
        <w:bottom w:val="none" w:sz="0" w:space="0" w:color="auto"/>
        <w:right w:val="none" w:sz="0" w:space="0" w:color="auto"/>
      </w:divBdr>
    </w:div>
    <w:div w:id="1970091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6440-8839-4589-A8AA-A1D95F21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18</Pages>
  <Words>527</Words>
  <Characters>3007</Characters>
  <Application>Microsoft Office Word</Application>
  <DocSecurity>0</DocSecurity>
  <PresentationFormat/>
  <Lines>25</Lines>
  <Paragraphs>7</Paragraphs>
  <Slides>0</Slides>
  <Notes>0</Notes>
  <HiddenSlides>0</HiddenSlides>
  <MMClips>0</MMClips>
  <ScaleCrop>false</ScaleCrop>
  <Company>Hewlett-Packard Company</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李嘉玉</dc:title>
  <dc:creator>李嘉玉</dc:creator>
  <cp:lastModifiedBy>CC</cp:lastModifiedBy>
  <cp:revision>7</cp:revision>
  <cp:lastPrinted>2021-07-30T09:51:00Z</cp:lastPrinted>
  <dcterms:created xsi:type="dcterms:W3CDTF">2021-09-09T03:50:00Z</dcterms:created>
  <dcterms:modified xsi:type="dcterms:W3CDTF">2022-09-27T02:15:00Z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