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44"/>
          <w:szCs w:val="36"/>
        </w:rPr>
      </w:pPr>
      <w:r>
        <w:rPr>
          <w:rFonts w:hint="eastAsia" w:ascii="黑体" w:hAnsi="黑体" w:eastAsia="黑体"/>
          <w:sz w:val="32"/>
          <w:szCs w:val="36"/>
        </w:rPr>
        <w:t>附件1：</w:t>
      </w:r>
    </w:p>
    <w:p>
      <w:pPr>
        <w:spacing w:line="600" w:lineRule="exact"/>
        <w:jc w:val="center"/>
        <w:rPr>
          <w:rFonts w:hint="eastAsia" w:ascii="黑体" w:hAnsi="黑体" w:eastAsia="黑体"/>
          <w:sz w:val="44"/>
          <w:szCs w:val="36"/>
        </w:rPr>
      </w:pPr>
    </w:p>
    <w:p>
      <w:pPr>
        <w:spacing w:line="600" w:lineRule="exact"/>
        <w:jc w:val="center"/>
        <w:rPr>
          <w:rFonts w:hint="eastAsia" w:ascii="黑体" w:eastAsia="黑体"/>
          <w:sz w:val="44"/>
          <w:szCs w:val="36"/>
        </w:rPr>
      </w:pPr>
      <w:r>
        <w:rPr>
          <w:rFonts w:hint="eastAsia" w:ascii="黑体" w:hAnsi="黑体" w:eastAsia="黑体"/>
          <w:sz w:val="44"/>
          <w:szCs w:val="36"/>
          <w:lang w:eastAsia="zh-CN"/>
        </w:rPr>
        <w:t>青山湖区城市管理局</w:t>
      </w:r>
      <w:r>
        <w:rPr>
          <w:rFonts w:hint="eastAsia" w:ascii="黑体" w:eastAsia="黑体"/>
          <w:sz w:val="44"/>
          <w:szCs w:val="36"/>
        </w:rPr>
        <w:t>2019年度部门决算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lang w:eastAsia="zh-CN"/>
        </w:rPr>
        <w:t>青山湖区城管局</w:t>
      </w:r>
      <w:r>
        <w:rPr>
          <w:rFonts w:hint="eastAsia" w:ascii="黑体" w:hAnsi="黑体" w:eastAsia="黑体"/>
          <w:b w:val="0"/>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2019年度部门决算表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2019年度部门决算情况说明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0"/>
          <w:lang w:eastAsia="zh-CN"/>
        </w:rPr>
        <w:t>青山湖区城管局</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ind w:firstLine="630"/>
        <w:jc w:val="left"/>
        <w:rPr>
          <w:rFonts w:hint="eastAsia" w:ascii="仿宋" w:hAnsi="仿宋" w:eastAsia="仿宋"/>
          <w:sz w:val="28"/>
          <w:szCs w:val="28"/>
        </w:rPr>
      </w:pPr>
      <w:r>
        <w:rPr>
          <w:rFonts w:hint="eastAsia" w:ascii="仿宋" w:hAnsi="仿宋" w:eastAsia="仿宋"/>
          <w:sz w:val="28"/>
          <w:szCs w:val="28"/>
        </w:rPr>
        <w:t>（一）</w:t>
      </w:r>
    </w:p>
    <w:p>
      <w:pPr>
        <w:ind w:firstLine="560" w:firstLineChars="200"/>
        <w:rPr>
          <w:rFonts w:hint="eastAsia" w:ascii="仿宋_GB2312" w:eastAsia="仿宋_GB2312"/>
          <w:sz w:val="28"/>
          <w:szCs w:val="28"/>
        </w:rPr>
      </w:pPr>
      <w:r>
        <w:rPr>
          <w:rFonts w:hint="eastAsia" w:ascii="仿宋_GB2312" w:eastAsia="仿宋_GB2312"/>
          <w:sz w:val="28"/>
          <w:szCs w:val="28"/>
        </w:rPr>
        <w:t>区城管委是主管城市管理事务部门工作的区政府组成部门，主要职责是：</w:t>
      </w:r>
    </w:p>
    <w:p>
      <w:pPr>
        <w:pStyle w:val="6"/>
        <w:spacing w:before="0" w:beforeAutospacing="0" w:after="0" w:afterAutospacing="0" w:line="585" w:lineRule="exact"/>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pacing w:val="-4"/>
          <w:kern w:val="2"/>
          <w:sz w:val="28"/>
          <w:szCs w:val="28"/>
        </w:rPr>
        <w:t xml:space="preserve">    </w:t>
      </w:r>
      <w:r>
        <w:rPr>
          <w:rFonts w:hint="eastAsia" w:ascii="仿宋_GB2312" w:hAnsi="仿宋_GB2312" w:eastAsia="仿宋_GB2312" w:cs="仿宋_GB2312"/>
          <w:snapToGrid w:val="0"/>
          <w:spacing w:val="-2"/>
          <w:sz w:val="28"/>
          <w:szCs w:val="28"/>
        </w:rPr>
        <w:t>（一）贯彻执行国家、省、市、区关于城市管理工作的方针、政策和法律、法规；组织草拟青山湖区城市管理方面的有关文件；编制青山湖区城市管理事业发展中长期规划、专项规划、年度计划，并组织实施。</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（二）负责综合组织、协调、检查、指导全区城市管理工作；负责对各镇、街道、园区、各相关部门的城市管理工作绩效进行检查、考核、评比；负责对城市管理职能交叉、职责不清的事项进行裁定。</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（三）负责编制全区城市管理方面的重大重点项目年度计划，并对执行情况进行财务审计。</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四）负责市政、园林绿化和市容环境卫生等行业的管理工作；负责辖区内道路、园林绿化、花圃石、路沿石、果壳箱等市政、园林、市容设施的正常维护和管理；并对镇、街道、园区的市政、园林、市容设施设备进行行业协调、指导。</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（五）负责组织开展全区市容环境综合整治工作；负责沿街建筑物立面容貌和临街景观的管理；负责全区临街店面招牌设置的备案工作；负责三类以上道路临街店面装修垃圾管理工作。</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（六）负责城市区管道路挖掘许可、临时占用城市道路许可的审批工作。</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（七）负责全区生活垃圾、建筑垃圾、基建渣土等固体废弃物排放、运输、处置工作。</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（八）负责全区市政道路绿化管理和养护工作；负责审批绿地变更、绿地临时占用、树木移植和砍伐工作。</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（九）负责全区道路运输行业的经营许可、日常监管和行政处罚。</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（十）负责全区县、乡、村地方道路建、养、管工作行业管理；负责路政管理，处理违章，保护路产路权，维护建设、养护工作正常秩序，提高道路通畅能力。</w:t>
      </w:r>
    </w:p>
    <w:p>
      <w:pPr>
        <w:pStyle w:val="6"/>
        <w:spacing w:before="0" w:beforeAutospacing="0" w:after="0" w:afterAutospacing="0" w:line="585" w:lineRule="exact"/>
        <w:ind w:firstLine="552" w:firstLineChars="200"/>
        <w:jc w:val="both"/>
        <w:rPr>
          <w:rFonts w:hint="eastAsia" w:ascii="仿宋_GB2312" w:hAnsi="仿宋_GB2312" w:eastAsia="仿宋_GB2312" w:cs="仿宋_GB2312"/>
          <w:snapToGrid w:val="0"/>
          <w:spacing w:val="-2"/>
          <w:sz w:val="28"/>
          <w:szCs w:val="28"/>
        </w:rPr>
      </w:pPr>
      <w:r>
        <w:rPr>
          <w:rFonts w:hint="eastAsia" w:ascii="仿宋_GB2312" w:hAnsi="仿宋_GB2312" w:eastAsia="仿宋_GB2312" w:cs="仿宋_GB2312"/>
          <w:snapToGrid w:val="0"/>
          <w:spacing w:val="-2"/>
          <w:sz w:val="28"/>
          <w:szCs w:val="28"/>
        </w:rPr>
        <w:t>（十一）负责组织全区性城市管理专项活动，以及各类创建工作的组织协调，并对镇、街道、园区创建工作进行督查评比。</w:t>
      </w:r>
    </w:p>
    <w:p>
      <w:pPr>
        <w:pStyle w:val="6"/>
        <w:spacing w:before="0" w:beforeAutospacing="0" w:after="0" w:afterAutospacing="0" w:line="585" w:lineRule="exact"/>
        <w:ind w:firstLine="552" w:firstLineChars="200"/>
        <w:jc w:val="both"/>
        <w:rPr>
          <w:rFonts w:hint="eastAsia" w:ascii="仿宋" w:hAnsi="仿宋" w:eastAsia="仿宋"/>
          <w:sz w:val="30"/>
          <w:szCs w:val="30"/>
        </w:rPr>
      </w:pPr>
      <w:r>
        <w:rPr>
          <w:rFonts w:hint="eastAsia" w:ascii="仿宋_GB2312" w:hAnsi="仿宋_GB2312" w:eastAsia="仿宋_GB2312" w:cs="仿宋_GB2312"/>
          <w:snapToGrid w:val="0"/>
          <w:spacing w:val="-2"/>
          <w:sz w:val="28"/>
          <w:szCs w:val="28"/>
        </w:rPr>
        <w:t>（十二）承办区人民政府交办的其它事项，参与区规划委员会规定的其它工作。</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keepNext w:val="0"/>
        <w:keepLines w:val="0"/>
        <w:widowControl/>
        <w:suppressLineNumbers w:val="0"/>
        <w:ind w:firstLine="560" w:firstLineChars="200"/>
        <w:jc w:val="left"/>
        <w:rPr>
          <w:sz w:val="28"/>
          <w:szCs w:val="28"/>
        </w:rPr>
      </w:pPr>
      <w:r>
        <w:rPr>
          <w:rFonts w:ascii="仿宋" w:hAnsi="仿宋" w:eastAsia="仿宋" w:cs="仿宋"/>
          <w:color w:val="000000"/>
          <w:kern w:val="0"/>
          <w:sz w:val="28"/>
          <w:szCs w:val="28"/>
          <w:lang w:val="en-US" w:eastAsia="zh-CN" w:bidi="ar"/>
        </w:rPr>
        <w:t xml:space="preserve">2019 年区城管局共有预算单位 5 个，包括局本级和 4 个 </w:t>
      </w:r>
    </w:p>
    <w:p>
      <w:pPr>
        <w:keepNext w:val="0"/>
        <w:keepLines w:val="0"/>
        <w:widowControl/>
        <w:suppressLineNumbers w:val="0"/>
        <w:jc w:val="left"/>
        <w:rPr>
          <w:sz w:val="28"/>
          <w:szCs w:val="28"/>
        </w:rPr>
      </w:pPr>
      <w:r>
        <w:rPr>
          <w:rFonts w:hint="eastAsia" w:ascii="仿宋" w:hAnsi="仿宋" w:eastAsia="仿宋" w:cs="仿宋"/>
          <w:color w:val="000000"/>
          <w:kern w:val="0"/>
          <w:sz w:val="28"/>
          <w:szCs w:val="28"/>
          <w:lang w:val="en-US" w:eastAsia="zh-CN" w:bidi="ar"/>
        </w:rPr>
        <w:t xml:space="preserve">所属二级预算单位。其中,编制数 133 人行政编制 19 人、参照 </w:t>
      </w:r>
    </w:p>
    <w:p>
      <w:pPr>
        <w:keepNext w:val="0"/>
        <w:keepLines w:val="0"/>
        <w:widowControl/>
        <w:suppressLineNumbers w:val="0"/>
        <w:jc w:val="left"/>
        <w:rPr>
          <w:sz w:val="28"/>
          <w:szCs w:val="28"/>
        </w:rPr>
      </w:pPr>
      <w:r>
        <w:rPr>
          <w:rFonts w:hint="eastAsia" w:ascii="仿宋" w:hAnsi="仿宋" w:eastAsia="仿宋" w:cs="仿宋"/>
          <w:color w:val="000000"/>
          <w:kern w:val="0"/>
          <w:sz w:val="28"/>
          <w:szCs w:val="28"/>
          <w:lang w:val="en-US" w:eastAsia="zh-CN" w:bidi="ar"/>
        </w:rPr>
        <w:t xml:space="preserve">公务员管理的事业编制人数 70 人、事业编制 44 人；实有人数 </w:t>
      </w:r>
    </w:p>
    <w:p>
      <w:pPr>
        <w:keepNext w:val="0"/>
        <w:keepLines w:val="0"/>
        <w:widowControl/>
        <w:suppressLineNumbers w:val="0"/>
        <w:jc w:val="left"/>
        <w:rPr>
          <w:sz w:val="28"/>
          <w:szCs w:val="28"/>
        </w:rPr>
      </w:pPr>
      <w:r>
        <w:rPr>
          <w:rFonts w:hint="eastAsia" w:ascii="仿宋" w:hAnsi="仿宋" w:eastAsia="仿宋" w:cs="仿宋"/>
          <w:color w:val="000000"/>
          <w:kern w:val="0"/>
          <w:sz w:val="28"/>
          <w:szCs w:val="28"/>
          <w:lang w:val="en-US" w:eastAsia="zh-CN" w:bidi="ar"/>
        </w:rPr>
        <w:t xml:space="preserve">127 人，其中：在职人数 127 人，包括行政人员 17 人、参照 </w:t>
      </w:r>
    </w:p>
    <w:p>
      <w:pPr>
        <w:keepNext w:val="0"/>
        <w:keepLines w:val="0"/>
        <w:widowControl/>
        <w:suppressLineNumbers w:val="0"/>
        <w:jc w:val="left"/>
        <w:rPr>
          <w:sz w:val="28"/>
          <w:szCs w:val="28"/>
        </w:rPr>
      </w:pPr>
      <w:r>
        <w:rPr>
          <w:rFonts w:hint="eastAsia" w:ascii="仿宋" w:hAnsi="仿宋" w:eastAsia="仿宋" w:cs="仿宋"/>
          <w:color w:val="000000"/>
          <w:kern w:val="0"/>
          <w:sz w:val="28"/>
          <w:szCs w:val="28"/>
          <w:lang w:val="en-US" w:eastAsia="zh-CN" w:bidi="ar"/>
        </w:rPr>
        <w:t xml:space="preserve">公务员管理的事业单位在职人数 62 人、全额拨款事业人员 48 </w:t>
      </w:r>
    </w:p>
    <w:p>
      <w:pPr>
        <w:keepNext w:val="0"/>
        <w:keepLines w:val="0"/>
        <w:widowControl/>
        <w:suppressLineNumbers w:val="0"/>
        <w:jc w:val="left"/>
        <w:rPr>
          <w:sz w:val="28"/>
          <w:szCs w:val="28"/>
        </w:rPr>
      </w:pPr>
      <w:r>
        <w:rPr>
          <w:rFonts w:hint="eastAsia" w:ascii="仿宋" w:hAnsi="仿宋" w:eastAsia="仿宋" w:cs="仿宋"/>
          <w:color w:val="000000"/>
          <w:kern w:val="0"/>
          <w:sz w:val="28"/>
          <w:szCs w:val="28"/>
          <w:lang w:val="en-US" w:eastAsia="zh-CN" w:bidi="ar"/>
        </w:rPr>
        <w:t>人。</w:t>
      </w:r>
    </w:p>
    <w:p>
      <w:pPr>
        <w:ind w:firstLine="630"/>
        <w:jc w:val="left"/>
        <w:rPr>
          <w:rFonts w:hint="eastAsia" w:ascii="仿宋" w:hAnsi="仿宋" w:eastAsia="仿宋"/>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2019年度部门决算表</w:t>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eastAsia="宋体"/>
          <w:szCs w:val="30"/>
          <w:lang w:eastAsia="zh-CN"/>
        </w:rPr>
      </w:pP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72405" cy="6868795"/>
            <wp:effectExtent l="0" t="0" r="4445" b="8255"/>
            <wp:docPr id="12" name="图片 12" descr="2a2a88e3764a043799efbea1e4a3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a2a88e3764a043799efbea1e4a394b"/>
                    <pic:cNvPicPr>
                      <a:picLocks noChangeAspect="1"/>
                    </pic:cNvPicPr>
                  </pic:nvPicPr>
                  <pic:blipFill>
                    <a:blip r:embed="rId10"/>
                    <a:stretch>
                      <a:fillRect/>
                    </a:stretch>
                  </pic:blipFill>
                  <pic:spPr>
                    <a:xfrm>
                      <a:off x="0" y="0"/>
                      <a:ext cx="5272405" cy="6868795"/>
                    </a:xfrm>
                    <a:prstGeom prst="rect">
                      <a:avLst/>
                    </a:prstGeom>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267325" cy="3382645"/>
            <wp:effectExtent l="0" t="0" r="9525" b="8255"/>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1"/>
                    <a:stretch>
                      <a:fillRect/>
                    </a:stretch>
                  </pic:blipFill>
                  <pic:spPr>
                    <a:xfrm>
                      <a:off x="0" y="0"/>
                      <a:ext cx="5267325" cy="3382645"/>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179060" cy="3437890"/>
            <wp:effectExtent l="0" t="0" r="2540" b="1016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2"/>
                    <a:stretch>
                      <a:fillRect/>
                    </a:stretch>
                  </pic:blipFill>
                  <pic:spPr>
                    <a:xfrm>
                      <a:off x="0" y="0"/>
                      <a:ext cx="5179060" cy="343789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902325" cy="6168390"/>
            <wp:effectExtent l="0" t="0" r="3175" b="3810"/>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13"/>
                    <a:stretch>
                      <a:fillRect/>
                    </a:stretch>
                  </pic:blipFill>
                  <pic:spPr>
                    <a:xfrm>
                      <a:off x="0" y="0"/>
                      <a:ext cx="5902325" cy="616839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270500" cy="4244975"/>
            <wp:effectExtent l="0" t="0" r="6350" b="3175"/>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14"/>
                    <a:stretch>
                      <a:fillRect/>
                    </a:stretch>
                  </pic:blipFill>
                  <pic:spPr>
                    <a:xfrm>
                      <a:off x="0" y="0"/>
                      <a:ext cx="5270500" cy="424497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272405" cy="5633085"/>
            <wp:effectExtent l="0" t="0" r="4445" b="5715"/>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pic:cNvPicPr>
                  </pic:nvPicPr>
                  <pic:blipFill>
                    <a:blip r:embed="rId15"/>
                    <a:stretch>
                      <a:fillRect/>
                    </a:stretch>
                  </pic:blipFill>
                  <pic:spPr>
                    <a:xfrm>
                      <a:off x="0" y="0"/>
                      <a:ext cx="5272405" cy="563308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r>
        <w:drawing>
          <wp:inline distT="0" distB="0" distL="114300" distR="114300">
            <wp:extent cx="5269865" cy="4946015"/>
            <wp:effectExtent l="0" t="0" r="6985" b="6985"/>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16"/>
                    <a:stretch>
                      <a:fillRect/>
                    </a:stretch>
                  </pic:blipFill>
                  <pic:spPr>
                    <a:xfrm>
                      <a:off x="0" y="0"/>
                      <a:ext cx="5269865" cy="494601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szCs w:val="30"/>
        </w:rPr>
      </w:pPr>
      <w:r>
        <w:drawing>
          <wp:inline distT="0" distB="0" distL="114300" distR="114300">
            <wp:extent cx="5268595" cy="1897380"/>
            <wp:effectExtent l="0" t="0" r="8255" b="762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17"/>
                    <a:stretch>
                      <a:fillRect/>
                    </a:stretch>
                  </pic:blipFill>
                  <pic:spPr>
                    <a:xfrm>
                      <a:off x="0" y="0"/>
                      <a:ext cx="5268595" cy="189738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4838700" cy="2981325"/>
            <wp:effectExtent l="0" t="0" r="0" b="9525"/>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pic:cNvPicPr>
                      <a:picLocks noChangeAspect="1"/>
                    </pic:cNvPicPr>
                  </pic:nvPicPr>
                  <pic:blipFill>
                    <a:blip r:embed="rId18"/>
                    <a:stretch>
                      <a:fillRect/>
                    </a:stretch>
                  </pic:blipFill>
                  <pic:spPr>
                    <a:xfrm>
                      <a:off x="0" y="0"/>
                      <a:ext cx="4838700" cy="2981325"/>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2019年度部门决算情况说明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本部门2019年度收入总计</w:t>
      </w:r>
      <w:r>
        <w:rPr>
          <w:rFonts w:hint="eastAsia" w:ascii="仿宋" w:hAnsi="仿宋" w:eastAsia="仿宋"/>
          <w:sz w:val="30"/>
          <w:szCs w:val="30"/>
          <w:lang w:val="en-US" w:eastAsia="zh-CN"/>
        </w:rPr>
        <w:t>35503.4</w:t>
      </w:r>
      <w:r>
        <w:rPr>
          <w:rFonts w:hint="eastAsia" w:ascii="仿宋" w:hAnsi="仿宋" w:eastAsia="仿宋"/>
          <w:sz w:val="30"/>
          <w:szCs w:val="30"/>
        </w:rPr>
        <w:t xml:space="preserve"> 万元，其中年初结转和结余</w:t>
      </w:r>
      <w:r>
        <w:rPr>
          <w:rFonts w:hint="eastAsia" w:ascii="仿宋" w:hAnsi="仿宋" w:eastAsia="仿宋"/>
          <w:sz w:val="30"/>
          <w:szCs w:val="30"/>
          <w:lang w:val="en-US" w:eastAsia="zh-CN"/>
        </w:rPr>
        <w:t>4940.7</w:t>
      </w:r>
      <w:r>
        <w:rPr>
          <w:rFonts w:hint="eastAsia" w:ascii="仿宋" w:hAnsi="仿宋" w:eastAsia="仿宋"/>
          <w:sz w:val="30"/>
          <w:szCs w:val="30"/>
        </w:rPr>
        <w:t>万元，较2018年增加</w:t>
      </w:r>
      <w:r>
        <w:rPr>
          <w:rFonts w:hint="eastAsia" w:ascii="仿宋" w:hAnsi="仿宋" w:eastAsia="仿宋"/>
          <w:sz w:val="30"/>
          <w:szCs w:val="30"/>
          <w:lang w:val="en-US" w:eastAsia="zh-CN"/>
        </w:rPr>
        <w:t>5810.7</w:t>
      </w:r>
      <w:r>
        <w:rPr>
          <w:rFonts w:hint="eastAsia" w:ascii="仿宋" w:hAnsi="仿宋" w:eastAsia="仿宋"/>
          <w:sz w:val="30"/>
          <w:szCs w:val="30"/>
        </w:rPr>
        <w:t>万元，增长</w:t>
      </w:r>
      <w:r>
        <w:rPr>
          <w:rFonts w:hint="eastAsia" w:ascii="仿宋" w:hAnsi="仿宋" w:eastAsia="仿宋"/>
          <w:sz w:val="30"/>
          <w:szCs w:val="30"/>
          <w:lang w:val="en-US" w:eastAsia="zh-CN"/>
        </w:rPr>
        <w:t>19.57</w:t>
      </w:r>
      <w:r>
        <w:rPr>
          <w:rFonts w:hint="eastAsia" w:ascii="仿宋" w:hAnsi="仿宋" w:eastAsia="仿宋"/>
          <w:sz w:val="30"/>
          <w:szCs w:val="30"/>
        </w:rPr>
        <w:t>%；本年收入合计</w:t>
      </w:r>
      <w:r>
        <w:rPr>
          <w:rFonts w:hint="eastAsia" w:ascii="仿宋" w:hAnsi="仿宋" w:eastAsia="仿宋"/>
          <w:sz w:val="30"/>
          <w:szCs w:val="30"/>
          <w:lang w:val="en-US" w:eastAsia="zh-CN"/>
        </w:rPr>
        <w:t>30562.7</w:t>
      </w:r>
      <w:r>
        <w:rPr>
          <w:rFonts w:hint="eastAsia" w:ascii="仿宋" w:hAnsi="仿宋" w:eastAsia="仿宋"/>
          <w:sz w:val="30"/>
          <w:szCs w:val="30"/>
        </w:rPr>
        <w:t>万元，较2018年增加</w:t>
      </w:r>
      <w:r>
        <w:rPr>
          <w:rFonts w:hint="eastAsia" w:ascii="仿宋" w:hAnsi="仿宋" w:eastAsia="仿宋"/>
          <w:sz w:val="30"/>
          <w:szCs w:val="30"/>
          <w:lang w:val="en-US" w:eastAsia="zh-CN"/>
        </w:rPr>
        <w:t>7673.09</w:t>
      </w:r>
      <w:r>
        <w:rPr>
          <w:rFonts w:hint="eastAsia" w:ascii="仿宋" w:hAnsi="仿宋" w:eastAsia="仿宋"/>
          <w:sz w:val="30"/>
          <w:szCs w:val="30"/>
        </w:rPr>
        <w:t>万元，增长</w:t>
      </w:r>
      <w:r>
        <w:rPr>
          <w:rFonts w:hint="eastAsia" w:ascii="仿宋" w:hAnsi="仿宋" w:eastAsia="仿宋"/>
          <w:sz w:val="30"/>
          <w:szCs w:val="30"/>
          <w:lang w:val="en-US" w:eastAsia="zh-CN"/>
        </w:rPr>
        <w:t>33.52</w:t>
      </w:r>
      <w:r>
        <w:rPr>
          <w:rFonts w:hint="eastAsia" w:ascii="仿宋" w:hAnsi="仿宋" w:eastAsia="仿宋"/>
          <w:sz w:val="30"/>
          <w:szCs w:val="30"/>
        </w:rPr>
        <w:t xml:space="preserve"> %。</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35503.4</w:t>
      </w:r>
      <w:r>
        <w:rPr>
          <w:rFonts w:hint="eastAsia" w:ascii="仿宋" w:hAnsi="仿宋" w:eastAsia="仿宋"/>
          <w:sz w:val="30"/>
          <w:szCs w:val="30"/>
        </w:rPr>
        <w:t>万元，占</w:t>
      </w:r>
      <w:r>
        <w:rPr>
          <w:rFonts w:hint="eastAsia" w:ascii="仿宋" w:hAnsi="仿宋" w:eastAsia="仿宋"/>
          <w:sz w:val="30"/>
          <w:szCs w:val="30"/>
          <w:lang w:val="en-US" w:eastAsia="zh-CN"/>
        </w:rPr>
        <w:t>100</w:t>
      </w:r>
      <w:r>
        <w:rPr>
          <w:rFonts w:hint="eastAsia" w:ascii="仿宋" w:hAnsi="仿宋" w:eastAsia="仿宋"/>
          <w:sz w:val="30"/>
          <w:szCs w:val="30"/>
        </w:rPr>
        <w:t>%；事业收入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%；经营收入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本部门2019年度支出总计</w:t>
      </w:r>
      <w:r>
        <w:rPr>
          <w:rFonts w:hint="eastAsia" w:ascii="仿宋" w:hAnsi="仿宋" w:eastAsia="仿宋"/>
          <w:sz w:val="30"/>
          <w:szCs w:val="30"/>
          <w:lang w:val="en-US" w:eastAsia="zh-CN"/>
        </w:rPr>
        <w:t>35503.4</w:t>
      </w:r>
      <w:r>
        <w:rPr>
          <w:rFonts w:hint="eastAsia" w:ascii="仿宋" w:hAnsi="仿宋" w:eastAsia="仿宋"/>
          <w:sz w:val="30"/>
          <w:szCs w:val="30"/>
        </w:rPr>
        <w:t xml:space="preserve">万元，其中本年支出合计 </w:t>
      </w:r>
      <w:r>
        <w:rPr>
          <w:rFonts w:hint="eastAsia" w:ascii="仿宋" w:hAnsi="仿宋" w:eastAsia="仿宋"/>
          <w:sz w:val="30"/>
          <w:szCs w:val="30"/>
          <w:lang w:val="en-US" w:eastAsia="zh-CN"/>
        </w:rPr>
        <w:t>27378.1</w:t>
      </w:r>
      <w:r>
        <w:rPr>
          <w:rFonts w:hint="eastAsia" w:ascii="仿宋" w:hAnsi="仿宋" w:eastAsia="仿宋"/>
          <w:sz w:val="30"/>
          <w:szCs w:val="30"/>
        </w:rPr>
        <w:t>万元</w:t>
      </w:r>
      <w:r>
        <w:rPr>
          <w:rFonts w:hint="eastAsia" w:ascii="楷体_GB2312" w:hAnsi="楷体_GB2312" w:eastAsia="楷体_GB2312" w:cs="楷体_GB2312"/>
          <w:sz w:val="30"/>
          <w:szCs w:val="30"/>
        </w:rPr>
        <w:t>，较2018年增加</w:t>
      </w:r>
      <w:r>
        <w:rPr>
          <w:rFonts w:hint="eastAsia" w:ascii="楷体_GB2312" w:hAnsi="楷体_GB2312" w:eastAsia="楷体_GB2312" w:cs="楷体_GB2312"/>
          <w:sz w:val="30"/>
          <w:szCs w:val="30"/>
          <w:lang w:val="en-US" w:eastAsia="zh-CN"/>
        </w:rPr>
        <w:t>5810.7</w:t>
      </w:r>
      <w:r>
        <w:rPr>
          <w:rFonts w:hint="eastAsia" w:ascii="楷体_GB2312" w:hAnsi="楷体_GB2312" w:eastAsia="楷体_GB2312" w:cs="楷体_GB2312"/>
          <w:sz w:val="30"/>
          <w:szCs w:val="30"/>
        </w:rPr>
        <w:t>万元，增长</w:t>
      </w:r>
      <w:r>
        <w:rPr>
          <w:rFonts w:hint="eastAsia" w:ascii="楷体_GB2312" w:hAnsi="楷体_GB2312" w:eastAsia="楷体_GB2312" w:cs="楷体_GB2312"/>
          <w:sz w:val="30"/>
          <w:szCs w:val="30"/>
          <w:lang w:val="en-US" w:eastAsia="zh-CN"/>
        </w:rPr>
        <w:t>19.57</w:t>
      </w:r>
      <w:r>
        <w:rPr>
          <w:rFonts w:hint="eastAsia" w:ascii="楷体_GB2312" w:hAnsi="楷体_GB2312" w:eastAsia="楷体_GB2312" w:cs="楷体_GB2312"/>
          <w:sz w:val="30"/>
          <w:szCs w:val="30"/>
        </w:rPr>
        <w:t xml:space="preserve"> %</w:t>
      </w:r>
      <w:r>
        <w:rPr>
          <w:rFonts w:hint="eastAsia" w:ascii="仿宋" w:hAnsi="仿宋" w:eastAsia="仿宋"/>
          <w:sz w:val="30"/>
          <w:szCs w:val="30"/>
        </w:rPr>
        <w:t>；年末结转和结余</w:t>
      </w:r>
      <w:r>
        <w:rPr>
          <w:rFonts w:hint="eastAsia" w:ascii="仿宋" w:hAnsi="仿宋" w:eastAsia="仿宋"/>
          <w:sz w:val="30"/>
          <w:szCs w:val="30"/>
          <w:lang w:val="en-US" w:eastAsia="zh-CN"/>
        </w:rPr>
        <w:t>8125.3</w:t>
      </w:r>
      <w:r>
        <w:rPr>
          <w:rFonts w:hint="eastAsia" w:ascii="仿宋" w:hAnsi="仿宋" w:eastAsia="仿宋"/>
          <w:sz w:val="30"/>
          <w:szCs w:val="30"/>
        </w:rPr>
        <w:t>万元，</w:t>
      </w:r>
      <w:r>
        <w:rPr>
          <w:rFonts w:hint="eastAsia" w:ascii="楷体_GB2312" w:hAnsi="楷体_GB2312" w:eastAsia="楷体_GB2312" w:cs="楷体_GB2312"/>
          <w:sz w:val="30"/>
          <w:szCs w:val="30"/>
        </w:rPr>
        <w:t>较2018年增加</w:t>
      </w:r>
      <w:r>
        <w:rPr>
          <w:rFonts w:hint="eastAsia" w:ascii="楷体_GB2312" w:hAnsi="楷体_GB2312" w:eastAsia="楷体_GB2312" w:cs="楷体_GB2312"/>
          <w:sz w:val="30"/>
          <w:szCs w:val="30"/>
          <w:lang w:val="en-US" w:eastAsia="zh-CN"/>
        </w:rPr>
        <w:t>3807.55</w:t>
      </w:r>
      <w:r>
        <w:rPr>
          <w:rFonts w:hint="eastAsia" w:ascii="楷体_GB2312" w:hAnsi="楷体_GB2312" w:eastAsia="楷体_GB2312" w:cs="楷体_GB2312"/>
          <w:sz w:val="30"/>
          <w:szCs w:val="30"/>
        </w:rPr>
        <w:t>万元，增长</w:t>
      </w:r>
      <w:r>
        <w:rPr>
          <w:rFonts w:hint="eastAsia" w:ascii="楷体_GB2312" w:hAnsi="楷体_GB2312" w:eastAsia="楷体_GB2312" w:cs="楷体_GB2312"/>
          <w:sz w:val="30"/>
          <w:szCs w:val="30"/>
          <w:lang w:val="en-US" w:eastAsia="zh-CN"/>
        </w:rPr>
        <w:t>88.18</w:t>
      </w:r>
      <w:r>
        <w:rPr>
          <w:rFonts w:hint="eastAsia" w:ascii="楷体_GB2312" w:hAnsi="楷体_GB2312" w:eastAsia="楷体_GB2312" w:cs="楷体_GB2312"/>
          <w:sz w:val="30"/>
          <w:szCs w:val="30"/>
        </w:rPr>
        <w:t>%</w:t>
      </w:r>
      <w:r>
        <w:rPr>
          <w:rFonts w:hint="eastAsia" w:ascii="仿宋" w:hAnsi="仿宋" w:eastAsia="仿宋"/>
          <w:sz w:val="30"/>
          <w:szCs w:val="30"/>
        </w:rPr>
        <w:t>。</w:t>
      </w:r>
    </w:p>
    <w:p>
      <w:pPr>
        <w:ind w:firstLine="630"/>
        <w:jc w:val="left"/>
        <w:rPr>
          <w:rFonts w:hint="eastAsia" w:ascii="楷体_GB2312" w:hAnsi="楷体_GB2312" w:eastAsia="楷体_GB2312" w:cs="楷体_GB2312"/>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2570.3</w:t>
      </w:r>
      <w:r>
        <w:rPr>
          <w:rFonts w:hint="eastAsia" w:ascii="仿宋" w:hAnsi="仿宋" w:eastAsia="仿宋"/>
          <w:sz w:val="30"/>
          <w:szCs w:val="30"/>
        </w:rPr>
        <w:t>万元，占</w:t>
      </w:r>
      <w:r>
        <w:rPr>
          <w:rFonts w:hint="eastAsia" w:ascii="仿宋" w:hAnsi="仿宋" w:eastAsia="仿宋"/>
          <w:sz w:val="30"/>
          <w:szCs w:val="30"/>
          <w:lang w:val="en-US" w:eastAsia="zh-CN"/>
        </w:rPr>
        <w:t>9.4</w:t>
      </w:r>
      <w:r>
        <w:rPr>
          <w:rFonts w:hint="eastAsia" w:ascii="仿宋" w:hAnsi="仿宋" w:eastAsia="仿宋"/>
          <w:sz w:val="30"/>
          <w:szCs w:val="30"/>
        </w:rPr>
        <w:t>%；项目支出</w:t>
      </w:r>
      <w:r>
        <w:rPr>
          <w:rFonts w:hint="eastAsia" w:ascii="仿宋" w:hAnsi="仿宋" w:eastAsia="仿宋"/>
          <w:sz w:val="30"/>
          <w:szCs w:val="30"/>
          <w:lang w:val="en-US" w:eastAsia="zh-CN"/>
        </w:rPr>
        <w:t>24807.8</w:t>
      </w:r>
      <w:r>
        <w:rPr>
          <w:rFonts w:hint="eastAsia" w:ascii="仿宋" w:hAnsi="仿宋" w:eastAsia="仿宋"/>
          <w:sz w:val="30"/>
          <w:szCs w:val="30"/>
        </w:rPr>
        <w:t xml:space="preserve">万元占 </w:t>
      </w:r>
      <w:r>
        <w:rPr>
          <w:rFonts w:hint="eastAsia" w:ascii="仿宋" w:hAnsi="仿宋" w:eastAsia="仿宋"/>
          <w:sz w:val="30"/>
          <w:szCs w:val="30"/>
          <w:lang w:val="en-US" w:eastAsia="zh-CN"/>
        </w:rPr>
        <w:t>90.6</w:t>
      </w:r>
      <w:r>
        <w:rPr>
          <w:rFonts w:hint="eastAsia" w:ascii="仿宋" w:hAnsi="仿宋" w:eastAsia="仿宋"/>
          <w:sz w:val="30"/>
          <w:szCs w:val="30"/>
        </w:rPr>
        <w:t xml:space="preserve"> %；经营支出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楷体_GB2312" w:hAnsi="楷体_GB2312" w:eastAsia="楷体_GB2312" w:cs="楷体_GB2312"/>
          <w:sz w:val="30"/>
          <w:szCs w:val="30"/>
        </w:rPr>
        <w:t>；其他支出（对附属单位补助支出、上缴上级支出）</w:t>
      </w:r>
      <w:r>
        <w:rPr>
          <w:rFonts w:hint="eastAsia" w:ascii="楷体_GB2312" w:hAnsi="楷体_GB2312" w:eastAsia="楷体_GB2312" w:cs="楷体_GB2312"/>
          <w:sz w:val="30"/>
          <w:szCs w:val="30"/>
          <w:lang w:val="en-US" w:eastAsia="zh-CN"/>
        </w:rPr>
        <w:t>0</w:t>
      </w:r>
      <w:r>
        <w:rPr>
          <w:rFonts w:hint="eastAsia" w:ascii="楷体_GB2312" w:hAnsi="楷体_GB2312" w:eastAsia="楷体_GB2312" w:cs="楷体_GB2312"/>
          <w:sz w:val="30"/>
          <w:szCs w:val="30"/>
        </w:rPr>
        <w:t>万元，占</w:t>
      </w:r>
      <w:r>
        <w:rPr>
          <w:rFonts w:hint="eastAsia" w:ascii="楷体_GB2312" w:hAnsi="楷体_GB2312" w:eastAsia="楷体_GB2312" w:cs="楷体_GB2312"/>
          <w:sz w:val="30"/>
          <w:szCs w:val="30"/>
          <w:lang w:val="en-US" w:eastAsia="zh-CN"/>
        </w:rPr>
        <w:t>0</w:t>
      </w:r>
      <w:r>
        <w:rPr>
          <w:rFonts w:hint="eastAsia" w:ascii="楷体_GB2312" w:hAnsi="楷体_GB2312" w:eastAsia="楷体_GB2312" w:cs="楷体_GB2312"/>
          <w:sz w:val="30"/>
          <w:szCs w:val="30"/>
        </w:rPr>
        <w:t>%。</w:t>
      </w:r>
    </w:p>
    <w:p>
      <w:pPr>
        <w:pStyle w:val="2"/>
        <w:rPr>
          <w:rFonts w:hint="eastAsia"/>
        </w:rPr>
      </w:pP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本部门2019年度财政拨款本年支出年初预算数</w:t>
      </w:r>
      <w:r>
        <w:rPr>
          <w:rFonts w:hint="eastAsia" w:ascii="仿宋" w:hAnsi="仿宋" w:eastAsia="仿宋"/>
          <w:sz w:val="30"/>
          <w:szCs w:val="30"/>
          <w:lang w:eastAsia="zh-CN"/>
        </w:rPr>
        <w:t>为</w:t>
      </w:r>
      <w:r>
        <w:rPr>
          <w:rFonts w:hint="eastAsia" w:ascii="仿宋" w:hAnsi="仿宋" w:eastAsia="仿宋"/>
          <w:sz w:val="30"/>
          <w:szCs w:val="30"/>
          <w:lang w:val="en-US" w:eastAsia="zh-CN"/>
        </w:rPr>
        <w:t>27378.1</w:t>
      </w:r>
      <w:r>
        <w:rPr>
          <w:rFonts w:hint="eastAsia" w:ascii="仿宋" w:hAnsi="仿宋" w:eastAsia="仿宋"/>
          <w:sz w:val="30"/>
          <w:szCs w:val="30"/>
        </w:rPr>
        <w:t xml:space="preserve"> 万元，决算数为</w:t>
      </w:r>
      <w:r>
        <w:rPr>
          <w:rFonts w:hint="eastAsia" w:ascii="仿宋" w:hAnsi="仿宋" w:eastAsia="仿宋"/>
          <w:sz w:val="30"/>
          <w:szCs w:val="30"/>
          <w:lang w:val="en-US" w:eastAsia="zh-CN"/>
        </w:rPr>
        <w:t>27378.1</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 xml:space="preserve"> %。其中：</w:t>
      </w:r>
    </w:p>
    <w:p>
      <w:pPr>
        <w:numPr>
          <w:ilvl w:val="0"/>
          <w:numId w:val="1"/>
        </w:numPr>
        <w:ind w:firstLine="630"/>
        <w:jc w:val="left"/>
        <w:rPr>
          <w:rFonts w:hint="eastAsia" w:ascii="仿宋" w:hAnsi="仿宋" w:eastAsia="仿宋"/>
          <w:sz w:val="30"/>
          <w:szCs w:val="30"/>
        </w:rPr>
      </w:pPr>
      <w:r>
        <w:rPr>
          <w:rFonts w:hint="eastAsia" w:ascii="仿宋" w:hAnsi="仿宋" w:eastAsia="仿宋"/>
          <w:sz w:val="30"/>
          <w:szCs w:val="30"/>
          <w:lang w:eastAsia="zh-CN"/>
        </w:rPr>
        <w:t>城乡社区支出</w:t>
      </w:r>
      <w:r>
        <w:rPr>
          <w:rFonts w:hint="eastAsia" w:ascii="仿宋" w:hAnsi="仿宋" w:eastAsia="仿宋"/>
          <w:sz w:val="30"/>
          <w:szCs w:val="30"/>
          <w:lang w:val="en-US" w:eastAsia="zh-CN"/>
        </w:rPr>
        <w:t>26660.5</w:t>
      </w:r>
      <w:r>
        <w:rPr>
          <w:rFonts w:hint="eastAsia" w:ascii="仿宋" w:hAnsi="仿宋" w:eastAsia="仿宋"/>
          <w:sz w:val="30"/>
          <w:szCs w:val="30"/>
        </w:rPr>
        <w:t>万元，决算数为</w:t>
      </w:r>
      <w:r>
        <w:rPr>
          <w:rFonts w:hint="eastAsia" w:ascii="仿宋" w:hAnsi="仿宋" w:eastAsia="仿宋"/>
          <w:sz w:val="30"/>
          <w:szCs w:val="30"/>
          <w:lang w:val="en-US" w:eastAsia="zh-CN"/>
        </w:rPr>
        <w:t>26660.5</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w:t>
      </w:r>
    </w:p>
    <w:p>
      <w:pPr>
        <w:pStyle w:val="2"/>
        <w:numPr>
          <w:ilvl w:val="0"/>
          <w:numId w:val="0"/>
        </w:numPr>
        <w:rPr>
          <w:rFonts w:hint="eastAsia"/>
        </w:rPr>
      </w:pPr>
    </w:p>
    <w:p>
      <w:pPr>
        <w:ind w:firstLine="630"/>
        <w:jc w:val="left"/>
        <w:rPr>
          <w:rFonts w:hint="eastAsia" w:ascii="仿宋" w:hAnsi="仿宋" w:eastAsia="仿宋"/>
          <w:sz w:val="30"/>
          <w:szCs w:val="30"/>
        </w:rPr>
      </w:pPr>
      <w:r>
        <w:rPr>
          <w:rFonts w:hint="eastAsia" w:ascii="仿宋" w:hAnsi="仿宋" w:eastAsia="仿宋"/>
          <w:sz w:val="30"/>
          <w:szCs w:val="30"/>
        </w:rPr>
        <w:t>（二）</w:t>
      </w:r>
      <w:r>
        <w:rPr>
          <w:rFonts w:hint="eastAsia" w:ascii="仿宋" w:hAnsi="仿宋" w:eastAsia="仿宋"/>
          <w:sz w:val="30"/>
          <w:szCs w:val="30"/>
          <w:lang w:eastAsia="zh-CN"/>
        </w:rPr>
        <w:t>农林水支出</w:t>
      </w:r>
      <w:r>
        <w:rPr>
          <w:rFonts w:hint="eastAsia" w:ascii="仿宋" w:hAnsi="仿宋" w:eastAsia="仿宋"/>
          <w:sz w:val="30"/>
          <w:szCs w:val="30"/>
        </w:rPr>
        <w:t>为</w:t>
      </w:r>
      <w:r>
        <w:rPr>
          <w:rFonts w:hint="eastAsia" w:ascii="仿宋" w:hAnsi="仿宋" w:eastAsia="仿宋"/>
          <w:sz w:val="30"/>
          <w:szCs w:val="30"/>
          <w:lang w:val="en-US" w:eastAsia="zh-CN"/>
        </w:rPr>
        <w:t>140.5</w:t>
      </w:r>
      <w:r>
        <w:rPr>
          <w:rFonts w:hint="eastAsia" w:ascii="仿宋" w:hAnsi="仿宋" w:eastAsia="仿宋"/>
          <w:sz w:val="30"/>
          <w:szCs w:val="30"/>
        </w:rPr>
        <w:t>万元，决算数为</w:t>
      </w:r>
      <w:r>
        <w:rPr>
          <w:rFonts w:hint="eastAsia" w:ascii="仿宋" w:hAnsi="仿宋" w:eastAsia="仿宋"/>
          <w:sz w:val="30"/>
          <w:szCs w:val="30"/>
          <w:lang w:val="en-US" w:eastAsia="zh-CN"/>
        </w:rPr>
        <w:t>140.5</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w:t>
      </w:r>
    </w:p>
    <w:p>
      <w:pPr>
        <w:ind w:firstLine="630"/>
        <w:jc w:val="left"/>
        <w:rPr>
          <w:rFonts w:hint="default" w:ascii="仿宋" w:hAnsi="仿宋" w:eastAsia="仿宋"/>
          <w:sz w:val="30"/>
          <w:szCs w:val="30"/>
          <w:lang w:val="en-US" w:eastAsia="zh-CN"/>
        </w:rPr>
      </w:pPr>
      <w:r>
        <w:rPr>
          <w:rFonts w:hint="eastAsia" w:ascii="仿宋" w:hAnsi="仿宋" w:eastAsia="仿宋"/>
          <w:sz w:val="30"/>
          <w:szCs w:val="30"/>
          <w:lang w:val="en-US" w:eastAsia="zh-CN"/>
        </w:rPr>
        <w:t xml:space="preserve"> （三）交通运输支出为577.1万元，决算数为577.1万元，完成年初预算的100%。</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 xml:space="preserve">本部门2019年度一般公共预算财政拨款基本支出 </w:t>
      </w:r>
      <w:r>
        <w:rPr>
          <w:rFonts w:hint="eastAsia" w:ascii="仿宋" w:hAnsi="仿宋" w:eastAsia="仿宋"/>
          <w:sz w:val="30"/>
          <w:szCs w:val="30"/>
          <w:lang w:val="en-US" w:eastAsia="zh-CN"/>
        </w:rPr>
        <w:t>2570.3</w:t>
      </w:r>
      <w:r>
        <w:rPr>
          <w:rFonts w:hint="eastAsia" w:ascii="仿宋" w:hAnsi="仿宋" w:eastAsia="仿宋"/>
          <w:sz w:val="30"/>
          <w:szCs w:val="30"/>
        </w:rPr>
        <w:t xml:space="preserve"> 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2303.5</w:t>
      </w:r>
      <w:r>
        <w:rPr>
          <w:rFonts w:hint="eastAsia" w:ascii="仿宋" w:hAnsi="仿宋" w:eastAsia="仿宋"/>
          <w:sz w:val="30"/>
          <w:szCs w:val="30"/>
        </w:rPr>
        <w:t xml:space="preserve"> 万元，较2018年增加</w:t>
      </w:r>
      <w:r>
        <w:rPr>
          <w:rFonts w:hint="eastAsia" w:ascii="仿宋" w:hAnsi="仿宋" w:eastAsia="仿宋"/>
          <w:sz w:val="30"/>
          <w:szCs w:val="30"/>
          <w:lang w:val="en-US" w:eastAsia="zh-CN"/>
        </w:rPr>
        <w:t>20.59</w:t>
      </w:r>
      <w:r>
        <w:rPr>
          <w:rFonts w:hint="eastAsia" w:ascii="仿宋" w:hAnsi="仿宋" w:eastAsia="仿宋"/>
          <w:sz w:val="30"/>
          <w:szCs w:val="30"/>
        </w:rPr>
        <w:t xml:space="preserve"> 万元，增长</w:t>
      </w:r>
      <w:r>
        <w:rPr>
          <w:rFonts w:hint="eastAsia" w:ascii="仿宋" w:hAnsi="仿宋" w:eastAsia="仿宋"/>
          <w:sz w:val="30"/>
          <w:szCs w:val="30"/>
          <w:lang w:val="en-US" w:eastAsia="zh-CN"/>
        </w:rPr>
        <w:t>0.9</w:t>
      </w:r>
      <w:r>
        <w:rPr>
          <w:rFonts w:hint="eastAsia" w:ascii="仿宋" w:hAnsi="仿宋" w:eastAsia="仿宋"/>
          <w:sz w:val="30"/>
          <w:szCs w:val="30"/>
        </w:rPr>
        <w:t xml:space="preserve"> %。</w:t>
      </w:r>
    </w:p>
    <w:p>
      <w:pPr>
        <w:ind w:firstLine="585"/>
        <w:jc w:val="left"/>
        <w:rPr>
          <w:rFonts w:hint="eastAsia"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226.3</w:t>
      </w:r>
      <w:r>
        <w:rPr>
          <w:rFonts w:hint="eastAsia" w:ascii="仿宋" w:hAnsi="仿宋" w:eastAsia="仿宋"/>
          <w:sz w:val="30"/>
          <w:szCs w:val="30"/>
        </w:rPr>
        <w:t>万元，较2018年减少</w:t>
      </w:r>
      <w:r>
        <w:rPr>
          <w:rFonts w:hint="eastAsia" w:ascii="仿宋" w:hAnsi="仿宋" w:eastAsia="仿宋"/>
          <w:sz w:val="30"/>
          <w:szCs w:val="30"/>
          <w:lang w:val="en-US" w:eastAsia="zh-CN"/>
        </w:rPr>
        <w:t>399.91</w:t>
      </w:r>
      <w:r>
        <w:rPr>
          <w:rFonts w:hint="eastAsia" w:ascii="仿宋" w:hAnsi="仿宋" w:eastAsia="仿宋"/>
          <w:sz w:val="30"/>
          <w:szCs w:val="30"/>
        </w:rPr>
        <w:t>万元，下降</w:t>
      </w:r>
      <w:r>
        <w:rPr>
          <w:rFonts w:hint="eastAsia" w:ascii="仿宋" w:hAnsi="仿宋" w:eastAsia="仿宋"/>
          <w:sz w:val="30"/>
          <w:szCs w:val="30"/>
          <w:lang w:val="en-US" w:eastAsia="zh-CN"/>
        </w:rPr>
        <w:t>63.86</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40.5</w:t>
      </w:r>
      <w:r>
        <w:rPr>
          <w:rFonts w:hint="eastAsia" w:ascii="仿宋" w:hAnsi="仿宋" w:eastAsia="仿宋"/>
          <w:sz w:val="30"/>
          <w:szCs w:val="30"/>
        </w:rPr>
        <w:t>万元，较2018年</w:t>
      </w:r>
      <w:r>
        <w:rPr>
          <w:rFonts w:hint="eastAsia" w:ascii="仿宋" w:hAnsi="仿宋" w:eastAsia="仿宋"/>
          <w:sz w:val="30"/>
          <w:szCs w:val="30"/>
          <w:lang w:eastAsia="zh-CN"/>
        </w:rPr>
        <w:t>增加</w:t>
      </w:r>
      <w:r>
        <w:rPr>
          <w:rFonts w:hint="eastAsia" w:ascii="仿宋" w:hAnsi="仿宋" w:eastAsia="仿宋"/>
          <w:sz w:val="30"/>
          <w:szCs w:val="30"/>
          <w:lang w:val="en-US" w:eastAsia="zh-CN"/>
        </w:rPr>
        <w:t>0.85</w:t>
      </w:r>
      <w:r>
        <w:rPr>
          <w:rFonts w:hint="eastAsia" w:ascii="仿宋" w:hAnsi="仿宋" w:eastAsia="仿宋"/>
          <w:sz w:val="30"/>
          <w:szCs w:val="30"/>
        </w:rPr>
        <w:t>万元，增长</w:t>
      </w:r>
      <w:r>
        <w:rPr>
          <w:rFonts w:hint="eastAsia" w:ascii="仿宋" w:hAnsi="仿宋" w:eastAsia="仿宋"/>
          <w:sz w:val="30"/>
          <w:szCs w:val="30"/>
          <w:lang w:val="en-US" w:eastAsia="zh-CN"/>
        </w:rPr>
        <w:t>0.01%</w:t>
      </w:r>
      <w:bookmarkStart w:id="0" w:name="_GoBack"/>
      <w:bookmarkEnd w:id="0"/>
      <w:r>
        <w:rPr>
          <w:rFonts w:hint="eastAsia" w:ascii="仿宋" w:hAnsi="仿宋" w:eastAsia="仿宋"/>
          <w:sz w:val="30"/>
          <w:szCs w:val="30"/>
        </w:rPr>
        <w:t>。</w:t>
      </w:r>
    </w:p>
    <w:p>
      <w:pPr>
        <w:pStyle w:val="2"/>
        <w:rPr>
          <w:rFonts w:hint="eastAsia"/>
        </w:rPr>
      </w:pP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lang w:eastAsia="zh-CN"/>
        </w:rPr>
      </w:pPr>
      <w:r>
        <w:rPr>
          <w:rFonts w:hint="eastAsia" w:ascii="仿宋" w:hAnsi="仿宋" w:eastAsia="仿宋"/>
          <w:sz w:val="30"/>
          <w:szCs w:val="30"/>
        </w:rPr>
        <w:t>本部门2019年度一般公共预算财政拨款“三公”经费支出年初预算数为</w:t>
      </w:r>
      <w:r>
        <w:rPr>
          <w:rFonts w:hint="eastAsia" w:ascii="仿宋" w:hAnsi="仿宋" w:eastAsia="仿宋"/>
          <w:sz w:val="30"/>
          <w:szCs w:val="30"/>
          <w:lang w:val="en-US" w:eastAsia="zh-CN"/>
        </w:rPr>
        <w:t>22.3</w:t>
      </w:r>
      <w:r>
        <w:rPr>
          <w:rFonts w:hint="eastAsia" w:ascii="仿宋" w:hAnsi="仿宋" w:eastAsia="仿宋"/>
          <w:sz w:val="30"/>
          <w:szCs w:val="30"/>
        </w:rPr>
        <w:t>万元，决算数为</w:t>
      </w:r>
      <w:r>
        <w:rPr>
          <w:rFonts w:hint="eastAsia" w:ascii="仿宋" w:hAnsi="仿宋" w:eastAsia="仿宋"/>
          <w:sz w:val="30"/>
          <w:szCs w:val="30"/>
          <w:lang w:val="en-US" w:eastAsia="zh-CN"/>
        </w:rPr>
        <w:t>0.3</w:t>
      </w:r>
      <w:r>
        <w:rPr>
          <w:rFonts w:hint="eastAsia" w:ascii="仿宋" w:hAnsi="仿宋" w:eastAsia="仿宋"/>
          <w:sz w:val="30"/>
          <w:szCs w:val="30"/>
        </w:rPr>
        <w:t xml:space="preserve"> 万元，完成年初预算的</w:t>
      </w:r>
      <w:r>
        <w:rPr>
          <w:rFonts w:hint="eastAsia" w:ascii="仿宋" w:hAnsi="仿宋" w:eastAsia="仿宋"/>
          <w:sz w:val="30"/>
          <w:szCs w:val="30"/>
          <w:lang w:val="en-US" w:eastAsia="zh-CN"/>
        </w:rPr>
        <w:t>1.35</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楷体_GB2312" w:hAnsi="楷体_GB2312" w:eastAsia="楷体_GB2312" w:cs="楷体_GB2312"/>
          <w:sz w:val="30"/>
          <w:szCs w:val="30"/>
        </w:rPr>
        <w:t>其中：</w:t>
      </w:r>
    </w:p>
    <w:p>
      <w:pPr>
        <w:numPr>
          <w:ilvl w:val="0"/>
          <w:numId w:val="2"/>
        </w:numPr>
        <w:ind w:firstLine="630"/>
        <w:jc w:val="left"/>
        <w:rPr>
          <w:rFonts w:hint="eastAsia" w:ascii="仿宋" w:hAnsi="仿宋" w:eastAsia="仿宋"/>
          <w:sz w:val="30"/>
          <w:szCs w:val="30"/>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 xml:space="preserve">  万元，完成年初预算的</w:t>
      </w:r>
      <w:r>
        <w:rPr>
          <w:rFonts w:hint="eastAsia" w:ascii="仿宋" w:hAnsi="仿宋" w:eastAsia="仿宋"/>
          <w:sz w:val="30"/>
          <w:szCs w:val="30"/>
          <w:lang w:val="en-US" w:eastAsia="zh-CN"/>
        </w:rPr>
        <w:t>100</w:t>
      </w:r>
      <w:r>
        <w:rPr>
          <w:rFonts w:hint="eastAsia" w:ascii="仿宋" w:hAnsi="仿宋" w:eastAsia="仿宋"/>
          <w:sz w:val="30"/>
          <w:szCs w:val="30"/>
        </w:rPr>
        <w:t xml:space="preserve"> %。</w:t>
      </w:r>
    </w:p>
    <w:p>
      <w:pPr>
        <w:numPr>
          <w:ilvl w:val="0"/>
          <w:numId w:val="0"/>
        </w:numPr>
        <w:ind w:firstLine="600" w:firstLineChars="200"/>
        <w:jc w:val="left"/>
        <w:rPr>
          <w:rFonts w:hint="eastAsia"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22.3</w:t>
      </w:r>
      <w:r>
        <w:rPr>
          <w:rFonts w:hint="eastAsia" w:ascii="仿宋" w:hAnsi="仿宋" w:eastAsia="仿宋"/>
          <w:sz w:val="30"/>
          <w:szCs w:val="30"/>
        </w:rPr>
        <w:t>万元，决算数为</w:t>
      </w:r>
      <w:r>
        <w:rPr>
          <w:rFonts w:hint="eastAsia" w:ascii="仿宋" w:hAnsi="仿宋" w:eastAsia="仿宋"/>
          <w:sz w:val="30"/>
          <w:szCs w:val="30"/>
          <w:lang w:val="en-US" w:eastAsia="zh-CN"/>
        </w:rPr>
        <w:t>0.3</w:t>
      </w:r>
      <w:r>
        <w:rPr>
          <w:rFonts w:hint="eastAsia" w:ascii="仿宋" w:hAnsi="仿宋" w:eastAsia="仿宋"/>
          <w:sz w:val="30"/>
          <w:szCs w:val="30"/>
        </w:rPr>
        <w:t xml:space="preserve">万元，完成年初预算的 </w:t>
      </w:r>
      <w:r>
        <w:rPr>
          <w:rFonts w:hint="eastAsia" w:ascii="仿宋" w:hAnsi="仿宋" w:eastAsia="仿宋"/>
          <w:sz w:val="30"/>
          <w:szCs w:val="30"/>
          <w:lang w:val="en-US" w:eastAsia="zh-CN"/>
        </w:rPr>
        <w:t>1.35</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 xml:space="preserve">（三）公务用车购置及运行维护费支出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万元，其中公务用车购置年初预算数为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万元，完成年初预算的 </w:t>
      </w:r>
      <w:r>
        <w:rPr>
          <w:rFonts w:hint="eastAsia" w:ascii="仿宋" w:hAnsi="仿宋" w:eastAsia="仿宋"/>
          <w:sz w:val="30"/>
          <w:szCs w:val="30"/>
          <w:lang w:val="en-US" w:eastAsia="zh-CN"/>
        </w:rPr>
        <w:t>100</w:t>
      </w:r>
      <w:r>
        <w:rPr>
          <w:rFonts w:hint="eastAsia" w:ascii="仿宋" w:hAnsi="仿宋" w:eastAsia="仿宋"/>
          <w:sz w:val="30"/>
          <w:szCs w:val="30"/>
        </w:rPr>
        <w:t xml:space="preserve">%；公务用车运行维护费支出年初预算数为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万元，完成年初预算的 </w:t>
      </w:r>
      <w:r>
        <w:rPr>
          <w:rFonts w:hint="eastAsia" w:ascii="仿宋" w:hAnsi="仿宋" w:eastAsia="仿宋"/>
          <w:sz w:val="30"/>
          <w:szCs w:val="30"/>
          <w:lang w:val="en-US" w:eastAsia="zh-CN"/>
        </w:rPr>
        <w:t>100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cs="仿宋"/>
          <w:sz w:val="30"/>
          <w:szCs w:val="30"/>
          <w:lang w:eastAsia="zh-CN"/>
        </w:rPr>
      </w:pPr>
      <w:r>
        <w:rPr>
          <w:rFonts w:hint="eastAsia" w:ascii="仿宋" w:hAnsi="仿宋" w:eastAsia="仿宋"/>
          <w:sz w:val="30"/>
          <w:szCs w:val="30"/>
        </w:rPr>
        <w:t xml:space="preserve">本部门2019年度机关运行经费支出 </w:t>
      </w:r>
      <w:r>
        <w:rPr>
          <w:rFonts w:hint="eastAsia" w:ascii="仿宋" w:hAnsi="仿宋" w:eastAsia="仿宋"/>
          <w:sz w:val="30"/>
          <w:szCs w:val="30"/>
          <w:lang w:val="en-US" w:eastAsia="zh-CN"/>
        </w:rPr>
        <w:t>226.3</w:t>
      </w:r>
      <w:r>
        <w:rPr>
          <w:rFonts w:hint="eastAsia" w:ascii="仿宋" w:hAnsi="仿宋" w:eastAsia="仿宋"/>
          <w:sz w:val="30"/>
          <w:szCs w:val="30"/>
        </w:rPr>
        <w:t>万元</w:t>
      </w:r>
      <w:r>
        <w:rPr>
          <w:rFonts w:hint="eastAsia" w:ascii="楷体_GB2312" w:hAnsi="楷体_GB2312" w:eastAsia="楷体_GB2312" w:cs="楷体_GB2312"/>
          <w:sz w:val="30"/>
          <w:szCs w:val="30"/>
        </w:rPr>
        <w:t>，较年初预算数减少</w:t>
      </w:r>
      <w:r>
        <w:rPr>
          <w:rFonts w:hint="eastAsia" w:ascii="楷体_GB2312" w:hAnsi="楷体_GB2312" w:eastAsia="楷体_GB2312" w:cs="楷体_GB2312"/>
          <w:sz w:val="30"/>
          <w:szCs w:val="30"/>
          <w:lang w:val="en-US" w:eastAsia="zh-CN"/>
        </w:rPr>
        <w:t>2.53</w:t>
      </w:r>
      <w:r>
        <w:rPr>
          <w:rFonts w:hint="eastAsia" w:ascii="楷体_GB2312" w:hAnsi="楷体_GB2312" w:eastAsia="楷体_GB2312" w:cs="楷体_GB2312"/>
          <w:sz w:val="30"/>
          <w:szCs w:val="30"/>
        </w:rPr>
        <w:t>万元，降低</w:t>
      </w:r>
      <w:r>
        <w:rPr>
          <w:rFonts w:hint="eastAsia" w:ascii="楷体_GB2312" w:hAnsi="楷体_GB2312" w:eastAsia="楷体_GB2312" w:cs="楷体_GB2312"/>
          <w:sz w:val="30"/>
          <w:szCs w:val="30"/>
          <w:lang w:val="en-US" w:eastAsia="zh-CN"/>
        </w:rPr>
        <w:t>1.1</w:t>
      </w:r>
      <w:r>
        <w:rPr>
          <w:rFonts w:hint="eastAsia" w:ascii="楷体_GB2312" w:hAnsi="楷体_GB2312" w:eastAsia="楷体_GB2312" w:cs="楷体_GB2312"/>
          <w:sz w:val="30"/>
          <w:szCs w:val="30"/>
        </w:rPr>
        <w:t>%，</w:t>
      </w:r>
      <w:r>
        <w:rPr>
          <w:rFonts w:hint="eastAsia" w:ascii="仿宋" w:hAnsi="仿宋" w:eastAsia="仿宋" w:cs="仿宋"/>
          <w:sz w:val="30"/>
          <w:szCs w:val="30"/>
        </w:rPr>
        <w:t>紧盯一般性行政支出、公共节能、“三公”经费等重要环节，严格规范经费使用，严守压减比例，坚决把“过紧日子”的要求落在实处</w:t>
      </w:r>
      <w:r>
        <w:rPr>
          <w:rFonts w:hint="eastAsia" w:ascii="仿宋" w:hAnsi="仿宋" w:eastAsia="仿宋" w:cs="仿宋"/>
          <w:sz w:val="30"/>
          <w:szCs w:val="30"/>
          <w:lang w:eastAsia="zh-CN"/>
        </w:rPr>
        <w:t>。</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本部门2019年度政府采购支出总额</w:t>
      </w:r>
      <w:r>
        <w:rPr>
          <w:rFonts w:hint="eastAsia" w:ascii="仿宋" w:hAnsi="仿宋" w:eastAsia="仿宋"/>
          <w:sz w:val="30"/>
          <w:szCs w:val="30"/>
          <w:lang w:val="en-US" w:eastAsia="zh-CN"/>
        </w:rPr>
        <w:t>10993.5</w:t>
      </w:r>
      <w:r>
        <w:rPr>
          <w:rFonts w:hint="eastAsia" w:ascii="仿宋" w:hAnsi="仿宋" w:eastAsia="仿宋"/>
          <w:sz w:val="30"/>
          <w:szCs w:val="30"/>
        </w:rPr>
        <w:t xml:space="preserve">万元，其中：政府采购货物支出 </w:t>
      </w:r>
      <w:r>
        <w:rPr>
          <w:rFonts w:hint="eastAsia" w:ascii="仿宋" w:hAnsi="仿宋" w:eastAsia="仿宋"/>
          <w:sz w:val="30"/>
          <w:szCs w:val="30"/>
          <w:lang w:val="en-US" w:eastAsia="zh-CN"/>
        </w:rPr>
        <w:t>2192.1</w:t>
      </w:r>
      <w:r>
        <w:rPr>
          <w:rFonts w:hint="eastAsia" w:ascii="仿宋" w:hAnsi="仿宋" w:eastAsia="仿宋"/>
          <w:sz w:val="30"/>
          <w:szCs w:val="30"/>
        </w:rPr>
        <w:t xml:space="preserve"> 万元、政府采购工程支出</w:t>
      </w:r>
      <w:r>
        <w:rPr>
          <w:rFonts w:hint="eastAsia" w:ascii="仿宋" w:hAnsi="仿宋" w:eastAsia="仿宋"/>
          <w:sz w:val="30"/>
          <w:szCs w:val="30"/>
          <w:lang w:val="en-US" w:eastAsia="zh-CN"/>
        </w:rPr>
        <w:t>56.7</w:t>
      </w:r>
      <w:r>
        <w:rPr>
          <w:rFonts w:hint="eastAsia" w:ascii="仿宋" w:hAnsi="仿宋" w:eastAsia="仿宋"/>
          <w:sz w:val="30"/>
          <w:szCs w:val="30"/>
        </w:rPr>
        <w:t xml:space="preserve"> 万元、政府采购服务支出 </w:t>
      </w:r>
      <w:r>
        <w:rPr>
          <w:rFonts w:hint="eastAsia" w:ascii="仿宋" w:hAnsi="仿宋" w:eastAsia="仿宋"/>
          <w:sz w:val="30"/>
          <w:szCs w:val="30"/>
          <w:lang w:val="en-US" w:eastAsia="zh-CN"/>
        </w:rPr>
        <w:t>8744.7</w:t>
      </w:r>
      <w:r>
        <w:rPr>
          <w:rFonts w:hint="eastAsia" w:ascii="仿宋" w:hAnsi="仿宋" w:eastAsia="仿宋"/>
          <w:sz w:val="30"/>
          <w:szCs w:val="30"/>
        </w:rPr>
        <w:t xml:space="preserve"> 万元。授予中小企业合同金额 </w:t>
      </w:r>
      <w:r>
        <w:rPr>
          <w:rFonts w:hint="eastAsia" w:ascii="仿宋" w:hAnsi="仿宋" w:eastAsia="仿宋"/>
          <w:sz w:val="30"/>
          <w:szCs w:val="30"/>
          <w:lang w:val="en-US" w:eastAsia="zh-CN"/>
        </w:rPr>
        <w:t>0</w:t>
      </w:r>
      <w:r>
        <w:rPr>
          <w:rFonts w:hint="eastAsia" w:ascii="仿宋" w:hAnsi="仿宋" w:eastAsia="仿宋"/>
          <w:sz w:val="30"/>
          <w:szCs w:val="30"/>
        </w:rPr>
        <w:t xml:space="preserve"> 万元，占政府采购支出总额的 </w:t>
      </w:r>
      <w:r>
        <w:rPr>
          <w:rFonts w:hint="eastAsia" w:ascii="仿宋" w:hAnsi="仿宋" w:eastAsia="仿宋"/>
          <w:sz w:val="30"/>
          <w:szCs w:val="30"/>
          <w:lang w:val="en-US" w:eastAsia="zh-CN"/>
        </w:rPr>
        <w:t>0</w:t>
      </w:r>
      <w:r>
        <w:rPr>
          <w:rFonts w:hint="eastAsia" w:ascii="仿宋" w:hAnsi="仿宋" w:eastAsia="仿宋"/>
          <w:sz w:val="30"/>
          <w:szCs w:val="30"/>
        </w:rPr>
        <w:t xml:space="preserve"> %，其中：授予小微企业合同金额  </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 xml:space="preserve"> %。（市级部门公开的政府采购金额的计算口径为：本部门纳入2019年部门预算范围的各项政府采购支出金额之和，不包括涉密采购项目的支出金额。）</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截止2019年12月31日，本部门国有资产占用情况见公开09表《国有资产占用情况表》。</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 w:hAnsi="仿宋" w:eastAsia="仿宋" w:cs="仿宋_GB2312"/>
          <w:kern w:val="0"/>
          <w:sz w:val="30"/>
          <w:szCs w:val="30"/>
        </w:rPr>
        <w:t xml:space="preserve">   </w:t>
      </w:r>
      <w:r>
        <w:rPr>
          <w:rFonts w:hint="eastAsia" w:ascii="仿宋_GB2312" w:hAnsi="仿宋_GB2312" w:eastAsia="仿宋_GB2312" w:cs="仿宋_GB2312"/>
          <w:snapToGrid w:val="0"/>
          <w:spacing w:val="-2"/>
          <w:kern w:val="0"/>
          <w:sz w:val="28"/>
          <w:szCs w:val="28"/>
          <w:lang w:val="en-US" w:eastAsia="zh-CN" w:bidi="ar-SA"/>
        </w:rPr>
        <w:t>（一）绩效管理工作开展情况。</w:t>
      </w:r>
    </w:p>
    <w:p>
      <w:pPr>
        <w:jc w:val="center"/>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 xml:space="preserve">     </w:t>
      </w:r>
    </w:p>
    <w:p>
      <w:pPr>
        <w:jc w:val="center"/>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 xml:space="preserve"> 项目一：燃气执法和建筑垃圾联合整治经费</w:t>
      </w:r>
    </w:p>
    <w:p>
      <w:pPr>
        <w:keepNext w:val="0"/>
        <w:keepLines w:val="0"/>
        <w:pageBreakBefore w:val="0"/>
        <w:widowControl/>
        <w:kinsoku/>
        <w:wordWrap/>
        <w:overflowPunct/>
        <w:topLinePunct w:val="0"/>
        <w:autoSpaceDE/>
        <w:autoSpaceDN/>
        <w:bidi w:val="0"/>
        <w:adjustRightInd/>
        <w:snapToGrid/>
        <w:spacing w:line="240" w:lineRule="auto"/>
        <w:ind w:firstLine="552" w:firstLineChars="200"/>
        <w:jc w:val="left"/>
        <w:textAlignment w:val="auto"/>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1.绩效评价目的</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 xml:space="preserve">   通过对项目实施以及财政专项资金使用情况的调研和评价，客观反映项目的实施状态、财政资金使用效益，总结项目成功经验，科学研判项目实施以及资金使用过程中存在的难题和局限，为进一步提升预算管理水平、提高公共服务质量、优化公共资源配置提供决策参考。</w:t>
      </w:r>
    </w:p>
    <w:p>
      <w:pPr>
        <w:keepNext w:val="0"/>
        <w:keepLines w:val="0"/>
        <w:pageBreakBefore w:val="0"/>
        <w:widowControl/>
        <w:kinsoku/>
        <w:wordWrap/>
        <w:overflowPunct/>
        <w:topLinePunct w:val="0"/>
        <w:autoSpaceDE/>
        <w:autoSpaceDN/>
        <w:bidi w:val="0"/>
        <w:adjustRightInd/>
        <w:snapToGrid/>
        <w:spacing w:line="240" w:lineRule="auto"/>
        <w:ind w:firstLine="552" w:firstLineChars="200"/>
        <w:jc w:val="left"/>
        <w:textAlignment w:val="auto"/>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2.绩效评价对象和范围</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 xml:space="preserve">    绩效评价对象为2019年财政安排的150专项资金使用绩效，评价范围包括本单位申报的所有项目。  </w:t>
      </w:r>
    </w:p>
    <w:p>
      <w:pPr>
        <w:jc w:val="center"/>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 xml:space="preserve"> 项目二：环卫节和开放式社区经费</w:t>
      </w:r>
    </w:p>
    <w:p>
      <w:pPr>
        <w:keepNext w:val="0"/>
        <w:keepLines w:val="0"/>
        <w:pageBreakBefore w:val="0"/>
        <w:widowControl/>
        <w:kinsoku/>
        <w:wordWrap/>
        <w:overflowPunct/>
        <w:topLinePunct w:val="0"/>
        <w:autoSpaceDE/>
        <w:autoSpaceDN/>
        <w:bidi w:val="0"/>
        <w:adjustRightInd/>
        <w:snapToGrid/>
        <w:spacing w:line="240" w:lineRule="auto"/>
        <w:ind w:firstLine="552" w:firstLineChars="200"/>
        <w:jc w:val="left"/>
        <w:textAlignment w:val="auto"/>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1.绩效评价目的</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 xml:space="preserve">   通过对项目实施以及财政专项资金使用情况的调研和评价，客观反映项目的实施状态、财政资金使用效益，总结项目成功经验，科学研判项目实施以及资金使用过程中存在的难题和局限，为进一步提升预算管理水平、提高公共服务质量、优化公共资源配置提供决策参考。</w:t>
      </w:r>
    </w:p>
    <w:p>
      <w:pPr>
        <w:keepNext w:val="0"/>
        <w:keepLines w:val="0"/>
        <w:pageBreakBefore w:val="0"/>
        <w:widowControl/>
        <w:kinsoku/>
        <w:wordWrap/>
        <w:overflowPunct/>
        <w:topLinePunct w:val="0"/>
        <w:autoSpaceDE/>
        <w:autoSpaceDN/>
        <w:bidi w:val="0"/>
        <w:adjustRightInd/>
        <w:snapToGrid/>
        <w:spacing w:line="240" w:lineRule="auto"/>
        <w:ind w:firstLine="552" w:firstLineChars="200"/>
        <w:jc w:val="left"/>
        <w:textAlignment w:val="auto"/>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2.绩效评价对象和范围</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 xml:space="preserve">绩效评价对象为2019年财政安排的998.45专项资金使用绩效，评价范围包括本单位申报的所有项目。 </w:t>
      </w:r>
    </w:p>
    <w:p>
      <w:pPr>
        <w:pStyle w:val="2"/>
        <w:ind w:firstLine="600"/>
        <w:rPr>
          <w:rFonts w:hint="eastAsia" w:ascii="仿宋_GB2312" w:hAnsi="仿宋_GB2312" w:eastAsia="仿宋_GB2312" w:cs="仿宋_GB2312"/>
          <w:snapToGrid w:val="0"/>
          <w:spacing w:val="-2"/>
          <w:kern w:val="0"/>
          <w:sz w:val="28"/>
          <w:szCs w:val="28"/>
          <w:lang w:val="en-US" w:eastAsia="zh-CN" w:bidi="ar-SA"/>
        </w:rPr>
      </w:pPr>
    </w:p>
    <w:p>
      <w:pPr>
        <w:numPr>
          <w:ilvl w:val="0"/>
          <w:numId w:val="3"/>
        </w:numPr>
        <w:autoSpaceDE w:val="0"/>
        <w:autoSpaceDN w:val="0"/>
        <w:adjustRightInd w:val="0"/>
        <w:spacing w:line="360" w:lineRule="auto"/>
        <w:ind w:left="0" w:leftChars="0" w:firstLine="0" w:firstLineChars="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部门决算中项目绩效自评结果</w:t>
      </w:r>
    </w:p>
    <w:p>
      <w:pPr>
        <w:keepNext w:val="0"/>
        <w:keepLines w:val="0"/>
        <w:pageBreakBefore w:val="0"/>
        <w:widowControl/>
        <w:kinsoku/>
        <w:wordWrap/>
        <w:overflowPunct/>
        <w:topLinePunct w:val="0"/>
        <w:autoSpaceDE/>
        <w:autoSpaceDN/>
        <w:bidi w:val="0"/>
        <w:adjustRightInd/>
        <w:snapToGrid/>
        <w:spacing w:line="240" w:lineRule="auto"/>
        <w:ind w:firstLine="552" w:firstLineChars="200"/>
        <w:jc w:val="left"/>
        <w:textAlignment w:val="auto"/>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我部门在燃气执法和建筑垃圾联合整治经费项目立项符合规范，资金落实得到保障；建立了业务管理制度、财务管理制度，内部控制制度健全且得到了有效地执行，以上制度的运行得到了有效的监督。在区财政局绩效办的指导监督下，我局不断加强和规范清扫保洁专项资金的使用管理，坚持公开、公平、公正和专款专用的原则，提高了资金使用效益。一年来，镇政府通过认真组织项目立项审批、及时下达项目资金，勤抓项目实施管理，基本完成了2019年度市燃气执法和建筑垃圾联合整治专项资金的预算安排、资金使用及后续管理，服务对象及群众满意度较高。此次项目评价各处室通过了项目产出、项目效果、项目满意度3项指标，对项目实施进行了评价，综合权重部门评价得分为96分，评价等级为优。</w:t>
      </w:r>
    </w:p>
    <w:p>
      <w:pPr>
        <w:pStyle w:val="2"/>
        <w:numPr>
          <w:ilvl w:val="0"/>
          <w:numId w:val="0"/>
        </w:numPr>
        <w:ind w:leftChars="0"/>
        <w:rPr>
          <w:rFonts w:hint="default" w:ascii="仿宋_GB2312" w:hAnsi="仿宋_GB2312" w:eastAsia="仿宋_GB2312" w:cs="仿宋_GB2312"/>
          <w:b w:val="0"/>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 xml:space="preserve"> </w:t>
      </w:r>
      <w:r>
        <w:rPr>
          <w:rFonts w:hint="eastAsia" w:ascii="仿宋_GB2312" w:hAnsi="仿宋_GB2312" w:eastAsia="仿宋_GB2312" w:cs="仿宋_GB2312"/>
          <w:b w:val="0"/>
          <w:snapToGrid w:val="0"/>
          <w:spacing w:val="-2"/>
          <w:kern w:val="0"/>
          <w:sz w:val="28"/>
          <w:szCs w:val="28"/>
          <w:lang w:val="en-US" w:eastAsia="zh-CN" w:bidi="ar-SA"/>
        </w:rPr>
        <w:t xml:space="preserve">    我部门在环卫节和开放式社区经费项目本项目立项符合规范，资金落实得到保障；建立了业务管理制度、财务管理制度，内部控制制度健全且得到了有效地执行，以上制度的运行得到了有效的监督。在区财政局绩效办的指导监督下，我局不断加强和规范清扫保洁专项资金的使用管理，坚持公开、公平、公正和专款专用的原则，提高了资金使用效益。一年来，镇政府通过认真组织项目立项审批、及时下达项目资金，勤抓项目实施管理，基本完成了2019年度市环卫节和开放式社区专项资金的预算安排、资金使用及后续管理，服务对象及群众满意度较高。此次项目评价各处室通过了项目产出、项目效果、项目满意度3项指标，对项目实施进行了评价，综合权重部门评价得分为96分，评价等级为优。</w:t>
      </w: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rPr>
      </w:pPr>
    </w:p>
    <w:p>
      <w:pPr>
        <w:pStyle w:val="2"/>
        <w:ind w:firstLine="600"/>
        <w:rPr>
          <w:rFonts w:hint="eastAsia" w:eastAsia="宋体"/>
          <w:lang w:eastAsia="zh-CN"/>
        </w:rPr>
      </w:pPr>
      <w:r>
        <w:rPr>
          <w:rFonts w:hint="eastAsia" w:eastAsia="宋体"/>
          <w:lang w:eastAsia="zh-CN"/>
        </w:rPr>
        <w:drawing>
          <wp:inline distT="0" distB="0" distL="114300" distR="114300">
            <wp:extent cx="5269230" cy="4563110"/>
            <wp:effectExtent l="0" t="0" r="7620" b="8890"/>
            <wp:docPr id="1" name="图片 1" descr="0762522f6847895773d5ccda909c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762522f6847895773d5ccda909c0de"/>
                    <pic:cNvPicPr>
                      <a:picLocks noChangeAspect="1"/>
                    </pic:cNvPicPr>
                  </pic:nvPicPr>
                  <pic:blipFill>
                    <a:blip r:embed="rId19"/>
                    <a:stretch>
                      <a:fillRect/>
                    </a:stretch>
                  </pic:blipFill>
                  <pic:spPr>
                    <a:xfrm>
                      <a:off x="0" y="0"/>
                      <a:ext cx="5269230" cy="4563110"/>
                    </a:xfrm>
                    <a:prstGeom prst="rect">
                      <a:avLst/>
                    </a:prstGeom>
                  </pic:spPr>
                </pic:pic>
              </a:graphicData>
            </a:graphic>
          </wp:inline>
        </w:drawing>
      </w:r>
    </w:p>
    <w:p>
      <w:pPr>
        <w:pStyle w:val="2"/>
        <w:ind w:firstLine="600"/>
        <w:rPr>
          <w:rFonts w:hint="eastAsia" w:eastAsia="宋体"/>
          <w:lang w:eastAsia="zh-CN"/>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jc w:val="left"/>
        <w:rPr>
          <w:rFonts w:hint="default" w:ascii="仿宋" w:hAnsi="仿宋" w:eastAsia="仿宋" w:cs="仿宋_GB2312"/>
          <w:kern w:val="0"/>
          <w:sz w:val="30"/>
          <w:szCs w:val="30"/>
          <w:lang w:val="en-US" w:eastAsia="zh-CN"/>
        </w:rPr>
      </w:pPr>
    </w:p>
    <w:p>
      <w:pPr>
        <w:rPr>
          <w:rFonts w:hint="eastAsia" w:eastAsia="宋体"/>
          <w:lang w:eastAsia="zh-CN"/>
        </w:rPr>
      </w:pPr>
      <w:r>
        <w:rPr>
          <w:rFonts w:hint="eastAsia" w:eastAsia="宋体"/>
          <w:lang w:eastAsia="zh-CN"/>
        </w:rPr>
        <w:drawing>
          <wp:inline distT="0" distB="0" distL="114300" distR="114300">
            <wp:extent cx="5268595" cy="4706620"/>
            <wp:effectExtent l="0" t="0" r="8255" b="17780"/>
            <wp:docPr id="2" name="图片 2" descr="30ea17ff86ebdde9967530d5a0535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0ea17ff86ebdde9967530d5a0535f9"/>
                    <pic:cNvPicPr>
                      <a:picLocks noChangeAspect="1"/>
                    </pic:cNvPicPr>
                  </pic:nvPicPr>
                  <pic:blipFill>
                    <a:blip r:embed="rId20"/>
                    <a:stretch>
                      <a:fillRect/>
                    </a:stretch>
                  </pic:blipFill>
                  <pic:spPr>
                    <a:xfrm>
                      <a:off x="0" y="0"/>
                      <a:ext cx="5268595" cy="4706620"/>
                    </a:xfrm>
                    <a:prstGeom prst="rect">
                      <a:avLst/>
                    </a:prstGeom>
                  </pic:spPr>
                </pic:pic>
              </a:graphicData>
            </a:graphic>
          </wp:inline>
        </w:drawing>
      </w: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rPr>
          <w:rFonts w:hint="eastAsia"/>
        </w:rPr>
      </w:pPr>
    </w:p>
    <w:p>
      <w:pPr>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10"/>
        <w:spacing w:line="600" w:lineRule="atLeast"/>
        <w:ind w:firstLine="600"/>
        <w:rPr>
          <w:rFonts w:hint="eastAsia" w:ascii="仿宋" w:hAnsi="仿宋" w:eastAsia="仿宋"/>
          <w:sz w:val="30"/>
          <w:szCs w:val="30"/>
        </w:rPr>
      </w:pPr>
    </w:p>
    <w:p>
      <w:pPr>
        <w:widowControl/>
        <w:spacing w:line="580" w:lineRule="exact"/>
        <w:jc w:val="left"/>
        <w:rPr>
          <w:rFonts w:hint="eastAsia" w:ascii="仿宋" w:hAnsi="仿宋" w:eastAsia="仿宋"/>
          <w:kern w:val="0"/>
          <w:sz w:val="30"/>
          <w:szCs w:val="30"/>
        </w:rPr>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pStyle w:val="2"/>
      </w:pP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一、收入科目</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（一）财政拨款：指省级财政当年拨付的资金。</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（二）事业收入：指事业单位开展专业业务活动及辅助活动取得的收入。</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（三）事业单位经营收入：指事业单位在专业业务活动及辅助活动之外开展非独立核算经营活动取得的收入。</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（四）其他收入：指除财政拨款、事业收入、事业单位经营收入等以外的各项收入。</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（六）上级补助收入：反映事业单位从主管部门和上级单位取得的非财政补助收入。</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（七）用事业基金弥补收支差额：填列事业单位用事业基金弥补2017年收支差额的数额。</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（八）上年结转和结余： 填列2016年全部结转和结余的资金数，包括当年结转结余资金和历年滚存结转结余资金。</w:t>
      </w:r>
    </w:p>
    <w:p>
      <w:pPr>
        <w:widowControl/>
        <w:spacing w:line="54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二、支出科目</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（一）城乡社区支出：反映政府城乡社区管理事务支出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（二）城乡社区管理事务：反映城乡社区管理事务支出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（三）其他城乡社区支出：反映除上述项目以外其他用于城乡社区方面的支出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（四）城乡社区环境卫生：反映城乡社区道路清扫、垃圾清运与处理、公厕建设与维护、园林绿化等方面的支出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（五）公路水路运输：反映与公路、水路运输相关的支出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（六）其他公路水路运输支出：反映除上述项目以外其他用于公路水路运输方面的支出</w:t>
      </w:r>
    </w:p>
    <w:p>
      <w:pPr>
        <w:widowControl/>
        <w:spacing w:line="576" w:lineRule="exact"/>
        <w:jc w:val="left"/>
        <w:rPr>
          <w:rFonts w:hint="eastAsia" w:ascii="仿宋_GB2312" w:hAnsi="仿宋_GB2312" w:eastAsia="仿宋_GB2312" w:cs="仿宋_GB2312"/>
          <w:snapToGrid w:val="0"/>
          <w:spacing w:val="-2"/>
          <w:kern w:val="0"/>
          <w:sz w:val="28"/>
          <w:szCs w:val="28"/>
          <w:lang w:val="en-US" w:eastAsia="zh-CN" w:bidi="ar-SA"/>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pPr>
    <w:r>
      <w:fldChar w:fldCharType="begin"/>
    </w:r>
    <w:r>
      <w:rPr>
        <w:rStyle w:val="9"/>
      </w:rPr>
      <w:instrText xml:space="preserve"> PAGE  </w:instrText>
    </w:r>
    <w:r>
      <w:fldChar w:fldCharType="separate"/>
    </w:r>
    <w:r>
      <w:rPr>
        <w:rStyle w:val="9"/>
      </w:rPr>
      <w:t>- 1 -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C92DB"/>
    <w:multiLevelType w:val="singleLevel"/>
    <w:tmpl w:val="801C92DB"/>
    <w:lvl w:ilvl="0" w:tentative="0">
      <w:start w:val="1"/>
      <w:numFmt w:val="chineseCounting"/>
      <w:suff w:val="nothing"/>
      <w:lvlText w:val="（%1）"/>
      <w:lvlJc w:val="left"/>
      <w:rPr>
        <w:rFonts w:hint="eastAsia"/>
      </w:rPr>
    </w:lvl>
  </w:abstractNum>
  <w:abstractNum w:abstractNumId="1">
    <w:nsid w:val="EB3D34F3"/>
    <w:multiLevelType w:val="singleLevel"/>
    <w:tmpl w:val="EB3D34F3"/>
    <w:lvl w:ilvl="0" w:tentative="0">
      <w:start w:val="2"/>
      <w:numFmt w:val="chineseCounting"/>
      <w:suff w:val="nothing"/>
      <w:lvlText w:val="（%1）"/>
      <w:lvlJc w:val="left"/>
      <w:rPr>
        <w:rFonts w:hint="eastAsia"/>
      </w:rPr>
    </w:lvl>
  </w:abstractNum>
  <w:abstractNum w:abstractNumId="2">
    <w:nsid w:val="61F798C4"/>
    <w:multiLevelType w:val="singleLevel"/>
    <w:tmpl w:val="61F798C4"/>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558A6"/>
    <w:rsid w:val="04F26DF5"/>
    <w:rsid w:val="0C3A595D"/>
    <w:rsid w:val="1D9E25E2"/>
    <w:rsid w:val="1FE62D7F"/>
    <w:rsid w:val="2DEB32C0"/>
    <w:rsid w:val="42DA3834"/>
    <w:rsid w:val="460F7A81"/>
    <w:rsid w:val="4B2670C8"/>
    <w:rsid w:val="51C92D1B"/>
    <w:rsid w:val="524D4060"/>
    <w:rsid w:val="5E645A83"/>
    <w:rsid w:val="614B1DE0"/>
    <w:rsid w:val="78E558A6"/>
    <w:rsid w:val="7E3C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480" w:beforeLines="0" w:after="0" w:afterLines="0"/>
      <w:contextualSpacing/>
      <w:outlineLvl w:val="0"/>
    </w:pPr>
    <w:rPr>
      <w:rFonts w:ascii="Cambria" w:hAnsi="Cambria" w:eastAsia="宋体"/>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customStyle="1" w:styleId="10">
    <w:name w:val="p0"/>
    <w:basedOn w:val="1"/>
    <w:qFormat/>
    <w:uiPriority w:val="0"/>
    <w:pPr>
      <w:widowControl/>
    </w:pPr>
    <w:rPr>
      <w:kern w:val="0"/>
      <w:szCs w:val="21"/>
    </w:rPr>
  </w:style>
  <w:style w:type="paragraph" w:customStyle="1" w:styleId="11">
    <w:name w:val="标题1 闸北"/>
    <w:basedOn w:val="3"/>
    <w:qFormat/>
    <w:uiPriority w:val="0"/>
    <w:pPr>
      <w:adjustRightInd w:val="0"/>
      <w:snapToGrid w:val="0"/>
      <w:jc w:val="center"/>
    </w:pPr>
    <w:rPr>
      <w:rFonts w:ascii="宋体" w:hAnsi="宋体"/>
      <w:bCs w:val="0"/>
      <w:color w:val="000000"/>
      <w:sz w:val="36"/>
      <w:szCs w:val="36"/>
    </w:rPr>
  </w:style>
  <w:style w:type="paragraph" w:customStyle="1" w:styleId="12">
    <w:name w:val="证文"/>
    <w:basedOn w:val="1"/>
    <w:qFormat/>
    <w:uiPriority w:val="0"/>
    <w:pPr>
      <w:spacing w:line="360" w:lineRule="auto"/>
    </w:pPr>
    <w:rPr>
      <w:sz w:val="24"/>
      <w:szCs w:val="20"/>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2020-09-17T07:55:00Z</dcterms:created>
  <dc:creator>如花妹妹的妹妹*</dc:creator>
  <cp:lastModifiedBy>如花妹妹的妹妹*</cp:lastModifiedBy>
  <dcterms:modified xsi:type="dcterms:W3CDTF">2020-09-29T06:20:15Z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