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spacing w:line="360" w:lineRule="auto"/>
        <w:jc w:val="center"/>
        <w:rPr>
          <w:rFonts w:ascii="Times New Roman" w:hAnsi="Times New Roman" w:cs="Times New Roman"/>
          <w:color w:val="auto"/>
          <w:sz w:val="44"/>
          <w:szCs w:val="44"/>
        </w:rPr>
      </w:pPr>
      <w:bookmarkStart w:id="0" w:name="_Toc499039844"/>
      <w:bookmarkStart w:id="1" w:name="_Toc12700"/>
      <w:bookmarkStart w:id="2" w:name="_Toc26690"/>
      <w:bookmarkStart w:id="3" w:name="_Toc1208"/>
      <w:bookmarkStart w:id="4" w:name="_Toc20560"/>
      <w:bookmarkStart w:id="5" w:name="_Toc451799182"/>
      <w:bookmarkStart w:id="6" w:name="_Toc19059"/>
    </w:p>
    <w:p>
      <w:pPr>
        <w:adjustRightInd w:val="0"/>
        <w:snapToGrid w:val="0"/>
        <w:spacing w:line="360" w:lineRule="auto"/>
        <w:jc w:val="center"/>
        <w:rPr>
          <w:rFonts w:ascii="Times New Roman" w:hAnsi="Times New Roman" w:cs="Times New Roman"/>
          <w:color w:val="auto"/>
          <w:sz w:val="44"/>
          <w:szCs w:val="44"/>
        </w:rPr>
      </w:pPr>
    </w:p>
    <w:p>
      <w:pPr>
        <w:adjustRightInd w:val="0"/>
        <w:snapToGrid w:val="0"/>
        <w:spacing w:line="360" w:lineRule="auto"/>
        <w:jc w:val="center"/>
        <w:rPr>
          <w:rFonts w:ascii="Times New Roman" w:hAnsi="Times New Roman" w:cs="Times New Roman"/>
          <w:b/>
          <w:color w:val="auto"/>
          <w:sz w:val="44"/>
          <w:szCs w:val="44"/>
        </w:rPr>
      </w:pPr>
      <w:r>
        <w:rPr>
          <w:rFonts w:hint="eastAsia" w:ascii="Times New Roman" w:hAnsi="Times New Roman" w:cs="Times New Roman"/>
          <w:b/>
          <w:color w:val="auto"/>
          <w:sz w:val="44"/>
          <w:szCs w:val="44"/>
        </w:rPr>
        <w:t>青山湖高新技术产业园部分区域</w:t>
      </w:r>
    </w:p>
    <w:p>
      <w:pPr>
        <w:adjustRightInd w:val="0"/>
        <w:snapToGrid w:val="0"/>
        <w:spacing w:line="360" w:lineRule="auto"/>
        <w:jc w:val="center"/>
        <w:rPr>
          <w:rFonts w:ascii="Times New Roman" w:hAnsi="Times New Roman" w:eastAsia="黑体" w:cs="Times New Roman"/>
          <w:color w:val="auto"/>
          <w:sz w:val="84"/>
          <w:szCs w:val="84"/>
        </w:rPr>
      </w:pPr>
      <w:r>
        <w:rPr>
          <w:rFonts w:ascii="Times New Roman" w:hAnsi="Times New Roman" w:eastAsia="黑体" w:cs="Times New Roman"/>
          <w:color w:val="auto"/>
          <w:sz w:val="84"/>
          <w:szCs w:val="84"/>
        </w:rPr>
        <w:t>水土保持</w:t>
      </w:r>
      <w:r>
        <w:rPr>
          <w:rFonts w:hint="eastAsia" w:ascii="Times New Roman" w:hAnsi="Times New Roman" w:eastAsia="黑体" w:cs="Times New Roman"/>
          <w:color w:val="auto"/>
          <w:sz w:val="84"/>
          <w:szCs w:val="84"/>
        </w:rPr>
        <w:t>区域评估报告书</w:t>
      </w:r>
    </w:p>
    <w:p>
      <w:pPr>
        <w:spacing w:line="360" w:lineRule="auto"/>
        <w:ind w:right="-449" w:rightChars="-187"/>
        <w:jc w:val="center"/>
        <w:rPr>
          <w:rFonts w:ascii="Times New Roman" w:hAnsi="Times New Roman" w:cs="Times New Roman"/>
          <w:b/>
          <w:color w:val="auto"/>
          <w:sz w:val="44"/>
          <w:szCs w:val="44"/>
        </w:rPr>
      </w:pPr>
    </w:p>
    <w:p>
      <w:pPr>
        <w:spacing w:line="360" w:lineRule="auto"/>
        <w:ind w:right="-449" w:rightChars="-187"/>
        <w:jc w:val="center"/>
        <w:rPr>
          <w:rFonts w:ascii="Times New Roman" w:hAnsi="Times New Roman" w:cs="Times New Roman"/>
          <w:b/>
          <w:color w:val="auto"/>
          <w:sz w:val="32"/>
        </w:rPr>
      </w:pPr>
    </w:p>
    <w:p>
      <w:pPr>
        <w:spacing w:line="360" w:lineRule="auto"/>
        <w:ind w:right="-449" w:rightChars="-187"/>
        <w:jc w:val="center"/>
        <w:rPr>
          <w:rFonts w:ascii="Times New Roman" w:hAnsi="Times New Roman" w:cs="Times New Roman"/>
          <w:b/>
          <w:color w:val="auto"/>
          <w:sz w:val="32"/>
        </w:rPr>
      </w:pPr>
    </w:p>
    <w:p>
      <w:pPr>
        <w:spacing w:line="360" w:lineRule="auto"/>
        <w:ind w:right="-449" w:rightChars="-187"/>
        <w:jc w:val="center"/>
        <w:rPr>
          <w:rFonts w:ascii="Times New Roman" w:hAnsi="Times New Roman" w:cs="Times New Roman"/>
          <w:b/>
          <w:color w:val="auto"/>
          <w:sz w:val="32"/>
        </w:rPr>
      </w:pPr>
    </w:p>
    <w:p>
      <w:pPr>
        <w:spacing w:line="360" w:lineRule="auto"/>
        <w:ind w:right="-449" w:rightChars="-187"/>
        <w:jc w:val="center"/>
        <w:rPr>
          <w:rFonts w:ascii="Times New Roman" w:hAnsi="Times New Roman" w:cs="Times New Roman"/>
          <w:b/>
          <w:color w:val="auto"/>
          <w:sz w:val="32"/>
        </w:rPr>
      </w:pPr>
    </w:p>
    <w:p>
      <w:pPr>
        <w:spacing w:line="360" w:lineRule="auto"/>
        <w:ind w:right="-449" w:rightChars="-187"/>
        <w:rPr>
          <w:rFonts w:ascii="Times New Roman" w:hAnsi="Times New Roman" w:cs="Times New Roman"/>
          <w:b/>
          <w:color w:val="auto"/>
          <w:sz w:val="32"/>
        </w:rPr>
      </w:pPr>
    </w:p>
    <w:p>
      <w:pPr>
        <w:spacing w:line="360" w:lineRule="auto"/>
        <w:ind w:right="-449" w:rightChars="-187"/>
        <w:rPr>
          <w:rFonts w:ascii="Times New Roman" w:hAnsi="Times New Roman" w:cs="Times New Roman"/>
          <w:b/>
          <w:color w:val="auto"/>
          <w:sz w:val="32"/>
        </w:rPr>
      </w:pPr>
    </w:p>
    <w:p>
      <w:pPr>
        <w:spacing w:line="360" w:lineRule="auto"/>
        <w:ind w:right="-449" w:rightChars="-187"/>
        <w:rPr>
          <w:rFonts w:ascii="Times New Roman" w:hAnsi="Times New Roman" w:cs="Times New Roman"/>
          <w:b/>
          <w:color w:val="auto"/>
          <w:sz w:val="32"/>
        </w:rPr>
      </w:pPr>
    </w:p>
    <w:p>
      <w:pPr>
        <w:spacing w:line="360" w:lineRule="auto"/>
        <w:ind w:right="-449" w:rightChars="-187"/>
        <w:rPr>
          <w:rFonts w:ascii="Times New Roman" w:hAnsi="Times New Roman" w:cs="Times New Roman"/>
          <w:b/>
          <w:color w:val="auto"/>
          <w:sz w:val="32"/>
        </w:rPr>
      </w:pPr>
    </w:p>
    <w:p>
      <w:pPr>
        <w:spacing w:line="360" w:lineRule="auto"/>
        <w:ind w:right="-449" w:rightChars="-187"/>
        <w:rPr>
          <w:rFonts w:ascii="Times New Roman" w:hAnsi="Times New Roman" w:cs="Times New Roman"/>
          <w:b/>
          <w:color w:val="auto"/>
          <w:sz w:val="32"/>
        </w:rPr>
      </w:pPr>
    </w:p>
    <w:p>
      <w:pPr>
        <w:spacing w:line="360" w:lineRule="auto"/>
        <w:jc w:val="center"/>
        <w:rPr>
          <w:rFonts w:ascii="Times New Roman" w:hAnsi="Times New Roman" w:cs="Times New Roman"/>
          <w:color w:val="auto"/>
          <w:sz w:val="32"/>
          <w:szCs w:val="32"/>
        </w:rPr>
      </w:pPr>
      <w:r>
        <w:rPr>
          <w:rFonts w:ascii="Times New Roman" w:hAnsi="Times New Roman" w:cs="Times New Roman"/>
          <w:color w:val="auto"/>
          <w:sz w:val="32"/>
          <w:szCs w:val="32"/>
        </w:rPr>
        <w:t>建设单位：</w:t>
      </w:r>
      <w:r>
        <w:rPr>
          <w:rFonts w:hint="eastAsia" w:ascii="Times New Roman" w:hAnsi="Times New Roman" w:cs="Times New Roman"/>
          <w:color w:val="auto"/>
          <w:sz w:val="32"/>
          <w:szCs w:val="32"/>
        </w:rPr>
        <w:t>江西青山湖高新技术产业园区管理委员会</w:t>
      </w:r>
    </w:p>
    <w:p>
      <w:pPr>
        <w:spacing w:line="360" w:lineRule="auto"/>
        <w:jc w:val="center"/>
        <w:rPr>
          <w:rFonts w:ascii="Times New Roman" w:hAnsi="Times New Roman" w:cs="Times New Roman"/>
          <w:color w:val="auto"/>
          <w:sz w:val="32"/>
          <w:szCs w:val="32"/>
        </w:rPr>
      </w:pPr>
      <w:r>
        <w:rPr>
          <w:rFonts w:ascii="Times New Roman" w:hAnsi="Times New Roman" w:cs="Times New Roman"/>
          <w:color w:val="auto"/>
          <w:sz w:val="32"/>
          <w:szCs w:val="32"/>
        </w:rPr>
        <w:t>编制单位：</w:t>
      </w:r>
      <w:r>
        <w:rPr>
          <w:rFonts w:hint="eastAsia" w:ascii="Times New Roman" w:hAnsi="Times New Roman" w:cs="Times New Roman"/>
          <w:color w:val="auto"/>
          <w:sz w:val="32"/>
          <w:szCs w:val="32"/>
        </w:rPr>
        <w:t>江西</w:t>
      </w:r>
      <w:r>
        <w:rPr>
          <w:rFonts w:ascii="Times New Roman" w:hAnsi="Times New Roman" w:cs="Times New Roman"/>
          <w:color w:val="auto"/>
          <w:sz w:val="32"/>
          <w:szCs w:val="32"/>
        </w:rPr>
        <w:t>锦恒水保环境技术咨询有限公司</w:t>
      </w:r>
    </w:p>
    <w:p>
      <w:pPr>
        <w:spacing w:line="360" w:lineRule="auto"/>
        <w:jc w:val="center"/>
        <w:rPr>
          <w:rFonts w:ascii="Times New Roman" w:hAnsi="Times New Roman" w:cs="Times New Roman"/>
          <w:color w:val="auto"/>
          <w:sz w:val="32"/>
          <w:szCs w:val="32"/>
        </w:rPr>
      </w:pPr>
      <w:r>
        <w:rPr>
          <w:rFonts w:ascii="Times New Roman" w:hAnsi="Times New Roman" w:cs="Times New Roman"/>
          <w:color w:val="auto"/>
          <w:sz w:val="32"/>
          <w:szCs w:val="32"/>
        </w:rPr>
        <w:t>202</w:t>
      </w:r>
      <w:r>
        <w:rPr>
          <w:rFonts w:hint="eastAsia" w:ascii="Times New Roman" w:hAnsi="Times New Roman" w:cs="Times New Roman"/>
          <w:color w:val="auto"/>
          <w:sz w:val="32"/>
          <w:szCs w:val="32"/>
        </w:rPr>
        <w:t>2</w:t>
      </w:r>
      <w:r>
        <w:rPr>
          <w:rFonts w:ascii="Times New Roman" w:hAnsi="Times New Roman" w:cs="Times New Roman"/>
          <w:color w:val="auto"/>
          <w:sz w:val="32"/>
          <w:szCs w:val="32"/>
        </w:rPr>
        <w:t>年</w:t>
      </w:r>
      <w:r>
        <w:rPr>
          <w:rFonts w:hint="eastAsia" w:ascii="Times New Roman" w:hAnsi="Times New Roman" w:cs="Times New Roman"/>
          <w:color w:val="auto"/>
          <w:sz w:val="32"/>
          <w:szCs w:val="32"/>
        </w:rPr>
        <w:t>10</w:t>
      </w:r>
      <w:r>
        <w:rPr>
          <w:rFonts w:ascii="Times New Roman" w:hAnsi="Times New Roman" w:cs="Times New Roman"/>
          <w:color w:val="auto"/>
          <w:sz w:val="32"/>
          <w:szCs w:val="32"/>
        </w:rPr>
        <w:t>月</w:t>
      </w:r>
    </w:p>
    <w:p>
      <w:pPr>
        <w:spacing w:line="360" w:lineRule="auto"/>
        <w:jc w:val="center"/>
        <w:rPr>
          <w:rFonts w:ascii="Times New Roman" w:hAnsi="Times New Roman" w:cs="Times New Roman"/>
          <w:color w:val="auto"/>
          <w:sz w:val="32"/>
          <w:szCs w:val="32"/>
        </w:rPr>
      </w:pPr>
    </w:p>
    <w:p>
      <w:pPr>
        <w:spacing w:line="360" w:lineRule="auto"/>
        <w:jc w:val="center"/>
        <w:rPr>
          <w:rFonts w:ascii="Times New Roman" w:hAnsi="Times New Roman" w:cs="Times New Roman"/>
          <w:color w:val="auto"/>
          <w:sz w:val="32"/>
          <w:szCs w:val="32"/>
        </w:rPr>
      </w:pPr>
    </w:p>
    <w:p>
      <w:pPr>
        <w:spacing w:line="360" w:lineRule="auto"/>
        <w:jc w:val="center"/>
        <w:rPr>
          <w:rFonts w:ascii="Times New Roman" w:hAnsi="Times New Roman" w:cs="Times New Roman"/>
          <w:color w:val="auto"/>
          <w:sz w:val="32"/>
          <w:szCs w:val="32"/>
        </w:rPr>
      </w:pPr>
    </w:p>
    <w:p>
      <w:pPr>
        <w:spacing w:line="360" w:lineRule="auto"/>
        <w:jc w:val="center"/>
        <w:rPr>
          <w:rFonts w:ascii="Times New Roman" w:hAnsi="Times New Roman" w:cs="Times New Roman"/>
          <w:color w:val="auto"/>
          <w:sz w:val="32"/>
          <w:szCs w:val="32"/>
        </w:rPr>
      </w:pPr>
    </w:p>
    <w:p>
      <w:pPr>
        <w:spacing w:line="360" w:lineRule="auto"/>
        <w:jc w:val="center"/>
        <w:rPr>
          <w:rFonts w:ascii="Times New Roman" w:hAnsi="Times New Roman" w:cs="Times New Roman"/>
          <w:color w:val="auto"/>
          <w:sz w:val="32"/>
          <w:szCs w:val="32"/>
        </w:rPr>
      </w:pPr>
    </w:p>
    <w:p>
      <w:pPr>
        <w:spacing w:line="360" w:lineRule="auto"/>
        <w:jc w:val="center"/>
        <w:rPr>
          <w:rFonts w:ascii="Times New Roman" w:hAnsi="Times New Roman" w:cs="Times New Roman"/>
          <w:color w:val="auto"/>
          <w:sz w:val="32"/>
          <w:szCs w:val="32"/>
        </w:rPr>
      </w:pPr>
    </w:p>
    <w:p>
      <w:pPr>
        <w:spacing w:line="360" w:lineRule="auto"/>
        <w:jc w:val="center"/>
        <w:rPr>
          <w:rFonts w:ascii="Times New Roman" w:hAnsi="Times New Roman" w:cs="Times New Roman"/>
          <w:color w:val="auto"/>
          <w:sz w:val="32"/>
          <w:szCs w:val="32"/>
        </w:rPr>
      </w:pPr>
    </w:p>
    <w:p>
      <w:pPr>
        <w:spacing w:line="360" w:lineRule="auto"/>
        <w:jc w:val="center"/>
        <w:rPr>
          <w:rFonts w:ascii="Times New Roman" w:hAnsi="Times New Roman" w:cs="Times New Roman"/>
          <w:color w:val="auto"/>
          <w:sz w:val="32"/>
          <w:szCs w:val="32"/>
        </w:rPr>
      </w:pPr>
    </w:p>
    <w:p>
      <w:pPr>
        <w:spacing w:line="360" w:lineRule="auto"/>
        <w:jc w:val="center"/>
        <w:rPr>
          <w:rFonts w:ascii="Times New Roman" w:hAnsi="Times New Roman" w:cs="Times New Roman"/>
          <w:color w:val="auto"/>
          <w:sz w:val="32"/>
          <w:szCs w:val="32"/>
        </w:rPr>
      </w:pPr>
    </w:p>
    <w:p>
      <w:pPr>
        <w:spacing w:line="360" w:lineRule="auto"/>
        <w:jc w:val="center"/>
        <w:rPr>
          <w:rFonts w:ascii="Times New Roman" w:hAnsi="Times New Roman" w:cs="Times New Roman"/>
          <w:color w:val="auto"/>
          <w:sz w:val="32"/>
          <w:szCs w:val="32"/>
        </w:rPr>
      </w:pPr>
    </w:p>
    <w:p>
      <w:pPr>
        <w:spacing w:line="360" w:lineRule="auto"/>
        <w:jc w:val="center"/>
        <w:rPr>
          <w:rFonts w:ascii="Times New Roman" w:hAnsi="Times New Roman" w:cs="Times New Roman"/>
          <w:color w:val="auto"/>
          <w:sz w:val="32"/>
          <w:szCs w:val="32"/>
        </w:rPr>
      </w:pPr>
    </w:p>
    <w:p>
      <w:pPr>
        <w:spacing w:line="360" w:lineRule="auto"/>
        <w:jc w:val="center"/>
        <w:rPr>
          <w:rFonts w:ascii="Times New Roman" w:hAnsi="Times New Roman" w:cs="Times New Roman"/>
          <w:color w:val="auto"/>
          <w:sz w:val="32"/>
          <w:szCs w:val="32"/>
        </w:rPr>
      </w:pPr>
    </w:p>
    <w:p>
      <w:pPr>
        <w:spacing w:line="360" w:lineRule="auto"/>
        <w:jc w:val="center"/>
        <w:rPr>
          <w:rFonts w:ascii="Times New Roman" w:hAnsi="Times New Roman" w:cs="Times New Roman"/>
          <w:color w:val="auto"/>
          <w:sz w:val="32"/>
          <w:szCs w:val="32"/>
        </w:rPr>
      </w:pPr>
    </w:p>
    <w:p>
      <w:pPr>
        <w:spacing w:line="360" w:lineRule="auto"/>
        <w:jc w:val="center"/>
        <w:rPr>
          <w:rFonts w:ascii="Times New Roman" w:hAnsi="Times New Roman" w:cs="Times New Roman"/>
          <w:color w:val="auto"/>
          <w:sz w:val="32"/>
          <w:szCs w:val="32"/>
        </w:rPr>
      </w:pPr>
    </w:p>
    <w:p>
      <w:pPr>
        <w:spacing w:line="360" w:lineRule="auto"/>
        <w:jc w:val="center"/>
        <w:rPr>
          <w:rFonts w:ascii="Times New Roman" w:hAnsi="Times New Roman" w:cs="Times New Roman"/>
          <w:color w:val="auto"/>
          <w:sz w:val="32"/>
          <w:szCs w:val="32"/>
        </w:rPr>
      </w:pPr>
    </w:p>
    <w:p>
      <w:pPr>
        <w:spacing w:line="360" w:lineRule="auto"/>
        <w:jc w:val="center"/>
        <w:rPr>
          <w:rFonts w:ascii="Times New Roman" w:hAnsi="Times New Roman" w:cs="Times New Roman"/>
          <w:color w:val="auto"/>
          <w:sz w:val="32"/>
          <w:szCs w:val="32"/>
        </w:rPr>
      </w:pPr>
    </w:p>
    <w:p>
      <w:pPr>
        <w:spacing w:line="360" w:lineRule="auto"/>
        <w:jc w:val="center"/>
        <w:rPr>
          <w:rFonts w:ascii="Times New Roman" w:hAnsi="Times New Roman" w:cs="Times New Roman"/>
          <w:color w:val="auto"/>
          <w:sz w:val="32"/>
          <w:szCs w:val="32"/>
        </w:rPr>
      </w:pPr>
    </w:p>
    <w:p>
      <w:pPr>
        <w:spacing w:line="360" w:lineRule="auto"/>
        <w:jc w:val="center"/>
        <w:rPr>
          <w:rFonts w:ascii="Times New Roman" w:hAnsi="Times New Roman" w:cs="Times New Roman"/>
          <w:color w:val="auto"/>
          <w:sz w:val="32"/>
          <w:szCs w:val="32"/>
        </w:rPr>
      </w:pPr>
    </w:p>
    <w:p>
      <w:pPr>
        <w:spacing w:line="360" w:lineRule="auto"/>
        <w:jc w:val="center"/>
        <w:rPr>
          <w:rFonts w:ascii="Times New Roman" w:hAnsi="Times New Roman" w:cs="Times New Roman"/>
          <w:color w:val="auto"/>
          <w:sz w:val="32"/>
          <w:szCs w:val="32"/>
        </w:rPr>
      </w:pPr>
    </w:p>
    <w:p>
      <w:pPr>
        <w:spacing w:line="360" w:lineRule="auto"/>
        <w:jc w:val="center"/>
        <w:rPr>
          <w:rFonts w:ascii="Times New Roman" w:hAnsi="Times New Roman" w:cs="Times New Roman"/>
          <w:color w:val="auto"/>
          <w:sz w:val="32"/>
          <w:szCs w:val="32"/>
        </w:rPr>
      </w:pPr>
    </w:p>
    <w:p>
      <w:pPr>
        <w:spacing w:line="360" w:lineRule="auto"/>
        <w:jc w:val="center"/>
        <w:rPr>
          <w:rFonts w:ascii="Times New Roman" w:hAnsi="Times New Roman" w:cs="Times New Roman"/>
          <w:color w:val="auto"/>
          <w:sz w:val="36"/>
          <w:szCs w:val="36"/>
        </w:rPr>
        <w:sectPr>
          <w:headerReference r:id="rId3" w:type="default"/>
          <w:footerReference r:id="rId4" w:type="default"/>
          <w:pgSz w:w="11906" w:h="16838"/>
          <w:pgMar w:top="1440" w:right="1080" w:bottom="1440" w:left="1080" w:header="851" w:footer="992" w:gutter="0"/>
          <w:pgBorders>
            <w:top w:val="none" w:sz="0" w:space="0"/>
            <w:left w:val="none" w:sz="0" w:space="0"/>
            <w:bottom w:val="none" w:sz="0" w:space="0"/>
            <w:right w:val="none" w:sz="0" w:space="0"/>
          </w:pgBorders>
          <w:pgNumType w:start="1"/>
          <w:cols w:space="720" w:num="1"/>
          <w:docGrid w:type="lines" w:linePitch="332" w:charSpace="0"/>
        </w:sectPr>
      </w:pPr>
    </w:p>
    <w:p>
      <w:pPr>
        <w:tabs>
          <w:tab w:val="left" w:pos="2410"/>
        </w:tabs>
        <w:adjustRightInd w:val="0"/>
        <w:snapToGrid w:val="0"/>
        <w:spacing w:line="360" w:lineRule="auto"/>
        <w:ind w:leftChars="-295" w:hanging="708" w:hangingChars="253"/>
        <w:jc w:val="center"/>
        <w:rPr>
          <w:rFonts w:ascii="Times New Roman" w:hAnsi="Times New Roman" w:cs="Times New Roman"/>
          <w:color w:val="auto"/>
          <w:sz w:val="28"/>
        </w:rPr>
      </w:pPr>
      <w:r>
        <w:rPr>
          <w:rFonts w:ascii="Times New Roman" w:hAnsi="Times New Roman" w:cs="Times New Roman"/>
          <w:color w:val="auto"/>
          <w:sz w:val="28"/>
        </w:rPr>
        <w:drawing>
          <wp:inline distT="0" distB="0" distL="0" distR="0">
            <wp:extent cx="6183630" cy="7681595"/>
            <wp:effectExtent l="0" t="0" r="1270" b="1905"/>
            <wp:docPr id="4" name="图片 18" descr="C:\Users\Administrator\Desktop\锦恒营业执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8" descr="C:\Users\Administrator\Desktop\锦恒营业执照.jpg"/>
                    <pic:cNvPicPr>
                      <a:picLocks noChangeAspect="1" noChangeArrowheads="1"/>
                    </pic:cNvPicPr>
                  </pic:nvPicPr>
                  <pic:blipFill>
                    <a:blip r:embed="rId47" cstate="print"/>
                    <a:srcRect/>
                    <a:stretch>
                      <a:fillRect/>
                    </a:stretch>
                  </pic:blipFill>
                  <pic:spPr>
                    <a:xfrm>
                      <a:off x="0" y="0"/>
                      <a:ext cx="6184014" cy="7681595"/>
                    </a:xfrm>
                    <a:prstGeom prst="rect">
                      <a:avLst/>
                    </a:prstGeom>
                    <a:noFill/>
                    <a:ln w="9525">
                      <a:noFill/>
                      <a:miter lim="800000"/>
                      <a:headEnd/>
                      <a:tailEnd/>
                    </a:ln>
                  </pic:spPr>
                </pic:pic>
              </a:graphicData>
            </a:graphic>
          </wp:inline>
        </w:drawing>
      </w:r>
    </w:p>
    <w:p>
      <w:pPr>
        <w:tabs>
          <w:tab w:val="left" w:pos="2410"/>
        </w:tabs>
        <w:adjustRightInd w:val="0"/>
        <w:snapToGrid w:val="0"/>
        <w:spacing w:line="360" w:lineRule="auto"/>
        <w:ind w:left="2040" w:leftChars="850"/>
        <w:jc w:val="left"/>
        <w:rPr>
          <w:rFonts w:ascii="Times New Roman" w:hAnsi="Times New Roman" w:cs="Times New Roman"/>
          <w:b/>
          <w:color w:val="auto"/>
          <w:sz w:val="32"/>
          <w:szCs w:val="32"/>
        </w:rPr>
      </w:pPr>
      <w:r>
        <w:rPr>
          <w:rFonts w:ascii="Times New Roman" w:hAnsi="Times New Roman" w:cs="Times New Roman"/>
          <w:b/>
          <w:color w:val="auto"/>
          <w:sz w:val="32"/>
          <w:szCs w:val="32"/>
        </w:rPr>
        <w:t>公司联系人及电话：</w:t>
      </w:r>
      <w:r>
        <w:rPr>
          <w:rFonts w:hint="eastAsia" w:ascii="Times New Roman" w:hAnsi="Times New Roman" w:cs="Times New Roman"/>
          <w:b/>
          <w:color w:val="auto"/>
          <w:sz w:val="32"/>
          <w:szCs w:val="32"/>
        </w:rPr>
        <w:t>李军</w:t>
      </w:r>
      <w:r>
        <w:rPr>
          <w:rFonts w:ascii="Times New Roman" w:hAnsi="Times New Roman" w:cs="Times New Roman"/>
          <w:b/>
          <w:color w:val="auto"/>
          <w:sz w:val="32"/>
          <w:szCs w:val="32"/>
        </w:rPr>
        <w:t>/1</w:t>
      </w:r>
      <w:r>
        <w:rPr>
          <w:rFonts w:hint="eastAsia" w:ascii="Times New Roman" w:hAnsi="Times New Roman" w:cs="Times New Roman"/>
          <w:b/>
          <w:color w:val="auto"/>
          <w:sz w:val="32"/>
          <w:szCs w:val="32"/>
        </w:rPr>
        <w:t>3698099190</w:t>
      </w:r>
    </w:p>
    <w:p>
      <w:pPr>
        <w:tabs>
          <w:tab w:val="left" w:pos="2410"/>
        </w:tabs>
        <w:adjustRightInd w:val="0"/>
        <w:snapToGrid w:val="0"/>
        <w:spacing w:line="360" w:lineRule="auto"/>
        <w:ind w:left="2040" w:leftChars="850"/>
        <w:jc w:val="left"/>
        <w:rPr>
          <w:rFonts w:ascii="Times New Roman" w:hAnsi="Times New Roman" w:cs="Times New Roman"/>
          <w:b/>
          <w:color w:val="auto"/>
          <w:sz w:val="32"/>
          <w:szCs w:val="32"/>
        </w:rPr>
      </w:pPr>
      <w:r>
        <w:rPr>
          <w:rFonts w:ascii="Times New Roman" w:hAnsi="Times New Roman" w:cs="Times New Roman"/>
          <w:b/>
          <w:color w:val="auto"/>
          <w:sz w:val="32"/>
          <w:szCs w:val="32"/>
        </w:rPr>
        <w:t>传真：0791-88697074</w:t>
      </w:r>
    </w:p>
    <w:p>
      <w:pPr>
        <w:tabs>
          <w:tab w:val="left" w:pos="2410"/>
        </w:tabs>
        <w:adjustRightInd w:val="0"/>
        <w:snapToGrid w:val="0"/>
        <w:spacing w:line="360" w:lineRule="auto"/>
        <w:ind w:left="2040" w:leftChars="850"/>
        <w:jc w:val="left"/>
        <w:rPr>
          <w:rFonts w:ascii="Times New Roman" w:hAnsi="Times New Roman" w:cs="Times New Roman"/>
          <w:b/>
          <w:color w:val="auto"/>
          <w:sz w:val="32"/>
          <w:szCs w:val="32"/>
        </w:rPr>
      </w:pPr>
      <w:r>
        <w:rPr>
          <w:rFonts w:ascii="Times New Roman" w:hAnsi="Times New Roman" w:cs="Times New Roman"/>
          <w:b/>
          <w:color w:val="auto"/>
          <w:sz w:val="32"/>
          <w:szCs w:val="32"/>
        </w:rPr>
        <w:t>邮箱：906750005@qq.com</w:t>
      </w:r>
    </w:p>
    <w:p>
      <w:pPr>
        <w:tabs>
          <w:tab w:val="left" w:pos="2410"/>
        </w:tabs>
        <w:adjustRightInd w:val="0"/>
        <w:snapToGrid w:val="0"/>
        <w:spacing w:line="360" w:lineRule="auto"/>
        <w:jc w:val="center"/>
        <w:rPr>
          <w:rFonts w:ascii="Times New Roman" w:hAnsi="Times New Roman" w:cs="Times New Roman"/>
          <w:color w:val="auto"/>
          <w:sz w:val="28"/>
        </w:rPr>
      </w:pPr>
    </w:p>
    <w:p>
      <w:pPr>
        <w:tabs>
          <w:tab w:val="left" w:pos="2410"/>
        </w:tabs>
        <w:adjustRightInd w:val="0"/>
        <w:snapToGrid w:val="0"/>
        <w:spacing w:line="360" w:lineRule="auto"/>
        <w:ind w:left="2040" w:leftChars="850"/>
        <w:jc w:val="left"/>
        <w:rPr>
          <w:rFonts w:ascii="Times New Roman" w:hAnsi="Times New Roman" w:cs="Times New Roman"/>
          <w:b/>
          <w:color w:val="auto"/>
          <w:sz w:val="32"/>
          <w:szCs w:val="32"/>
        </w:rPr>
      </w:pPr>
    </w:p>
    <w:p>
      <w:pPr>
        <w:tabs>
          <w:tab w:val="left" w:pos="2410"/>
        </w:tabs>
        <w:adjustRightInd w:val="0"/>
        <w:snapToGrid w:val="0"/>
        <w:spacing w:line="360" w:lineRule="auto"/>
        <w:ind w:left="2040" w:leftChars="850"/>
        <w:jc w:val="left"/>
        <w:rPr>
          <w:rFonts w:ascii="Times New Roman" w:hAnsi="Times New Roman" w:cs="Times New Roman"/>
          <w:b/>
          <w:color w:val="auto"/>
          <w:sz w:val="32"/>
          <w:szCs w:val="32"/>
        </w:rPr>
      </w:pPr>
    </w:p>
    <w:p>
      <w:pPr>
        <w:tabs>
          <w:tab w:val="left" w:pos="2410"/>
        </w:tabs>
        <w:adjustRightInd w:val="0"/>
        <w:snapToGrid w:val="0"/>
        <w:spacing w:line="360" w:lineRule="auto"/>
        <w:ind w:left="2040" w:leftChars="850"/>
        <w:jc w:val="left"/>
        <w:rPr>
          <w:rFonts w:ascii="Times New Roman" w:hAnsi="Times New Roman" w:cs="Times New Roman"/>
          <w:b/>
          <w:color w:val="auto"/>
          <w:sz w:val="28"/>
        </w:rPr>
      </w:pPr>
    </w:p>
    <w:p>
      <w:pPr>
        <w:tabs>
          <w:tab w:val="left" w:pos="2410"/>
        </w:tabs>
        <w:adjustRightInd w:val="0"/>
        <w:snapToGrid w:val="0"/>
        <w:spacing w:line="360" w:lineRule="auto"/>
        <w:ind w:left="2040" w:leftChars="850"/>
        <w:jc w:val="left"/>
        <w:rPr>
          <w:rFonts w:ascii="Times New Roman" w:hAnsi="Times New Roman" w:cs="Times New Roman"/>
          <w:b/>
          <w:color w:val="auto"/>
          <w:sz w:val="28"/>
        </w:rPr>
      </w:pPr>
    </w:p>
    <w:p>
      <w:pPr>
        <w:tabs>
          <w:tab w:val="left" w:pos="2410"/>
        </w:tabs>
        <w:adjustRightInd w:val="0"/>
        <w:snapToGrid w:val="0"/>
        <w:spacing w:line="360" w:lineRule="auto"/>
        <w:ind w:left="2040" w:leftChars="850"/>
        <w:jc w:val="left"/>
        <w:rPr>
          <w:rFonts w:ascii="Times New Roman" w:hAnsi="Times New Roman" w:cs="Times New Roman"/>
          <w:b/>
          <w:color w:val="auto"/>
          <w:sz w:val="28"/>
        </w:rPr>
      </w:pPr>
    </w:p>
    <w:p>
      <w:pPr>
        <w:tabs>
          <w:tab w:val="left" w:pos="2410"/>
        </w:tabs>
        <w:adjustRightInd w:val="0"/>
        <w:snapToGrid w:val="0"/>
        <w:spacing w:line="360" w:lineRule="auto"/>
        <w:ind w:left="2040" w:leftChars="850"/>
        <w:jc w:val="left"/>
        <w:rPr>
          <w:rFonts w:ascii="Times New Roman" w:hAnsi="Times New Roman" w:cs="Times New Roman"/>
          <w:b/>
          <w:color w:val="auto"/>
          <w:sz w:val="28"/>
        </w:rPr>
        <w:sectPr>
          <w:headerReference r:id="rId5" w:type="default"/>
          <w:footerReference r:id="rId6" w:type="default"/>
          <w:pgSz w:w="11906" w:h="16838"/>
          <w:pgMar w:top="1440" w:right="1803" w:bottom="1440" w:left="1803" w:header="851" w:footer="992" w:gutter="0"/>
          <w:pgBorders>
            <w:top w:val="none" w:sz="0" w:space="0"/>
            <w:left w:val="none" w:sz="0" w:space="0"/>
            <w:bottom w:val="none" w:sz="0" w:space="0"/>
            <w:right w:val="none" w:sz="0" w:space="0"/>
          </w:pgBorders>
          <w:pgNumType w:start="1"/>
          <w:cols w:space="720" w:num="1"/>
          <w:docGrid w:type="lines" w:linePitch="332" w:charSpace="0"/>
        </w:sectPr>
      </w:pPr>
    </w:p>
    <w:p>
      <w:pPr>
        <w:jc w:val="center"/>
        <w:rPr>
          <w:rFonts w:ascii="Times New Roman" w:hAnsi="Times New Roman" w:cs="Times New Roman"/>
          <w:b/>
          <w:color w:val="auto"/>
          <w:sz w:val="36"/>
          <w:szCs w:val="36"/>
        </w:rPr>
      </w:pPr>
      <w:r>
        <w:rPr>
          <w:rFonts w:ascii="Times New Roman" w:hAnsi="Times New Roman" w:cs="Times New Roman"/>
          <w:b/>
          <w:color w:val="auto"/>
          <w:sz w:val="36"/>
          <w:szCs w:val="36"/>
        </w:rPr>
        <w:t>青山湖高新技术产业园部分区域</w:t>
      </w:r>
    </w:p>
    <w:p>
      <w:pPr>
        <w:jc w:val="center"/>
        <w:rPr>
          <w:rFonts w:ascii="Times New Roman" w:hAnsi="Times New Roman" w:cs="Times New Roman"/>
          <w:b/>
          <w:color w:val="auto"/>
          <w:sz w:val="36"/>
          <w:szCs w:val="36"/>
        </w:rPr>
      </w:pPr>
      <w:r>
        <w:rPr>
          <w:rFonts w:ascii="Times New Roman" w:hAnsi="Times New Roman" w:cs="Times New Roman"/>
          <w:b/>
          <w:color w:val="auto"/>
          <w:sz w:val="36"/>
          <w:szCs w:val="36"/>
        </w:rPr>
        <w:t>水土保持</w:t>
      </w:r>
      <w:r>
        <w:rPr>
          <w:rFonts w:hint="eastAsia" w:ascii="Times New Roman" w:hAnsi="Times New Roman" w:cs="Times New Roman"/>
          <w:b/>
          <w:color w:val="auto"/>
          <w:sz w:val="36"/>
          <w:szCs w:val="36"/>
        </w:rPr>
        <w:t>区域</w:t>
      </w:r>
      <w:r>
        <w:rPr>
          <w:rFonts w:ascii="Times New Roman" w:hAnsi="Times New Roman" w:cs="Times New Roman"/>
          <w:b/>
          <w:color w:val="auto"/>
          <w:sz w:val="36"/>
          <w:szCs w:val="36"/>
        </w:rPr>
        <w:t>评估报告书</w:t>
      </w:r>
    </w:p>
    <w:p>
      <w:pPr>
        <w:jc w:val="center"/>
        <w:rPr>
          <w:rFonts w:ascii="Times New Roman" w:hAnsi="Times New Roman" w:cs="Times New Roman"/>
          <w:b/>
          <w:color w:val="auto"/>
          <w:sz w:val="44"/>
          <w:szCs w:val="44"/>
        </w:rPr>
      </w:pPr>
      <w:r>
        <w:rPr>
          <w:rFonts w:ascii="Times New Roman" w:hAnsi="Times New Roman" w:cs="Times New Roman"/>
          <w:b/>
          <w:color w:val="auto"/>
          <w:sz w:val="44"/>
          <w:szCs w:val="44"/>
        </w:rPr>
        <w:t>责 任 页</w:t>
      </w:r>
    </w:p>
    <w:p>
      <w:pPr>
        <w:jc w:val="center"/>
        <w:rPr>
          <w:rFonts w:ascii="Times New Roman" w:hAnsi="Times New Roman" w:cs="Times New Roman"/>
          <w:b/>
          <w:color w:val="auto"/>
          <w:sz w:val="30"/>
          <w:szCs w:val="30"/>
        </w:rPr>
      </w:pPr>
      <w:r>
        <w:rPr>
          <w:rFonts w:hint="eastAsia" w:ascii="Times New Roman" w:hAnsi="Times New Roman" w:cs="Times New Roman"/>
          <w:b/>
          <w:color w:val="auto"/>
          <w:sz w:val="30"/>
          <w:szCs w:val="30"/>
        </w:rPr>
        <w:t>（</w:t>
      </w:r>
      <w:r>
        <w:rPr>
          <w:rFonts w:ascii="Times New Roman" w:hAnsi="Times New Roman" w:cs="Times New Roman"/>
          <w:b/>
          <w:color w:val="auto"/>
          <w:sz w:val="30"/>
          <w:szCs w:val="30"/>
        </w:rPr>
        <w:t>江西锦恒水保环境技术咨询有限公司</w:t>
      </w:r>
      <w:r>
        <w:rPr>
          <w:rFonts w:hint="eastAsia" w:ascii="Times New Roman" w:hAnsi="Times New Roman" w:cs="Times New Roman"/>
          <w:b/>
          <w:color w:val="auto"/>
          <w:sz w:val="30"/>
          <w:szCs w:val="30"/>
        </w:rPr>
        <w:t>）</w:t>
      </w:r>
    </w:p>
    <w:tbl>
      <w:tblPr>
        <w:tblStyle w:val="3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37"/>
        <w:gridCol w:w="1255"/>
        <w:gridCol w:w="1669"/>
        <w:gridCol w:w="2288"/>
        <w:gridCol w:w="166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28" w:hRule="atLeast"/>
          <w:jc w:val="center"/>
        </w:trPr>
        <w:tc>
          <w:tcPr>
            <w:tcW w:w="1668" w:type="dxa"/>
            <w:vAlign w:val="center"/>
          </w:tcPr>
          <w:p>
            <w:pPr>
              <w:jc w:val="center"/>
              <w:rPr>
                <w:rFonts w:ascii="Times New Roman" w:hAnsi="Times New Roman" w:cs="Times New Roman"/>
                <w:b/>
                <w:color w:val="auto"/>
                <w:kern w:val="0"/>
                <w:sz w:val="28"/>
                <w:szCs w:val="28"/>
              </w:rPr>
            </w:pPr>
            <w:r>
              <w:rPr>
                <w:rFonts w:ascii="Times New Roman" w:hAnsi="Times New Roman" w:cs="Times New Roman"/>
                <w:b/>
                <w:color w:val="auto"/>
                <w:kern w:val="0"/>
                <w:sz w:val="28"/>
                <w:szCs w:val="28"/>
              </w:rPr>
              <w:t>职责</w:t>
            </w:r>
          </w:p>
        </w:tc>
        <w:tc>
          <w:tcPr>
            <w:tcW w:w="1275" w:type="dxa"/>
            <w:vAlign w:val="center"/>
          </w:tcPr>
          <w:p>
            <w:pPr>
              <w:jc w:val="center"/>
              <w:rPr>
                <w:rFonts w:ascii="Times New Roman" w:hAnsi="Times New Roman" w:cs="Times New Roman"/>
                <w:b/>
                <w:color w:val="auto"/>
                <w:kern w:val="0"/>
                <w:sz w:val="28"/>
                <w:szCs w:val="28"/>
              </w:rPr>
            </w:pPr>
            <w:r>
              <w:rPr>
                <w:rFonts w:ascii="Times New Roman" w:hAnsi="Times New Roman" w:cs="Times New Roman"/>
                <w:b/>
                <w:color w:val="auto"/>
                <w:kern w:val="0"/>
                <w:sz w:val="28"/>
                <w:szCs w:val="28"/>
              </w:rPr>
              <w:t>姓名</w:t>
            </w:r>
          </w:p>
        </w:tc>
        <w:tc>
          <w:tcPr>
            <w:tcW w:w="1701" w:type="dxa"/>
            <w:vAlign w:val="center"/>
          </w:tcPr>
          <w:p>
            <w:pPr>
              <w:jc w:val="center"/>
              <w:rPr>
                <w:rFonts w:ascii="Times New Roman" w:hAnsi="Times New Roman" w:cs="Times New Roman"/>
                <w:b/>
                <w:color w:val="auto"/>
                <w:kern w:val="0"/>
                <w:sz w:val="28"/>
                <w:szCs w:val="28"/>
              </w:rPr>
            </w:pPr>
            <w:r>
              <w:rPr>
                <w:rFonts w:ascii="Times New Roman" w:hAnsi="Times New Roman" w:cs="Times New Roman"/>
                <w:b/>
                <w:color w:val="auto"/>
                <w:kern w:val="0"/>
                <w:sz w:val="28"/>
                <w:szCs w:val="28"/>
              </w:rPr>
              <w:t>职务或职称</w:t>
            </w:r>
          </w:p>
        </w:tc>
        <w:tc>
          <w:tcPr>
            <w:tcW w:w="2332" w:type="dxa"/>
            <w:vAlign w:val="center"/>
          </w:tcPr>
          <w:p>
            <w:pPr>
              <w:jc w:val="center"/>
              <w:rPr>
                <w:rFonts w:ascii="Times New Roman" w:hAnsi="Times New Roman" w:cs="Times New Roman"/>
                <w:b/>
                <w:color w:val="auto"/>
                <w:kern w:val="0"/>
                <w:sz w:val="28"/>
                <w:szCs w:val="28"/>
              </w:rPr>
            </w:pPr>
            <w:r>
              <w:rPr>
                <w:rFonts w:ascii="Times New Roman" w:hAnsi="Times New Roman" w:cs="Times New Roman"/>
                <w:b/>
                <w:color w:val="auto"/>
                <w:kern w:val="0"/>
                <w:sz w:val="28"/>
                <w:szCs w:val="28"/>
              </w:rPr>
              <w:t>编写分工</w:t>
            </w:r>
          </w:p>
        </w:tc>
        <w:tc>
          <w:tcPr>
            <w:tcW w:w="1667" w:type="dxa"/>
            <w:vAlign w:val="center"/>
          </w:tcPr>
          <w:p>
            <w:pPr>
              <w:jc w:val="center"/>
              <w:rPr>
                <w:rFonts w:ascii="Times New Roman" w:hAnsi="Times New Roman" w:cs="Times New Roman"/>
                <w:b/>
                <w:color w:val="auto"/>
                <w:kern w:val="0"/>
                <w:sz w:val="28"/>
                <w:szCs w:val="28"/>
              </w:rPr>
            </w:pPr>
            <w:r>
              <w:rPr>
                <w:rFonts w:ascii="Times New Roman" w:hAnsi="Times New Roman" w:cs="Times New Roman"/>
                <w:b/>
                <w:color w:val="auto"/>
                <w:kern w:val="0"/>
                <w:sz w:val="28"/>
                <w:szCs w:val="28"/>
              </w:rPr>
              <w:t>签名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28" w:hRule="atLeast"/>
          <w:jc w:val="center"/>
        </w:trPr>
        <w:tc>
          <w:tcPr>
            <w:tcW w:w="1668" w:type="dxa"/>
            <w:vAlign w:val="center"/>
          </w:tcPr>
          <w:p>
            <w:pPr>
              <w:jc w:val="center"/>
              <w:rPr>
                <w:rFonts w:ascii="Times New Roman" w:hAnsi="Times New Roman" w:cs="Times New Roman"/>
                <w:b/>
                <w:color w:val="auto"/>
                <w:kern w:val="0"/>
                <w:sz w:val="28"/>
                <w:szCs w:val="28"/>
              </w:rPr>
            </w:pPr>
            <w:r>
              <w:rPr>
                <w:rFonts w:ascii="Times New Roman" w:hAnsi="Times New Roman" w:cs="Times New Roman"/>
                <w:b/>
                <w:color w:val="auto"/>
                <w:kern w:val="0"/>
                <w:sz w:val="28"/>
                <w:szCs w:val="28"/>
              </w:rPr>
              <w:t>批准</w:t>
            </w:r>
          </w:p>
        </w:tc>
        <w:tc>
          <w:tcPr>
            <w:tcW w:w="1275" w:type="dxa"/>
            <w:vAlign w:val="center"/>
          </w:tcPr>
          <w:p>
            <w:pPr>
              <w:jc w:val="center"/>
              <w:rPr>
                <w:rFonts w:ascii="Times New Roman" w:hAnsi="Times New Roman" w:cs="Times New Roman"/>
                <w:color w:val="auto"/>
                <w:kern w:val="0"/>
                <w:sz w:val="28"/>
                <w:szCs w:val="28"/>
              </w:rPr>
            </w:pPr>
            <w:r>
              <w:rPr>
                <w:rFonts w:ascii="Times New Roman" w:hAnsi="Times New Roman" w:cs="Times New Roman"/>
                <w:color w:val="auto"/>
                <w:kern w:val="0"/>
                <w:sz w:val="28"/>
                <w:szCs w:val="28"/>
              </w:rPr>
              <w:t>王文玏</w:t>
            </w:r>
          </w:p>
        </w:tc>
        <w:tc>
          <w:tcPr>
            <w:tcW w:w="1701" w:type="dxa"/>
            <w:vAlign w:val="center"/>
          </w:tcPr>
          <w:p>
            <w:pPr>
              <w:jc w:val="center"/>
              <w:rPr>
                <w:rFonts w:ascii="Times New Roman" w:hAnsi="Times New Roman" w:cs="Times New Roman"/>
                <w:color w:val="auto"/>
                <w:kern w:val="0"/>
                <w:sz w:val="28"/>
                <w:szCs w:val="28"/>
              </w:rPr>
            </w:pPr>
            <w:r>
              <w:rPr>
                <w:rFonts w:ascii="Times New Roman" w:hAnsi="Times New Roman" w:cs="Times New Roman"/>
                <w:color w:val="auto"/>
                <w:kern w:val="0"/>
                <w:sz w:val="28"/>
                <w:szCs w:val="28"/>
              </w:rPr>
              <w:t>总经理</w:t>
            </w:r>
          </w:p>
        </w:tc>
        <w:tc>
          <w:tcPr>
            <w:tcW w:w="2332" w:type="dxa"/>
            <w:vAlign w:val="center"/>
          </w:tcPr>
          <w:p>
            <w:pPr>
              <w:jc w:val="center"/>
              <w:rPr>
                <w:rFonts w:ascii="Times New Roman" w:hAnsi="Times New Roman" w:cs="Times New Roman"/>
                <w:color w:val="auto"/>
                <w:kern w:val="0"/>
                <w:sz w:val="28"/>
                <w:szCs w:val="28"/>
              </w:rPr>
            </w:pPr>
          </w:p>
        </w:tc>
        <w:tc>
          <w:tcPr>
            <w:tcW w:w="1667" w:type="dxa"/>
            <w:vAlign w:val="center"/>
          </w:tcPr>
          <w:p>
            <w:pPr>
              <w:jc w:val="center"/>
              <w:rPr>
                <w:rFonts w:ascii="Times New Roman" w:hAnsi="Times New Roman" w:cs="Times New Roman"/>
                <w:color w:val="auto"/>
                <w:kern w:val="0"/>
                <w:sz w:val="28"/>
                <w:szCs w:val="28"/>
              </w:rPr>
            </w:pPr>
            <w:r>
              <w:rPr>
                <w:rFonts w:ascii="Times New Roman" w:hAnsi="Times New Roman" w:cs="Times New Roman"/>
                <w:color w:val="auto"/>
                <w:kern w:val="0"/>
                <w:sz w:val="28"/>
                <w:szCs w:val="28"/>
              </w:rPr>
              <w:drawing>
                <wp:inline distT="0" distB="0" distL="0" distR="0">
                  <wp:extent cx="824865" cy="582295"/>
                  <wp:effectExtent l="19050" t="0" r="0" b="0"/>
                  <wp:docPr id="8" name="图片 20" descr="C:\Users\Administrator\Desktop\签名\签名1-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0" descr="C:\Users\Administrator\Desktop\签名\签名1-Model.jpg"/>
                          <pic:cNvPicPr>
                            <a:picLocks noChangeAspect="1" noChangeArrowheads="1"/>
                          </pic:cNvPicPr>
                        </pic:nvPicPr>
                        <pic:blipFill>
                          <a:blip r:embed="rId48" cstate="print"/>
                          <a:srcRect/>
                          <a:stretch>
                            <a:fillRect/>
                          </a:stretch>
                        </pic:blipFill>
                        <pic:spPr>
                          <a:xfrm>
                            <a:off x="0" y="0"/>
                            <a:ext cx="825090" cy="582805"/>
                          </a:xfrm>
                          <a:prstGeom prst="rect">
                            <a:avLst/>
                          </a:prstGeom>
                          <a:noFill/>
                          <a:ln w="9525">
                            <a:noFill/>
                            <a:miter lim="800000"/>
                            <a:headEnd/>
                            <a:tailEnd/>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28" w:hRule="atLeast"/>
          <w:jc w:val="center"/>
        </w:trPr>
        <w:tc>
          <w:tcPr>
            <w:tcW w:w="1668" w:type="dxa"/>
            <w:vAlign w:val="center"/>
          </w:tcPr>
          <w:p>
            <w:pPr>
              <w:jc w:val="center"/>
              <w:rPr>
                <w:rFonts w:ascii="Times New Roman" w:hAnsi="Times New Roman" w:cs="Times New Roman"/>
                <w:b/>
                <w:color w:val="auto"/>
                <w:kern w:val="0"/>
                <w:sz w:val="28"/>
                <w:szCs w:val="28"/>
              </w:rPr>
            </w:pPr>
            <w:r>
              <w:rPr>
                <w:rFonts w:ascii="Times New Roman" w:hAnsi="Times New Roman" w:cs="Times New Roman"/>
                <w:b/>
                <w:color w:val="auto"/>
                <w:kern w:val="0"/>
                <w:sz w:val="28"/>
                <w:szCs w:val="28"/>
              </w:rPr>
              <w:t>核定</w:t>
            </w:r>
          </w:p>
        </w:tc>
        <w:tc>
          <w:tcPr>
            <w:tcW w:w="1275" w:type="dxa"/>
            <w:vAlign w:val="center"/>
          </w:tcPr>
          <w:p>
            <w:pPr>
              <w:jc w:val="center"/>
              <w:rPr>
                <w:rFonts w:ascii="Times New Roman" w:hAnsi="Times New Roman" w:cs="Times New Roman"/>
                <w:color w:val="auto"/>
                <w:kern w:val="0"/>
                <w:sz w:val="28"/>
                <w:szCs w:val="28"/>
              </w:rPr>
            </w:pPr>
            <w:r>
              <w:rPr>
                <w:rFonts w:hint="eastAsia" w:ascii="Times New Roman" w:hAnsi="Times New Roman" w:cs="Times New Roman"/>
                <w:color w:val="auto"/>
                <w:kern w:val="0"/>
                <w:sz w:val="28"/>
                <w:szCs w:val="28"/>
              </w:rPr>
              <w:t>杨文海</w:t>
            </w:r>
          </w:p>
        </w:tc>
        <w:tc>
          <w:tcPr>
            <w:tcW w:w="1701" w:type="dxa"/>
            <w:vAlign w:val="center"/>
          </w:tcPr>
          <w:p>
            <w:pPr>
              <w:jc w:val="center"/>
              <w:rPr>
                <w:rFonts w:ascii="Times New Roman" w:hAnsi="Times New Roman" w:cs="Times New Roman"/>
                <w:color w:val="auto"/>
                <w:kern w:val="0"/>
                <w:sz w:val="28"/>
                <w:szCs w:val="28"/>
              </w:rPr>
            </w:pPr>
            <w:r>
              <w:rPr>
                <w:rFonts w:hint="eastAsia" w:ascii="Times New Roman" w:hAnsi="Times New Roman" w:cs="Times New Roman"/>
                <w:color w:val="auto"/>
                <w:kern w:val="0"/>
                <w:sz w:val="28"/>
                <w:szCs w:val="28"/>
              </w:rPr>
              <w:t>工程师</w:t>
            </w:r>
          </w:p>
        </w:tc>
        <w:tc>
          <w:tcPr>
            <w:tcW w:w="2332" w:type="dxa"/>
            <w:vAlign w:val="center"/>
          </w:tcPr>
          <w:p>
            <w:pPr>
              <w:jc w:val="center"/>
              <w:rPr>
                <w:rFonts w:ascii="Times New Roman" w:hAnsi="Times New Roman" w:cs="Times New Roman"/>
                <w:color w:val="auto"/>
                <w:kern w:val="0"/>
                <w:sz w:val="28"/>
                <w:szCs w:val="28"/>
              </w:rPr>
            </w:pPr>
          </w:p>
        </w:tc>
        <w:tc>
          <w:tcPr>
            <w:tcW w:w="1667" w:type="dxa"/>
            <w:vAlign w:val="center"/>
          </w:tcPr>
          <w:p>
            <w:pPr>
              <w:jc w:val="center"/>
              <w:rPr>
                <w:rFonts w:ascii="Times New Roman" w:hAnsi="Times New Roman" w:cs="Times New Roman"/>
                <w:color w:val="auto"/>
                <w:kern w:val="0"/>
                <w:sz w:val="28"/>
                <w:szCs w:val="28"/>
              </w:rPr>
            </w:pPr>
            <w:r>
              <w:rPr>
                <w:rFonts w:hint="eastAsia" w:ascii="仿宋_GB2312" w:hAnsi="仿宋_GB2312" w:eastAsia="仿宋_GB2312" w:cs="仿宋_GB2312"/>
                <w:color w:val="auto"/>
                <w:kern w:val="0"/>
                <w:sz w:val="32"/>
                <w:szCs w:val="32"/>
              </w:rPr>
              <w:drawing>
                <wp:inline distT="0" distB="0" distL="114300" distR="114300">
                  <wp:extent cx="890270" cy="438785"/>
                  <wp:effectExtent l="0" t="0" r="11430" b="5715"/>
                  <wp:docPr id="13" name="图片 3" descr="C:\Users\Administrator\Desktop\签名\签名5-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descr="C:\Users\Administrator\Desktop\签名\签名5-Model.jpg"/>
                          <pic:cNvPicPr>
                            <a:picLocks noChangeAspect="1"/>
                          </pic:cNvPicPr>
                        </pic:nvPicPr>
                        <pic:blipFill>
                          <a:blip r:embed="rId49"/>
                          <a:stretch>
                            <a:fillRect/>
                          </a:stretch>
                        </pic:blipFill>
                        <pic:spPr>
                          <a:xfrm>
                            <a:off x="0" y="0"/>
                            <a:ext cx="890270" cy="438785"/>
                          </a:xfrm>
                          <a:prstGeom prst="rect">
                            <a:avLst/>
                          </a:prstGeom>
                          <a:noFill/>
                          <a:ln>
                            <a:noFill/>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28" w:hRule="atLeast"/>
          <w:jc w:val="center"/>
        </w:trPr>
        <w:tc>
          <w:tcPr>
            <w:tcW w:w="1668" w:type="dxa"/>
            <w:vAlign w:val="center"/>
          </w:tcPr>
          <w:p>
            <w:pPr>
              <w:jc w:val="center"/>
              <w:rPr>
                <w:rFonts w:ascii="Times New Roman" w:hAnsi="Times New Roman" w:cs="Times New Roman"/>
                <w:b/>
                <w:color w:val="auto"/>
                <w:kern w:val="0"/>
                <w:sz w:val="28"/>
                <w:szCs w:val="28"/>
              </w:rPr>
            </w:pPr>
            <w:r>
              <w:rPr>
                <w:rFonts w:ascii="Times New Roman" w:hAnsi="Times New Roman" w:cs="Times New Roman"/>
                <w:b/>
                <w:color w:val="auto"/>
                <w:kern w:val="0"/>
                <w:sz w:val="28"/>
                <w:szCs w:val="28"/>
              </w:rPr>
              <w:t>审查</w:t>
            </w:r>
          </w:p>
        </w:tc>
        <w:tc>
          <w:tcPr>
            <w:tcW w:w="1275" w:type="dxa"/>
            <w:vAlign w:val="center"/>
          </w:tcPr>
          <w:p>
            <w:pPr>
              <w:jc w:val="center"/>
              <w:rPr>
                <w:rFonts w:ascii="Times New Roman" w:hAnsi="Times New Roman" w:cs="Times New Roman"/>
                <w:color w:val="auto"/>
                <w:kern w:val="0"/>
                <w:sz w:val="28"/>
                <w:szCs w:val="28"/>
              </w:rPr>
            </w:pPr>
            <w:r>
              <w:rPr>
                <w:rFonts w:ascii="Times New Roman" w:hAnsi="Times New Roman" w:cs="Times New Roman"/>
                <w:color w:val="auto"/>
                <w:kern w:val="0"/>
                <w:sz w:val="28"/>
                <w:szCs w:val="28"/>
              </w:rPr>
              <w:t>范</w:t>
            </w:r>
            <w:r>
              <w:rPr>
                <w:rFonts w:hint="eastAsia" w:ascii="Times New Roman" w:hAnsi="Times New Roman" w:cs="Times New Roman"/>
                <w:color w:val="auto"/>
                <w:kern w:val="0"/>
                <w:sz w:val="28"/>
                <w:szCs w:val="28"/>
                <w:lang w:val="en-US" w:eastAsia="zh-CN"/>
              </w:rPr>
              <w:t xml:space="preserve"> </w:t>
            </w:r>
            <w:r>
              <w:rPr>
                <w:rFonts w:ascii="Times New Roman" w:hAnsi="Times New Roman" w:cs="Times New Roman"/>
                <w:color w:val="auto"/>
                <w:kern w:val="0"/>
                <w:sz w:val="28"/>
                <w:szCs w:val="28"/>
              </w:rPr>
              <w:t>锟</w:t>
            </w:r>
          </w:p>
        </w:tc>
        <w:tc>
          <w:tcPr>
            <w:tcW w:w="1701" w:type="dxa"/>
            <w:vAlign w:val="center"/>
          </w:tcPr>
          <w:p>
            <w:pPr>
              <w:jc w:val="center"/>
              <w:rPr>
                <w:rFonts w:ascii="Times New Roman" w:hAnsi="Times New Roman" w:cs="Times New Roman"/>
                <w:color w:val="auto"/>
                <w:kern w:val="0"/>
                <w:sz w:val="28"/>
                <w:szCs w:val="28"/>
              </w:rPr>
            </w:pPr>
            <w:r>
              <w:rPr>
                <w:rFonts w:ascii="Times New Roman" w:hAnsi="Times New Roman" w:cs="Times New Roman"/>
                <w:color w:val="auto"/>
                <w:kern w:val="0"/>
                <w:sz w:val="28"/>
                <w:szCs w:val="28"/>
              </w:rPr>
              <w:t>工程师</w:t>
            </w:r>
          </w:p>
        </w:tc>
        <w:tc>
          <w:tcPr>
            <w:tcW w:w="2332" w:type="dxa"/>
            <w:vAlign w:val="center"/>
          </w:tcPr>
          <w:p>
            <w:pPr>
              <w:jc w:val="center"/>
              <w:rPr>
                <w:rFonts w:ascii="Times New Roman" w:hAnsi="Times New Roman" w:cs="Times New Roman"/>
                <w:color w:val="auto"/>
                <w:kern w:val="0"/>
                <w:sz w:val="28"/>
                <w:szCs w:val="28"/>
              </w:rPr>
            </w:pPr>
          </w:p>
        </w:tc>
        <w:tc>
          <w:tcPr>
            <w:tcW w:w="1667" w:type="dxa"/>
            <w:vAlign w:val="center"/>
          </w:tcPr>
          <w:p>
            <w:pPr>
              <w:jc w:val="center"/>
              <w:rPr>
                <w:rFonts w:ascii="Times New Roman" w:hAnsi="Times New Roman" w:cs="Times New Roman"/>
                <w:color w:val="auto"/>
                <w:kern w:val="0"/>
                <w:sz w:val="28"/>
                <w:szCs w:val="28"/>
              </w:rPr>
            </w:pPr>
            <w:r>
              <w:rPr>
                <w:rFonts w:ascii="Times New Roman" w:hAnsi="Times New Roman" w:cs="Times New Roman"/>
                <w:color w:val="auto"/>
                <w:kern w:val="0"/>
                <w:sz w:val="28"/>
                <w:szCs w:val="28"/>
              </w:rPr>
              <w:drawing>
                <wp:inline distT="0" distB="0" distL="0" distR="0">
                  <wp:extent cx="750570" cy="530225"/>
                  <wp:effectExtent l="19050" t="0" r="0" b="0"/>
                  <wp:docPr id="14" name="图片 22" descr="C:\Users\Administrator\Desktop\签名\签名2-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2" descr="C:\Users\Administrator\Desktop\签名\签名2-Model.jpg"/>
                          <pic:cNvPicPr>
                            <a:picLocks noChangeAspect="1" noChangeArrowheads="1"/>
                          </pic:cNvPicPr>
                        </pic:nvPicPr>
                        <pic:blipFill>
                          <a:blip r:embed="rId50" cstate="print"/>
                          <a:srcRect/>
                          <a:stretch>
                            <a:fillRect/>
                          </a:stretch>
                        </pic:blipFill>
                        <pic:spPr>
                          <a:xfrm>
                            <a:off x="0" y="0"/>
                            <a:ext cx="758764" cy="535954"/>
                          </a:xfrm>
                          <a:prstGeom prst="rect">
                            <a:avLst/>
                          </a:prstGeom>
                          <a:noFill/>
                          <a:ln w="9525">
                            <a:noFill/>
                            <a:miter lim="800000"/>
                            <a:headEnd/>
                            <a:tailEnd/>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28" w:hRule="atLeast"/>
          <w:jc w:val="center"/>
        </w:trPr>
        <w:tc>
          <w:tcPr>
            <w:tcW w:w="1668" w:type="dxa"/>
            <w:vAlign w:val="center"/>
          </w:tcPr>
          <w:p>
            <w:pPr>
              <w:jc w:val="center"/>
              <w:rPr>
                <w:rFonts w:ascii="Times New Roman" w:hAnsi="Times New Roman" w:cs="Times New Roman"/>
                <w:b/>
                <w:color w:val="auto"/>
                <w:kern w:val="0"/>
                <w:sz w:val="28"/>
                <w:szCs w:val="28"/>
              </w:rPr>
            </w:pPr>
            <w:r>
              <w:rPr>
                <w:rFonts w:ascii="Times New Roman" w:hAnsi="Times New Roman" w:cs="Times New Roman"/>
                <w:b/>
                <w:color w:val="auto"/>
                <w:kern w:val="0"/>
                <w:sz w:val="28"/>
                <w:szCs w:val="28"/>
              </w:rPr>
              <w:t>校核</w:t>
            </w:r>
          </w:p>
        </w:tc>
        <w:tc>
          <w:tcPr>
            <w:tcW w:w="1275" w:type="dxa"/>
            <w:vAlign w:val="center"/>
          </w:tcPr>
          <w:p>
            <w:pPr>
              <w:jc w:val="center"/>
              <w:rPr>
                <w:rFonts w:ascii="Times New Roman" w:hAnsi="Times New Roman" w:cs="Times New Roman"/>
                <w:color w:val="auto"/>
                <w:kern w:val="0"/>
                <w:sz w:val="28"/>
                <w:szCs w:val="28"/>
              </w:rPr>
            </w:pPr>
            <w:r>
              <w:rPr>
                <w:rFonts w:ascii="Times New Roman" w:hAnsi="Times New Roman" w:cs="Times New Roman"/>
                <w:color w:val="auto"/>
                <w:kern w:val="0"/>
                <w:sz w:val="28"/>
                <w:szCs w:val="28"/>
              </w:rPr>
              <w:t>马</w:t>
            </w:r>
            <w:r>
              <w:rPr>
                <w:rFonts w:hint="eastAsia" w:ascii="Times New Roman" w:hAnsi="Times New Roman" w:cs="Times New Roman"/>
                <w:color w:val="auto"/>
                <w:kern w:val="0"/>
                <w:sz w:val="28"/>
                <w:szCs w:val="28"/>
                <w:lang w:val="en-US" w:eastAsia="zh-CN"/>
              </w:rPr>
              <w:t xml:space="preserve"> </w:t>
            </w:r>
            <w:r>
              <w:rPr>
                <w:rFonts w:ascii="Times New Roman" w:hAnsi="Times New Roman" w:cs="Times New Roman"/>
                <w:color w:val="auto"/>
                <w:kern w:val="0"/>
                <w:sz w:val="28"/>
                <w:szCs w:val="28"/>
              </w:rPr>
              <w:t>颖</w:t>
            </w:r>
          </w:p>
        </w:tc>
        <w:tc>
          <w:tcPr>
            <w:tcW w:w="1701" w:type="dxa"/>
            <w:vAlign w:val="center"/>
          </w:tcPr>
          <w:p>
            <w:pPr>
              <w:jc w:val="center"/>
              <w:rPr>
                <w:rFonts w:ascii="Times New Roman" w:hAnsi="Times New Roman" w:cs="Times New Roman"/>
                <w:color w:val="auto"/>
                <w:kern w:val="0"/>
                <w:sz w:val="28"/>
                <w:szCs w:val="28"/>
              </w:rPr>
            </w:pPr>
            <w:r>
              <w:rPr>
                <w:rFonts w:ascii="Times New Roman" w:hAnsi="Times New Roman" w:cs="Times New Roman"/>
                <w:color w:val="auto"/>
                <w:kern w:val="0"/>
                <w:sz w:val="28"/>
                <w:szCs w:val="28"/>
              </w:rPr>
              <w:t>工程师</w:t>
            </w:r>
          </w:p>
        </w:tc>
        <w:tc>
          <w:tcPr>
            <w:tcW w:w="2332" w:type="dxa"/>
            <w:vAlign w:val="center"/>
          </w:tcPr>
          <w:p>
            <w:pPr>
              <w:jc w:val="center"/>
              <w:rPr>
                <w:rFonts w:ascii="Times New Roman" w:hAnsi="Times New Roman" w:cs="Times New Roman"/>
                <w:color w:val="auto"/>
                <w:kern w:val="0"/>
                <w:sz w:val="28"/>
                <w:szCs w:val="28"/>
              </w:rPr>
            </w:pPr>
          </w:p>
        </w:tc>
        <w:tc>
          <w:tcPr>
            <w:tcW w:w="1667" w:type="dxa"/>
            <w:vAlign w:val="center"/>
          </w:tcPr>
          <w:p>
            <w:pPr>
              <w:jc w:val="center"/>
              <w:rPr>
                <w:rFonts w:ascii="Times New Roman" w:hAnsi="Times New Roman" w:cs="Times New Roman"/>
                <w:color w:val="auto"/>
                <w:kern w:val="0"/>
                <w:sz w:val="28"/>
                <w:szCs w:val="28"/>
              </w:rPr>
            </w:pPr>
            <w:r>
              <w:rPr>
                <w:rFonts w:ascii="Times New Roman" w:hAnsi="Times New Roman" w:cs="Times New Roman"/>
                <w:color w:val="auto"/>
                <w:kern w:val="0"/>
                <w:sz w:val="28"/>
                <w:szCs w:val="28"/>
              </w:rPr>
              <w:drawing>
                <wp:inline distT="0" distB="0" distL="0" distR="0">
                  <wp:extent cx="812165" cy="573405"/>
                  <wp:effectExtent l="19050" t="0" r="6927" b="0"/>
                  <wp:docPr id="25" name="图片 23" descr="C:\Users\Administrator\Desktop\签名\签名4-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3" descr="C:\Users\Administrator\Desktop\签名\签名4-Model.jpg"/>
                          <pic:cNvPicPr>
                            <a:picLocks noChangeAspect="1" noChangeArrowheads="1"/>
                          </pic:cNvPicPr>
                        </pic:nvPicPr>
                        <pic:blipFill>
                          <a:blip r:embed="rId51" cstate="print"/>
                          <a:srcRect/>
                          <a:stretch>
                            <a:fillRect/>
                          </a:stretch>
                        </pic:blipFill>
                        <pic:spPr>
                          <a:xfrm>
                            <a:off x="0" y="0"/>
                            <a:ext cx="809753" cy="571971"/>
                          </a:xfrm>
                          <a:prstGeom prst="rect">
                            <a:avLst/>
                          </a:prstGeom>
                          <a:noFill/>
                          <a:ln w="9525">
                            <a:noFill/>
                            <a:miter lim="800000"/>
                            <a:headEnd/>
                            <a:tailEnd/>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28" w:hRule="atLeast"/>
          <w:jc w:val="center"/>
        </w:trPr>
        <w:tc>
          <w:tcPr>
            <w:tcW w:w="1668" w:type="dxa"/>
            <w:vAlign w:val="center"/>
          </w:tcPr>
          <w:p>
            <w:pPr>
              <w:jc w:val="center"/>
              <w:rPr>
                <w:rFonts w:ascii="Times New Roman" w:hAnsi="Times New Roman" w:cs="Times New Roman"/>
                <w:b/>
                <w:color w:val="auto"/>
                <w:kern w:val="0"/>
                <w:sz w:val="28"/>
                <w:szCs w:val="28"/>
              </w:rPr>
            </w:pPr>
            <w:r>
              <w:rPr>
                <w:rFonts w:ascii="Times New Roman" w:hAnsi="Times New Roman" w:cs="Times New Roman"/>
                <w:b/>
                <w:color w:val="auto"/>
                <w:kern w:val="0"/>
                <w:sz w:val="28"/>
                <w:szCs w:val="28"/>
              </w:rPr>
              <w:t>项目负责人</w:t>
            </w:r>
          </w:p>
        </w:tc>
        <w:tc>
          <w:tcPr>
            <w:tcW w:w="1275" w:type="dxa"/>
            <w:vAlign w:val="center"/>
          </w:tcPr>
          <w:p>
            <w:pPr>
              <w:jc w:val="center"/>
              <w:rPr>
                <w:rFonts w:ascii="Times New Roman" w:hAnsi="Times New Roman" w:cs="Times New Roman"/>
                <w:color w:val="auto"/>
                <w:kern w:val="0"/>
                <w:sz w:val="28"/>
                <w:szCs w:val="28"/>
              </w:rPr>
            </w:pPr>
            <w:r>
              <w:rPr>
                <w:rFonts w:ascii="Times New Roman" w:hAnsi="Times New Roman" w:cs="Times New Roman"/>
                <w:color w:val="auto"/>
                <w:kern w:val="0"/>
                <w:sz w:val="28"/>
                <w:szCs w:val="28"/>
              </w:rPr>
              <w:t>王熹劭</w:t>
            </w:r>
          </w:p>
        </w:tc>
        <w:tc>
          <w:tcPr>
            <w:tcW w:w="1701" w:type="dxa"/>
            <w:vAlign w:val="center"/>
          </w:tcPr>
          <w:p>
            <w:pPr>
              <w:jc w:val="center"/>
              <w:rPr>
                <w:rFonts w:ascii="Times New Roman" w:hAnsi="Times New Roman" w:cs="Times New Roman"/>
                <w:color w:val="auto"/>
                <w:kern w:val="0"/>
                <w:sz w:val="28"/>
                <w:szCs w:val="28"/>
              </w:rPr>
            </w:pPr>
            <w:r>
              <w:rPr>
                <w:rFonts w:ascii="Times New Roman" w:hAnsi="Times New Roman" w:cs="Times New Roman"/>
                <w:color w:val="auto"/>
                <w:kern w:val="0"/>
                <w:sz w:val="28"/>
                <w:szCs w:val="28"/>
              </w:rPr>
              <w:t>助工</w:t>
            </w:r>
          </w:p>
        </w:tc>
        <w:tc>
          <w:tcPr>
            <w:tcW w:w="2332" w:type="dxa"/>
            <w:vAlign w:val="center"/>
          </w:tcPr>
          <w:p>
            <w:pPr>
              <w:jc w:val="center"/>
              <w:rPr>
                <w:rFonts w:ascii="Times New Roman" w:hAnsi="Times New Roman" w:cs="Times New Roman"/>
                <w:color w:val="auto"/>
                <w:kern w:val="0"/>
                <w:sz w:val="28"/>
                <w:szCs w:val="28"/>
              </w:rPr>
            </w:pPr>
          </w:p>
        </w:tc>
        <w:tc>
          <w:tcPr>
            <w:tcW w:w="1667" w:type="dxa"/>
            <w:vAlign w:val="center"/>
          </w:tcPr>
          <w:p>
            <w:pPr>
              <w:jc w:val="center"/>
              <w:rPr>
                <w:rFonts w:ascii="Times New Roman" w:hAnsi="Times New Roman" w:cs="Times New Roman"/>
                <w:color w:val="auto"/>
                <w:kern w:val="0"/>
                <w:sz w:val="28"/>
                <w:szCs w:val="28"/>
              </w:rPr>
            </w:pPr>
            <w:r>
              <w:rPr>
                <w:rFonts w:ascii="Times New Roman" w:hAnsi="Times New Roman" w:cs="Times New Roman"/>
                <w:color w:val="auto"/>
                <w:kern w:val="0"/>
                <w:sz w:val="28"/>
                <w:szCs w:val="28"/>
              </w:rPr>
              <w:drawing>
                <wp:inline distT="0" distB="0" distL="0" distR="0">
                  <wp:extent cx="901700" cy="403225"/>
                  <wp:effectExtent l="19050" t="0" r="0" b="0"/>
                  <wp:docPr id="15" name="图片 24" descr="C:\Users\Administrator\Desktop\签名\王熹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4" descr="C:\Users\Administrator\Desktop\签名\王熹劭.jpg"/>
                          <pic:cNvPicPr>
                            <a:picLocks noChangeAspect="1" noChangeArrowheads="1"/>
                          </pic:cNvPicPr>
                        </pic:nvPicPr>
                        <pic:blipFill>
                          <a:blip r:embed="rId52" cstate="print"/>
                          <a:srcRect/>
                          <a:stretch>
                            <a:fillRect/>
                          </a:stretch>
                        </pic:blipFill>
                        <pic:spPr>
                          <a:xfrm>
                            <a:off x="0" y="0"/>
                            <a:ext cx="918198" cy="410942"/>
                          </a:xfrm>
                          <a:prstGeom prst="rect">
                            <a:avLst/>
                          </a:prstGeom>
                          <a:noFill/>
                          <a:ln w="9525">
                            <a:noFill/>
                            <a:miter lim="800000"/>
                            <a:headEnd/>
                            <a:tailEnd/>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28" w:hRule="atLeast"/>
          <w:jc w:val="center"/>
        </w:trPr>
        <w:tc>
          <w:tcPr>
            <w:tcW w:w="1668" w:type="dxa"/>
            <w:vMerge w:val="restart"/>
            <w:vAlign w:val="center"/>
          </w:tcPr>
          <w:p>
            <w:pPr>
              <w:jc w:val="center"/>
              <w:rPr>
                <w:rFonts w:ascii="Times New Roman" w:hAnsi="Times New Roman" w:cs="Times New Roman"/>
                <w:b/>
                <w:color w:val="auto"/>
                <w:kern w:val="0"/>
                <w:sz w:val="28"/>
                <w:szCs w:val="28"/>
              </w:rPr>
            </w:pPr>
            <w:r>
              <w:rPr>
                <w:rFonts w:ascii="Times New Roman" w:hAnsi="Times New Roman" w:cs="Times New Roman"/>
                <w:b/>
                <w:color w:val="auto"/>
                <w:kern w:val="0"/>
                <w:sz w:val="28"/>
                <w:szCs w:val="28"/>
              </w:rPr>
              <w:t>编写</w:t>
            </w:r>
          </w:p>
        </w:tc>
        <w:tc>
          <w:tcPr>
            <w:tcW w:w="1275" w:type="dxa"/>
            <w:vAlign w:val="center"/>
          </w:tcPr>
          <w:p>
            <w:pPr>
              <w:jc w:val="center"/>
              <w:rPr>
                <w:rFonts w:ascii="Times New Roman" w:hAnsi="Times New Roman" w:cs="Times New Roman"/>
                <w:color w:val="auto"/>
                <w:kern w:val="0"/>
                <w:sz w:val="28"/>
                <w:szCs w:val="28"/>
              </w:rPr>
            </w:pPr>
            <w:r>
              <w:rPr>
                <w:rFonts w:ascii="Times New Roman" w:hAnsi="Times New Roman" w:cs="Times New Roman"/>
                <w:color w:val="auto"/>
                <w:kern w:val="0"/>
                <w:sz w:val="28"/>
                <w:szCs w:val="28"/>
              </w:rPr>
              <w:t>王熹劭</w:t>
            </w:r>
          </w:p>
        </w:tc>
        <w:tc>
          <w:tcPr>
            <w:tcW w:w="1701" w:type="dxa"/>
            <w:vAlign w:val="center"/>
          </w:tcPr>
          <w:p>
            <w:pPr>
              <w:jc w:val="center"/>
              <w:rPr>
                <w:rFonts w:ascii="Times New Roman" w:hAnsi="Times New Roman" w:cs="Times New Roman"/>
                <w:color w:val="auto"/>
                <w:kern w:val="0"/>
                <w:sz w:val="28"/>
                <w:szCs w:val="28"/>
              </w:rPr>
            </w:pPr>
            <w:r>
              <w:rPr>
                <w:rFonts w:ascii="Times New Roman" w:hAnsi="Times New Roman" w:cs="Times New Roman"/>
                <w:color w:val="auto"/>
                <w:kern w:val="0"/>
                <w:sz w:val="28"/>
                <w:szCs w:val="28"/>
              </w:rPr>
              <w:t>助工</w:t>
            </w:r>
          </w:p>
        </w:tc>
        <w:tc>
          <w:tcPr>
            <w:tcW w:w="2332" w:type="dxa"/>
            <w:vAlign w:val="center"/>
          </w:tcPr>
          <w:p>
            <w:pPr>
              <w:jc w:val="center"/>
              <w:rPr>
                <w:rFonts w:ascii="Times New Roman" w:hAnsi="Times New Roman" w:cs="Times New Roman"/>
                <w:color w:val="auto"/>
                <w:kern w:val="0"/>
                <w:sz w:val="28"/>
                <w:szCs w:val="28"/>
              </w:rPr>
            </w:pPr>
            <w:r>
              <w:rPr>
                <w:rFonts w:ascii="Times New Roman" w:hAnsi="Times New Roman" w:cs="Times New Roman"/>
                <w:color w:val="auto"/>
                <w:kern w:val="0"/>
                <w:sz w:val="28"/>
                <w:szCs w:val="28"/>
              </w:rPr>
              <w:t>第</w:t>
            </w:r>
            <w:r>
              <w:rPr>
                <w:rFonts w:hint="eastAsia" w:ascii="Times New Roman" w:hAnsi="Times New Roman" w:cs="Times New Roman"/>
                <w:color w:val="auto"/>
                <w:kern w:val="0"/>
                <w:sz w:val="28"/>
                <w:szCs w:val="28"/>
              </w:rPr>
              <w:t>1、2</w:t>
            </w:r>
            <w:r>
              <w:rPr>
                <w:rFonts w:ascii="Times New Roman" w:hAnsi="Times New Roman" w:cs="Times New Roman"/>
                <w:color w:val="auto"/>
                <w:kern w:val="0"/>
                <w:sz w:val="28"/>
                <w:szCs w:val="28"/>
              </w:rPr>
              <w:t>章及附图</w:t>
            </w:r>
            <w:r>
              <w:rPr>
                <w:rFonts w:hint="eastAsia" w:ascii="Times New Roman" w:hAnsi="Times New Roman" w:cs="Times New Roman"/>
                <w:color w:val="auto"/>
                <w:kern w:val="0"/>
                <w:sz w:val="28"/>
                <w:szCs w:val="28"/>
              </w:rPr>
              <w:t>附件</w:t>
            </w:r>
          </w:p>
        </w:tc>
        <w:tc>
          <w:tcPr>
            <w:tcW w:w="1667" w:type="dxa"/>
            <w:vAlign w:val="center"/>
          </w:tcPr>
          <w:p>
            <w:pPr>
              <w:jc w:val="center"/>
              <w:rPr>
                <w:rFonts w:ascii="Times New Roman" w:hAnsi="Times New Roman" w:cs="Times New Roman"/>
                <w:color w:val="auto"/>
                <w:kern w:val="0"/>
                <w:sz w:val="28"/>
                <w:szCs w:val="28"/>
              </w:rPr>
            </w:pPr>
            <w:r>
              <w:rPr>
                <w:rFonts w:ascii="Times New Roman" w:hAnsi="Times New Roman" w:cs="Times New Roman"/>
                <w:color w:val="auto"/>
                <w:kern w:val="0"/>
                <w:sz w:val="28"/>
                <w:szCs w:val="28"/>
              </w:rPr>
              <w:drawing>
                <wp:inline distT="0" distB="0" distL="0" distR="0">
                  <wp:extent cx="901700" cy="403225"/>
                  <wp:effectExtent l="19050" t="0" r="0" b="0"/>
                  <wp:docPr id="16" name="图片 24" descr="C:\Users\Administrator\Desktop\签名\王熹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4" descr="C:\Users\Administrator\Desktop\签名\王熹劭.jpg"/>
                          <pic:cNvPicPr>
                            <a:picLocks noChangeAspect="1" noChangeArrowheads="1"/>
                          </pic:cNvPicPr>
                        </pic:nvPicPr>
                        <pic:blipFill>
                          <a:blip r:embed="rId52" cstate="print"/>
                          <a:srcRect/>
                          <a:stretch>
                            <a:fillRect/>
                          </a:stretch>
                        </pic:blipFill>
                        <pic:spPr>
                          <a:xfrm>
                            <a:off x="0" y="0"/>
                            <a:ext cx="918198" cy="410942"/>
                          </a:xfrm>
                          <a:prstGeom prst="rect">
                            <a:avLst/>
                          </a:prstGeom>
                          <a:noFill/>
                          <a:ln w="9525">
                            <a:noFill/>
                            <a:miter lim="800000"/>
                            <a:headEnd/>
                            <a:tailEnd/>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28" w:hRule="atLeast"/>
          <w:jc w:val="center"/>
        </w:trPr>
        <w:tc>
          <w:tcPr>
            <w:tcW w:w="1668" w:type="dxa"/>
            <w:vMerge w:val="continue"/>
            <w:vAlign w:val="center"/>
          </w:tcPr>
          <w:p>
            <w:pPr>
              <w:jc w:val="center"/>
              <w:rPr>
                <w:rFonts w:ascii="Times New Roman" w:hAnsi="Times New Roman" w:cs="Times New Roman"/>
                <w:color w:val="auto"/>
                <w:kern w:val="0"/>
                <w:sz w:val="28"/>
                <w:szCs w:val="28"/>
              </w:rPr>
            </w:pPr>
          </w:p>
        </w:tc>
        <w:tc>
          <w:tcPr>
            <w:tcW w:w="1275" w:type="dxa"/>
            <w:vAlign w:val="center"/>
          </w:tcPr>
          <w:p>
            <w:pPr>
              <w:jc w:val="center"/>
              <w:rPr>
                <w:rFonts w:ascii="Times New Roman" w:hAnsi="Times New Roman" w:cs="Times New Roman"/>
                <w:color w:val="auto"/>
                <w:kern w:val="0"/>
                <w:sz w:val="28"/>
                <w:szCs w:val="28"/>
              </w:rPr>
            </w:pPr>
            <w:r>
              <w:rPr>
                <w:rFonts w:hint="eastAsia" w:ascii="Times New Roman" w:hAnsi="Times New Roman" w:cs="Times New Roman"/>
                <w:color w:val="auto"/>
                <w:kern w:val="0"/>
                <w:sz w:val="28"/>
                <w:szCs w:val="28"/>
              </w:rPr>
              <w:t>肖 涛</w:t>
            </w:r>
          </w:p>
        </w:tc>
        <w:tc>
          <w:tcPr>
            <w:tcW w:w="1701" w:type="dxa"/>
            <w:vAlign w:val="center"/>
          </w:tcPr>
          <w:p>
            <w:pPr>
              <w:jc w:val="center"/>
              <w:rPr>
                <w:rFonts w:ascii="Times New Roman" w:hAnsi="Times New Roman" w:cs="Times New Roman"/>
                <w:color w:val="auto"/>
                <w:kern w:val="0"/>
                <w:sz w:val="28"/>
                <w:szCs w:val="28"/>
              </w:rPr>
            </w:pPr>
            <w:r>
              <w:rPr>
                <w:rFonts w:ascii="Times New Roman" w:hAnsi="Times New Roman" w:cs="Times New Roman"/>
                <w:color w:val="auto"/>
                <w:kern w:val="0"/>
                <w:sz w:val="28"/>
                <w:szCs w:val="28"/>
              </w:rPr>
              <w:t>助工</w:t>
            </w:r>
          </w:p>
        </w:tc>
        <w:tc>
          <w:tcPr>
            <w:tcW w:w="2332" w:type="dxa"/>
            <w:vAlign w:val="center"/>
          </w:tcPr>
          <w:p>
            <w:pPr>
              <w:jc w:val="center"/>
              <w:rPr>
                <w:rFonts w:ascii="Times New Roman" w:hAnsi="Times New Roman" w:cs="Times New Roman"/>
                <w:color w:val="auto"/>
                <w:kern w:val="0"/>
                <w:sz w:val="28"/>
                <w:szCs w:val="28"/>
              </w:rPr>
            </w:pPr>
            <w:r>
              <w:rPr>
                <w:rFonts w:ascii="Times New Roman" w:hAnsi="Times New Roman" w:cs="Times New Roman"/>
                <w:color w:val="auto"/>
                <w:kern w:val="0"/>
                <w:sz w:val="28"/>
                <w:szCs w:val="28"/>
              </w:rPr>
              <w:t>第</w:t>
            </w:r>
            <w:r>
              <w:rPr>
                <w:rFonts w:hint="eastAsia" w:ascii="Times New Roman" w:hAnsi="Times New Roman" w:cs="Times New Roman"/>
                <w:color w:val="auto"/>
                <w:kern w:val="0"/>
                <w:sz w:val="28"/>
                <w:szCs w:val="28"/>
              </w:rPr>
              <w:t>4、6、7、8</w:t>
            </w:r>
            <w:r>
              <w:rPr>
                <w:rFonts w:ascii="Times New Roman" w:hAnsi="Times New Roman" w:cs="Times New Roman"/>
                <w:color w:val="auto"/>
                <w:kern w:val="0"/>
                <w:sz w:val="28"/>
                <w:szCs w:val="28"/>
              </w:rPr>
              <w:t>章</w:t>
            </w:r>
            <w:r>
              <w:rPr>
                <w:rFonts w:hint="eastAsia" w:ascii="Times New Roman" w:hAnsi="Times New Roman" w:cs="Times New Roman"/>
                <w:color w:val="auto"/>
                <w:kern w:val="0"/>
                <w:sz w:val="28"/>
                <w:szCs w:val="28"/>
              </w:rPr>
              <w:t>及附表附图</w:t>
            </w:r>
          </w:p>
        </w:tc>
        <w:tc>
          <w:tcPr>
            <w:tcW w:w="1667" w:type="dxa"/>
            <w:vAlign w:val="center"/>
          </w:tcPr>
          <w:p>
            <w:pPr>
              <w:jc w:val="center"/>
              <w:rPr>
                <w:rFonts w:ascii="Times New Roman" w:hAnsi="Times New Roman" w:cs="Times New Roman"/>
                <w:color w:val="auto"/>
                <w:kern w:val="0"/>
                <w:sz w:val="28"/>
                <w:szCs w:val="28"/>
              </w:rPr>
            </w:pPr>
            <w:r>
              <w:rPr>
                <w:rFonts w:ascii="Times New Roman" w:hAnsi="Times New Roman" w:cs="Times New Roman"/>
                <w:color w:val="auto"/>
                <w:szCs w:val="24"/>
              </w:rPr>
              <w:drawing>
                <wp:inline distT="0" distB="0" distL="0" distR="0">
                  <wp:extent cx="765175" cy="534035"/>
                  <wp:effectExtent l="19050" t="0" r="0" b="0"/>
                  <wp:docPr id="20" name="图片 10" descr="C:\Users\Administrator\AppData\Local\Microsoft\Windows\INetCache\Content.Word\肖涛.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descr="C:\Users\Administrator\AppData\Local\Microsoft\Windows\INetCache\Content.Word\肖涛.png"/>
                          <pic:cNvPicPr>
                            <a:picLocks noChangeAspect="1" noChangeArrowheads="1"/>
                          </pic:cNvPicPr>
                        </pic:nvPicPr>
                        <pic:blipFill>
                          <a:blip r:embed="rId53"/>
                          <a:srcRect/>
                          <a:stretch>
                            <a:fillRect/>
                          </a:stretch>
                        </pic:blipFill>
                        <pic:spPr>
                          <a:xfrm>
                            <a:off x="0" y="0"/>
                            <a:ext cx="765290" cy="534390"/>
                          </a:xfrm>
                          <a:prstGeom prst="rect">
                            <a:avLst/>
                          </a:prstGeom>
                          <a:noFill/>
                          <a:ln w="9525">
                            <a:noFill/>
                            <a:miter lim="800000"/>
                            <a:headEnd/>
                            <a:tailEnd/>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28" w:hRule="atLeast"/>
          <w:jc w:val="center"/>
        </w:trPr>
        <w:tc>
          <w:tcPr>
            <w:tcW w:w="1668" w:type="dxa"/>
            <w:vMerge w:val="continue"/>
            <w:vAlign w:val="center"/>
          </w:tcPr>
          <w:p>
            <w:pPr>
              <w:ind w:firstLine="560"/>
              <w:jc w:val="center"/>
              <w:rPr>
                <w:rFonts w:ascii="Times New Roman" w:hAnsi="Times New Roman" w:cs="Times New Roman"/>
                <w:color w:val="auto"/>
                <w:kern w:val="0"/>
                <w:sz w:val="28"/>
                <w:szCs w:val="28"/>
              </w:rPr>
            </w:pPr>
          </w:p>
        </w:tc>
        <w:tc>
          <w:tcPr>
            <w:tcW w:w="1275" w:type="dxa"/>
            <w:vAlign w:val="center"/>
          </w:tcPr>
          <w:p>
            <w:pPr>
              <w:jc w:val="center"/>
              <w:rPr>
                <w:rFonts w:ascii="Times New Roman" w:hAnsi="Times New Roman" w:cs="Times New Roman"/>
                <w:color w:val="auto"/>
                <w:kern w:val="0"/>
                <w:sz w:val="28"/>
                <w:szCs w:val="28"/>
              </w:rPr>
            </w:pPr>
            <w:r>
              <w:rPr>
                <w:rFonts w:hint="eastAsia" w:ascii="Times New Roman" w:hAnsi="Times New Roman" w:cs="Times New Roman"/>
                <w:color w:val="auto"/>
                <w:kern w:val="0"/>
                <w:sz w:val="28"/>
                <w:szCs w:val="28"/>
              </w:rPr>
              <w:t>陈学文</w:t>
            </w:r>
          </w:p>
        </w:tc>
        <w:tc>
          <w:tcPr>
            <w:tcW w:w="1701" w:type="dxa"/>
            <w:vAlign w:val="center"/>
          </w:tcPr>
          <w:p>
            <w:pPr>
              <w:jc w:val="center"/>
              <w:rPr>
                <w:rFonts w:ascii="Times New Roman" w:hAnsi="Times New Roman" w:cs="Times New Roman"/>
                <w:color w:val="auto"/>
                <w:kern w:val="0"/>
                <w:sz w:val="28"/>
                <w:szCs w:val="28"/>
              </w:rPr>
            </w:pPr>
            <w:r>
              <w:rPr>
                <w:rFonts w:hint="eastAsia" w:ascii="Times New Roman" w:hAnsi="Times New Roman" w:cs="Times New Roman"/>
                <w:color w:val="auto"/>
                <w:kern w:val="0"/>
                <w:sz w:val="28"/>
                <w:szCs w:val="28"/>
              </w:rPr>
              <w:t>助工</w:t>
            </w:r>
          </w:p>
        </w:tc>
        <w:tc>
          <w:tcPr>
            <w:tcW w:w="2332" w:type="dxa"/>
            <w:vAlign w:val="center"/>
          </w:tcPr>
          <w:p>
            <w:pPr>
              <w:jc w:val="center"/>
              <w:rPr>
                <w:rFonts w:ascii="Times New Roman" w:hAnsi="Times New Roman" w:cs="Times New Roman"/>
                <w:color w:val="auto"/>
                <w:kern w:val="0"/>
                <w:sz w:val="28"/>
                <w:szCs w:val="28"/>
              </w:rPr>
            </w:pPr>
            <w:r>
              <w:rPr>
                <w:rFonts w:hint="eastAsia" w:ascii="Times New Roman" w:hAnsi="Times New Roman" w:cs="Times New Roman"/>
                <w:color w:val="auto"/>
                <w:kern w:val="0"/>
                <w:sz w:val="28"/>
                <w:szCs w:val="28"/>
              </w:rPr>
              <w:t>第3、5章及附图</w:t>
            </w:r>
          </w:p>
        </w:tc>
        <w:tc>
          <w:tcPr>
            <w:tcW w:w="1667" w:type="dxa"/>
            <w:vAlign w:val="center"/>
          </w:tcPr>
          <w:p>
            <w:pPr>
              <w:jc w:val="center"/>
              <w:rPr>
                <w:rFonts w:ascii="Times New Roman" w:hAnsi="Times New Roman" w:cs="Times New Roman"/>
                <w:color w:val="auto"/>
                <w:kern w:val="0"/>
                <w:sz w:val="28"/>
                <w:szCs w:val="28"/>
              </w:rPr>
            </w:pPr>
            <w:r>
              <w:rPr>
                <w:rFonts w:ascii="Times New Roman" w:hAnsi="Times New Roman" w:cs="Times New Roman"/>
                <w:color w:val="auto"/>
                <w:kern w:val="0"/>
                <w:sz w:val="28"/>
                <w:szCs w:val="28"/>
              </w:rPr>
              <w:drawing>
                <wp:inline distT="0" distB="0" distL="0" distR="0">
                  <wp:extent cx="898525" cy="395605"/>
                  <wp:effectExtent l="19050" t="0" r="0" b="0"/>
                  <wp:docPr id="21" name="图片 29" descr="C:\Users\Administrator\AppData\Local\Microsoft\Windows\INetCache\Content.Word\陈学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9" descr="C:\Users\Administrator\AppData\Local\Microsoft\Windows\INetCache\Content.Word\陈学文.png"/>
                          <pic:cNvPicPr>
                            <a:picLocks noChangeAspect="1" noChangeArrowheads="1"/>
                          </pic:cNvPicPr>
                        </pic:nvPicPr>
                        <pic:blipFill>
                          <a:blip r:embed="rId54" cstate="print"/>
                          <a:srcRect/>
                          <a:stretch>
                            <a:fillRect/>
                          </a:stretch>
                        </pic:blipFill>
                        <pic:spPr>
                          <a:xfrm>
                            <a:off x="0" y="0"/>
                            <a:ext cx="898606" cy="395785"/>
                          </a:xfrm>
                          <a:prstGeom prst="rect">
                            <a:avLst/>
                          </a:prstGeom>
                          <a:noFill/>
                          <a:ln w="9525">
                            <a:noFill/>
                            <a:miter lim="800000"/>
                            <a:headEnd/>
                            <a:tailEnd/>
                          </a:ln>
                        </pic:spPr>
                      </pic:pic>
                    </a:graphicData>
                  </a:graphic>
                </wp:inline>
              </w:drawing>
            </w:r>
          </w:p>
        </w:tc>
      </w:tr>
    </w:tbl>
    <w:p>
      <w:pPr>
        <w:spacing w:line="360" w:lineRule="auto"/>
        <w:ind w:left="1234" w:leftChars="514" w:firstLine="720" w:firstLineChars="300"/>
        <w:rPr>
          <w:rFonts w:ascii="Times New Roman" w:hAnsi="Times New Roman" w:cs="Times New Roman"/>
          <w:color w:val="auto"/>
          <w:szCs w:val="24"/>
        </w:rPr>
      </w:pPr>
    </w:p>
    <w:p>
      <w:pPr>
        <w:spacing w:line="360" w:lineRule="auto"/>
        <w:ind w:left="1234" w:leftChars="514" w:firstLine="720" w:firstLineChars="300"/>
        <w:rPr>
          <w:rFonts w:ascii="Times New Roman" w:hAnsi="Times New Roman" w:cs="Times New Roman"/>
          <w:color w:val="auto"/>
          <w:szCs w:val="24"/>
        </w:rPr>
      </w:pPr>
    </w:p>
    <w:p>
      <w:pPr>
        <w:spacing w:line="360" w:lineRule="auto"/>
        <w:ind w:left="1234" w:leftChars="514" w:firstLine="720" w:firstLineChars="300"/>
        <w:rPr>
          <w:rFonts w:ascii="Times New Roman" w:hAnsi="Times New Roman" w:cs="Times New Roman"/>
          <w:color w:val="auto"/>
          <w:szCs w:val="24"/>
        </w:rPr>
      </w:pPr>
    </w:p>
    <w:p>
      <w:pPr>
        <w:spacing w:line="360" w:lineRule="auto"/>
        <w:ind w:left="1234" w:leftChars="514" w:firstLine="720" w:firstLineChars="300"/>
        <w:rPr>
          <w:rFonts w:ascii="Times New Roman" w:hAnsi="Times New Roman" w:cs="Times New Roman"/>
          <w:color w:val="auto"/>
          <w:szCs w:val="24"/>
        </w:rPr>
      </w:pPr>
    </w:p>
    <w:p>
      <w:pPr>
        <w:spacing w:line="360" w:lineRule="auto"/>
        <w:ind w:left="1234" w:leftChars="514" w:firstLine="720" w:firstLineChars="300"/>
        <w:rPr>
          <w:rFonts w:ascii="Times New Roman" w:hAnsi="Times New Roman" w:cs="Times New Roman"/>
          <w:color w:val="auto"/>
          <w:szCs w:val="24"/>
        </w:rPr>
      </w:pPr>
    </w:p>
    <w:p>
      <w:pPr>
        <w:spacing w:line="360" w:lineRule="auto"/>
        <w:ind w:left="1234" w:leftChars="514" w:firstLine="720" w:firstLineChars="300"/>
        <w:rPr>
          <w:rFonts w:ascii="Times New Roman" w:hAnsi="Times New Roman" w:cs="Times New Roman"/>
          <w:color w:val="auto"/>
          <w:szCs w:val="24"/>
        </w:rPr>
        <w:sectPr>
          <w:headerReference r:id="rId7" w:type="default"/>
          <w:pgSz w:w="11906" w:h="16838"/>
          <w:pgMar w:top="1440" w:right="1803" w:bottom="1440" w:left="1803" w:header="851" w:footer="992" w:gutter="0"/>
          <w:pgBorders>
            <w:top w:val="none" w:sz="0" w:space="0"/>
            <w:left w:val="none" w:sz="0" w:space="0"/>
            <w:bottom w:val="none" w:sz="0" w:space="0"/>
            <w:right w:val="none" w:sz="0" w:space="0"/>
          </w:pgBorders>
          <w:pgNumType w:start="1"/>
          <w:cols w:space="720" w:num="1"/>
          <w:docGrid w:type="lines" w:linePitch="332" w:charSpace="0"/>
        </w:sectPr>
      </w:pPr>
    </w:p>
    <w:p>
      <w:pPr>
        <w:pStyle w:val="26"/>
        <w:tabs>
          <w:tab w:val="right" w:leader="dot" w:pos="9736"/>
        </w:tabs>
        <w:jc w:val="center"/>
        <w:rPr>
          <w:rFonts w:ascii="仿宋_GB2312" w:hAnsi="仿宋_GB2312" w:eastAsia="仿宋_GB2312" w:cs="仿宋_GB2312"/>
          <w:b/>
          <w:color w:val="auto"/>
          <w:sz w:val="28"/>
          <w:szCs w:val="28"/>
        </w:rPr>
      </w:pPr>
      <w:r>
        <w:rPr>
          <w:rFonts w:hint="eastAsia" w:ascii="仿宋_GB2312" w:hAnsi="仿宋_GB2312" w:eastAsia="仿宋_GB2312" w:cs="仿宋_GB2312"/>
          <w:b/>
          <w:color w:val="auto"/>
          <w:sz w:val="28"/>
          <w:szCs w:val="28"/>
        </w:rPr>
        <w:t>目  录</w:t>
      </w:r>
    </w:p>
    <w:p>
      <w:pPr>
        <w:pStyle w:val="26"/>
        <w:tabs>
          <w:tab w:val="right" w:leader="dot" w:pos="8300"/>
        </w:tabs>
        <w:spacing w:line="360" w:lineRule="auto"/>
        <w:rPr>
          <w:rFonts w:cs="Times New Roman"/>
          <w:color w:val="auto"/>
        </w:rPr>
      </w:pPr>
      <w:r>
        <w:rPr>
          <w:rFonts w:eastAsia="仿宋_GB2312" w:cs="Times New Roman"/>
          <w:color w:val="auto"/>
          <w:sz w:val="24"/>
          <w:szCs w:val="28"/>
        </w:rPr>
        <w:fldChar w:fldCharType="begin"/>
      </w:r>
      <w:r>
        <w:rPr>
          <w:rFonts w:eastAsia="仿宋_GB2312" w:cs="Times New Roman"/>
          <w:color w:val="auto"/>
          <w:sz w:val="24"/>
          <w:szCs w:val="28"/>
        </w:rPr>
        <w:instrText xml:space="preserve"> TOC \o "1-2" \u </w:instrText>
      </w:r>
      <w:r>
        <w:rPr>
          <w:rFonts w:eastAsia="仿宋_GB2312" w:cs="Times New Roman"/>
          <w:color w:val="auto"/>
          <w:sz w:val="24"/>
          <w:szCs w:val="28"/>
        </w:rPr>
        <w:fldChar w:fldCharType="separate"/>
      </w:r>
      <w:r>
        <w:rPr>
          <w:rFonts w:eastAsia="仿宋_GB2312" w:cs="Times New Roman"/>
          <w:bCs/>
          <w:color w:val="auto"/>
        </w:rPr>
        <w:t xml:space="preserve">1 </w:t>
      </w:r>
      <w:r>
        <w:rPr>
          <w:rFonts w:eastAsia="仿宋_GB2312" w:cs="Times New Roman"/>
          <w:color w:val="auto"/>
          <w:szCs w:val="36"/>
        </w:rPr>
        <w:t>综合说明</w:t>
      </w:r>
      <w:r>
        <w:rPr>
          <w:rFonts w:cs="Times New Roman"/>
          <w:color w:val="auto"/>
        </w:rPr>
        <w:tab/>
      </w:r>
      <w:r>
        <w:rPr>
          <w:rFonts w:cs="Times New Roman"/>
          <w:color w:val="auto"/>
        </w:rPr>
        <w:fldChar w:fldCharType="begin"/>
      </w:r>
      <w:r>
        <w:rPr>
          <w:rFonts w:cs="Times New Roman"/>
          <w:color w:val="auto"/>
        </w:rPr>
        <w:instrText xml:space="preserve"> PAGEREF _Toc25219 \h </w:instrText>
      </w:r>
      <w:r>
        <w:rPr>
          <w:rFonts w:cs="Times New Roman"/>
          <w:color w:val="auto"/>
        </w:rPr>
        <w:fldChar w:fldCharType="separate"/>
      </w:r>
      <w:r>
        <w:rPr>
          <w:rFonts w:cs="Times New Roman"/>
          <w:color w:val="auto"/>
        </w:rPr>
        <w:t>1</w:t>
      </w:r>
      <w:r>
        <w:rPr>
          <w:rFonts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rPr>
        <w:t>1.1区域简况</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_Toc22057 \h </w:instrText>
      </w:r>
      <w:r>
        <w:rPr>
          <w:rFonts w:ascii="Times New Roman" w:hAnsi="Times New Roman" w:cs="Times New Roman"/>
          <w:color w:val="auto"/>
        </w:rPr>
        <w:fldChar w:fldCharType="separate"/>
      </w:r>
      <w:r>
        <w:rPr>
          <w:rFonts w:ascii="Times New Roman" w:hAnsi="Times New Roman" w:cs="Times New Roman"/>
          <w:color w:val="auto"/>
        </w:rPr>
        <w:t>1</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rPr>
        <w:t>1.2编制依据</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_Toc26098 \h </w:instrText>
      </w:r>
      <w:r>
        <w:rPr>
          <w:rFonts w:ascii="Times New Roman" w:hAnsi="Times New Roman" w:cs="Times New Roman"/>
          <w:color w:val="auto"/>
        </w:rPr>
        <w:fldChar w:fldCharType="separate"/>
      </w:r>
      <w:r>
        <w:rPr>
          <w:rFonts w:ascii="Times New Roman" w:hAnsi="Times New Roman" w:cs="Times New Roman"/>
          <w:color w:val="auto"/>
        </w:rPr>
        <w:t>4</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cs="Times New Roman"/>
          <w:color w:val="auto"/>
        </w:rPr>
        <w:t>1.3</w:t>
      </w:r>
      <w:r>
        <w:rPr>
          <w:rFonts w:ascii="Times New Roman" w:hAnsi="Times New Roman" w:eastAsia="仿宋_GB2312" w:cs="Times New Roman"/>
          <w:color w:val="auto"/>
        </w:rPr>
        <w:t>设计水平年</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_Toc22169 \h </w:instrText>
      </w:r>
      <w:r>
        <w:rPr>
          <w:rFonts w:ascii="Times New Roman" w:hAnsi="Times New Roman" w:cs="Times New Roman"/>
          <w:color w:val="auto"/>
        </w:rPr>
        <w:fldChar w:fldCharType="separate"/>
      </w:r>
      <w:r>
        <w:rPr>
          <w:rFonts w:ascii="Times New Roman" w:hAnsi="Times New Roman" w:cs="Times New Roman"/>
          <w:color w:val="auto"/>
        </w:rPr>
        <w:t>7</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cs="Times New Roman"/>
          <w:color w:val="auto"/>
        </w:rPr>
        <w:t>1.4</w:t>
      </w:r>
      <w:r>
        <w:rPr>
          <w:rFonts w:ascii="Times New Roman" w:hAnsi="Times New Roman" w:eastAsia="仿宋_GB2312" w:cs="Times New Roman"/>
          <w:color w:val="auto"/>
        </w:rPr>
        <w:t>水土流失防治责任范围</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_Toc17423 \h </w:instrText>
      </w:r>
      <w:r>
        <w:rPr>
          <w:rFonts w:ascii="Times New Roman" w:hAnsi="Times New Roman" w:cs="Times New Roman"/>
          <w:color w:val="auto"/>
        </w:rPr>
        <w:fldChar w:fldCharType="separate"/>
      </w:r>
      <w:r>
        <w:rPr>
          <w:rFonts w:ascii="Times New Roman" w:hAnsi="Times New Roman" w:cs="Times New Roman"/>
          <w:color w:val="auto"/>
        </w:rPr>
        <w:t>7</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cs="Times New Roman"/>
          <w:color w:val="auto"/>
        </w:rPr>
        <w:t>1.5</w:t>
      </w:r>
      <w:r>
        <w:rPr>
          <w:rFonts w:ascii="Times New Roman" w:hAnsi="Times New Roman" w:eastAsia="仿宋_GB2312" w:cs="Times New Roman"/>
          <w:color w:val="auto"/>
        </w:rPr>
        <w:t>水土流失防治目标</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_Toc7960 \h </w:instrText>
      </w:r>
      <w:r>
        <w:rPr>
          <w:rFonts w:ascii="Times New Roman" w:hAnsi="Times New Roman" w:cs="Times New Roman"/>
          <w:color w:val="auto"/>
        </w:rPr>
        <w:fldChar w:fldCharType="separate"/>
      </w:r>
      <w:r>
        <w:rPr>
          <w:rFonts w:ascii="Times New Roman" w:hAnsi="Times New Roman" w:cs="Times New Roman"/>
          <w:color w:val="auto"/>
        </w:rPr>
        <w:t>7</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cs="Times New Roman"/>
          <w:color w:val="auto"/>
        </w:rPr>
        <w:t>1.6</w:t>
      </w:r>
      <w:r>
        <w:rPr>
          <w:rFonts w:ascii="Times New Roman" w:hAnsi="Times New Roman" w:eastAsia="仿宋_GB2312" w:cs="Times New Roman"/>
          <w:color w:val="auto"/>
        </w:rPr>
        <w:t>区域水土保持评价结论</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_Toc16046 \h </w:instrText>
      </w:r>
      <w:r>
        <w:rPr>
          <w:rFonts w:ascii="Times New Roman" w:hAnsi="Times New Roman" w:cs="Times New Roman"/>
          <w:color w:val="auto"/>
        </w:rPr>
        <w:fldChar w:fldCharType="separate"/>
      </w:r>
      <w:r>
        <w:rPr>
          <w:rFonts w:ascii="Times New Roman" w:hAnsi="Times New Roman" w:cs="Times New Roman"/>
          <w:color w:val="auto"/>
        </w:rPr>
        <w:t>8</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rPr>
        <w:t>1.7水土流失预测结果</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_Toc15624 \h </w:instrText>
      </w:r>
      <w:r>
        <w:rPr>
          <w:rFonts w:ascii="Times New Roman" w:hAnsi="Times New Roman" w:cs="Times New Roman"/>
          <w:color w:val="auto"/>
        </w:rPr>
        <w:fldChar w:fldCharType="separate"/>
      </w:r>
      <w:r>
        <w:rPr>
          <w:rFonts w:ascii="Times New Roman" w:hAnsi="Times New Roman" w:cs="Times New Roman"/>
          <w:color w:val="auto"/>
        </w:rPr>
        <w:t>11</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rPr>
        <w:t>1.8水土保持措施布设成果</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_Toc7453 \h </w:instrText>
      </w:r>
      <w:r>
        <w:rPr>
          <w:rFonts w:ascii="Times New Roman" w:hAnsi="Times New Roman" w:cs="Times New Roman"/>
          <w:color w:val="auto"/>
        </w:rPr>
        <w:fldChar w:fldCharType="separate"/>
      </w:r>
      <w:r>
        <w:rPr>
          <w:rFonts w:ascii="Times New Roman" w:hAnsi="Times New Roman" w:cs="Times New Roman"/>
          <w:color w:val="auto"/>
        </w:rPr>
        <w:t>11</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cs="Times New Roman"/>
          <w:color w:val="auto"/>
        </w:rPr>
        <w:t>1.9</w:t>
      </w:r>
      <w:r>
        <w:rPr>
          <w:rFonts w:ascii="Times New Roman" w:hAnsi="Times New Roman" w:eastAsia="仿宋_GB2312" w:cs="Times New Roman"/>
          <w:color w:val="auto"/>
        </w:rPr>
        <w:t>水土保持监测方案</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_Toc21542 \h </w:instrText>
      </w:r>
      <w:r>
        <w:rPr>
          <w:rFonts w:ascii="Times New Roman" w:hAnsi="Times New Roman" w:cs="Times New Roman"/>
          <w:color w:val="auto"/>
        </w:rPr>
        <w:fldChar w:fldCharType="separate"/>
      </w:r>
      <w:r>
        <w:rPr>
          <w:rFonts w:ascii="Times New Roman" w:hAnsi="Times New Roman" w:cs="Times New Roman"/>
          <w:color w:val="auto"/>
        </w:rPr>
        <w:t>17</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cs="Times New Roman"/>
          <w:color w:val="auto"/>
        </w:rPr>
        <w:t>1.10</w:t>
      </w:r>
      <w:r>
        <w:rPr>
          <w:rFonts w:ascii="Times New Roman" w:hAnsi="Times New Roman" w:eastAsia="仿宋_GB2312" w:cs="Times New Roman"/>
          <w:color w:val="auto"/>
        </w:rPr>
        <w:t>水土保持投资及效益分析成果</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_Toc12066 \h </w:instrText>
      </w:r>
      <w:r>
        <w:rPr>
          <w:rFonts w:ascii="Times New Roman" w:hAnsi="Times New Roman" w:cs="Times New Roman"/>
          <w:color w:val="auto"/>
        </w:rPr>
        <w:fldChar w:fldCharType="separate"/>
      </w:r>
      <w:r>
        <w:rPr>
          <w:rFonts w:ascii="Times New Roman" w:hAnsi="Times New Roman" w:cs="Times New Roman"/>
          <w:color w:val="auto"/>
        </w:rPr>
        <w:t>17</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rPr>
        <w:t>1.11结论</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_Toc19484 \h </w:instrText>
      </w:r>
      <w:r>
        <w:rPr>
          <w:rFonts w:ascii="Times New Roman" w:hAnsi="Times New Roman" w:cs="Times New Roman"/>
          <w:color w:val="auto"/>
        </w:rPr>
        <w:fldChar w:fldCharType="separate"/>
      </w:r>
      <w:r>
        <w:rPr>
          <w:rFonts w:ascii="Times New Roman" w:hAnsi="Times New Roman" w:cs="Times New Roman"/>
          <w:color w:val="auto"/>
        </w:rPr>
        <w:t>18</w:t>
      </w:r>
      <w:r>
        <w:rPr>
          <w:rFonts w:ascii="Times New Roman" w:hAnsi="Times New Roman" w:cs="Times New Roman"/>
          <w:color w:val="auto"/>
        </w:rPr>
        <w:fldChar w:fldCharType="end"/>
      </w:r>
    </w:p>
    <w:p>
      <w:pPr>
        <w:pStyle w:val="26"/>
        <w:tabs>
          <w:tab w:val="right" w:leader="dot" w:pos="8300"/>
        </w:tabs>
        <w:spacing w:line="360" w:lineRule="auto"/>
        <w:rPr>
          <w:rFonts w:cs="Times New Roman"/>
          <w:color w:val="auto"/>
        </w:rPr>
      </w:pPr>
      <w:r>
        <w:rPr>
          <w:rFonts w:cs="Times New Roman"/>
          <w:color w:val="auto"/>
          <w:szCs w:val="36"/>
        </w:rPr>
        <w:t xml:space="preserve">2 </w:t>
      </w:r>
      <w:r>
        <w:rPr>
          <w:rFonts w:eastAsia="仿宋_GB2312" w:cs="Times New Roman"/>
          <w:color w:val="auto"/>
          <w:szCs w:val="36"/>
        </w:rPr>
        <w:t>项目概况</w:t>
      </w:r>
      <w:r>
        <w:rPr>
          <w:rFonts w:cs="Times New Roman"/>
          <w:color w:val="auto"/>
        </w:rPr>
        <w:tab/>
      </w:r>
      <w:r>
        <w:rPr>
          <w:rFonts w:cs="Times New Roman"/>
          <w:color w:val="auto"/>
        </w:rPr>
        <w:fldChar w:fldCharType="begin"/>
      </w:r>
      <w:r>
        <w:rPr>
          <w:rFonts w:cs="Times New Roman"/>
          <w:color w:val="auto"/>
        </w:rPr>
        <w:instrText xml:space="preserve"> PAGEREF _Toc8401 \h </w:instrText>
      </w:r>
      <w:r>
        <w:rPr>
          <w:rFonts w:cs="Times New Roman"/>
          <w:color w:val="auto"/>
        </w:rPr>
        <w:fldChar w:fldCharType="separate"/>
      </w:r>
      <w:r>
        <w:rPr>
          <w:rFonts w:cs="Times New Roman"/>
          <w:color w:val="auto"/>
        </w:rPr>
        <w:t>22</w:t>
      </w:r>
      <w:r>
        <w:rPr>
          <w:rFonts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rPr>
        <w:t>2.1 区域组成及工程布置</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_Toc16245 \h </w:instrText>
      </w:r>
      <w:r>
        <w:rPr>
          <w:rFonts w:ascii="Times New Roman" w:hAnsi="Times New Roman" w:cs="Times New Roman"/>
          <w:color w:val="auto"/>
        </w:rPr>
        <w:fldChar w:fldCharType="separate"/>
      </w:r>
      <w:r>
        <w:rPr>
          <w:rFonts w:ascii="Times New Roman" w:hAnsi="Times New Roman" w:cs="Times New Roman"/>
          <w:color w:val="auto"/>
        </w:rPr>
        <w:t>22</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cs="Times New Roman"/>
          <w:color w:val="auto"/>
        </w:rPr>
        <w:t>2</w:t>
      </w:r>
      <w:r>
        <w:rPr>
          <w:rFonts w:ascii="Times New Roman" w:hAnsi="Times New Roman" w:eastAsia="仿宋_GB2312" w:cs="Times New Roman"/>
          <w:color w:val="auto"/>
        </w:rPr>
        <w:t>.2开发建设组织</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_Toc28206 \h </w:instrText>
      </w:r>
      <w:r>
        <w:rPr>
          <w:rFonts w:ascii="Times New Roman" w:hAnsi="Times New Roman" w:cs="Times New Roman"/>
          <w:color w:val="auto"/>
        </w:rPr>
        <w:fldChar w:fldCharType="separate"/>
      </w:r>
      <w:r>
        <w:rPr>
          <w:rFonts w:ascii="Times New Roman" w:hAnsi="Times New Roman" w:cs="Times New Roman"/>
          <w:color w:val="auto"/>
        </w:rPr>
        <w:t>51</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cs="Times New Roman"/>
          <w:color w:val="auto"/>
        </w:rPr>
        <w:t xml:space="preserve">2.3 </w:t>
      </w:r>
      <w:r>
        <w:rPr>
          <w:rFonts w:ascii="Times New Roman" w:hAnsi="Times New Roman" w:eastAsia="仿宋_GB2312" w:cs="Times New Roman"/>
          <w:color w:val="auto"/>
        </w:rPr>
        <w:t>区域占地</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_Toc24388 \h </w:instrText>
      </w:r>
      <w:r>
        <w:rPr>
          <w:rFonts w:ascii="Times New Roman" w:hAnsi="Times New Roman" w:cs="Times New Roman"/>
          <w:color w:val="auto"/>
        </w:rPr>
        <w:fldChar w:fldCharType="separate"/>
      </w:r>
      <w:r>
        <w:rPr>
          <w:rFonts w:ascii="Times New Roman" w:hAnsi="Times New Roman" w:cs="Times New Roman"/>
          <w:color w:val="auto"/>
        </w:rPr>
        <w:t>57</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rPr>
        <w:t>2.4 土石方平衡</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_Toc31922 \h </w:instrText>
      </w:r>
      <w:r>
        <w:rPr>
          <w:rFonts w:ascii="Times New Roman" w:hAnsi="Times New Roman" w:cs="Times New Roman"/>
          <w:color w:val="auto"/>
        </w:rPr>
        <w:fldChar w:fldCharType="separate"/>
      </w:r>
      <w:r>
        <w:rPr>
          <w:rFonts w:ascii="Times New Roman" w:hAnsi="Times New Roman" w:cs="Times New Roman"/>
          <w:color w:val="auto"/>
        </w:rPr>
        <w:t>58</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cs="Times New Roman"/>
          <w:color w:val="auto"/>
        </w:rPr>
        <w:t xml:space="preserve">2.5 </w:t>
      </w:r>
      <w:r>
        <w:rPr>
          <w:rFonts w:ascii="Times New Roman" w:hAnsi="Times New Roman" w:eastAsia="仿宋_GB2312" w:cs="Times New Roman"/>
          <w:color w:val="auto"/>
        </w:rPr>
        <w:t>拆迁安置与专项设施改建</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_Toc22788 \h </w:instrText>
      </w:r>
      <w:r>
        <w:rPr>
          <w:rFonts w:ascii="Times New Roman" w:hAnsi="Times New Roman" w:cs="Times New Roman"/>
          <w:color w:val="auto"/>
        </w:rPr>
        <w:fldChar w:fldCharType="separate"/>
      </w:r>
      <w:r>
        <w:rPr>
          <w:rFonts w:ascii="Times New Roman" w:hAnsi="Times New Roman" w:cs="Times New Roman"/>
          <w:color w:val="auto"/>
        </w:rPr>
        <w:t>65</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cs="Times New Roman"/>
          <w:color w:val="auto"/>
        </w:rPr>
        <w:t xml:space="preserve">2.6 </w:t>
      </w:r>
      <w:r>
        <w:rPr>
          <w:rFonts w:ascii="Times New Roman" w:hAnsi="Times New Roman" w:eastAsia="仿宋_GB2312" w:cs="Times New Roman"/>
          <w:color w:val="auto"/>
        </w:rPr>
        <w:t>区域开发建设进度</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_Toc21040 \h </w:instrText>
      </w:r>
      <w:r>
        <w:rPr>
          <w:rFonts w:ascii="Times New Roman" w:hAnsi="Times New Roman" w:cs="Times New Roman"/>
          <w:color w:val="auto"/>
        </w:rPr>
        <w:fldChar w:fldCharType="separate"/>
      </w:r>
      <w:r>
        <w:rPr>
          <w:rFonts w:ascii="Times New Roman" w:hAnsi="Times New Roman" w:cs="Times New Roman"/>
          <w:color w:val="auto"/>
        </w:rPr>
        <w:t>65</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rPr>
        <w:t>2.7 自然概况</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_Toc30839 \h </w:instrText>
      </w:r>
      <w:r>
        <w:rPr>
          <w:rFonts w:ascii="Times New Roman" w:hAnsi="Times New Roman" w:cs="Times New Roman"/>
          <w:color w:val="auto"/>
        </w:rPr>
        <w:fldChar w:fldCharType="separate"/>
      </w:r>
      <w:r>
        <w:rPr>
          <w:rFonts w:ascii="Times New Roman" w:hAnsi="Times New Roman" w:cs="Times New Roman"/>
          <w:color w:val="auto"/>
        </w:rPr>
        <w:t>69</w:t>
      </w:r>
      <w:r>
        <w:rPr>
          <w:rFonts w:ascii="Times New Roman" w:hAnsi="Times New Roman" w:cs="Times New Roman"/>
          <w:color w:val="auto"/>
        </w:rPr>
        <w:fldChar w:fldCharType="end"/>
      </w:r>
    </w:p>
    <w:p>
      <w:pPr>
        <w:pStyle w:val="26"/>
        <w:tabs>
          <w:tab w:val="right" w:leader="dot" w:pos="8300"/>
        </w:tabs>
        <w:spacing w:line="360" w:lineRule="auto"/>
        <w:rPr>
          <w:rFonts w:cs="Times New Roman"/>
          <w:color w:val="auto"/>
        </w:rPr>
      </w:pPr>
      <w:r>
        <w:rPr>
          <w:rFonts w:eastAsia="仿宋_GB2312" w:cs="Times New Roman"/>
          <w:color w:val="auto"/>
          <w:szCs w:val="36"/>
        </w:rPr>
        <w:t>3 项目水土保持评价</w:t>
      </w:r>
      <w:r>
        <w:rPr>
          <w:rFonts w:cs="Times New Roman"/>
          <w:color w:val="auto"/>
        </w:rPr>
        <w:tab/>
      </w:r>
      <w:r>
        <w:rPr>
          <w:rFonts w:cs="Times New Roman"/>
          <w:color w:val="auto"/>
        </w:rPr>
        <w:fldChar w:fldCharType="begin"/>
      </w:r>
      <w:r>
        <w:rPr>
          <w:rFonts w:cs="Times New Roman"/>
          <w:color w:val="auto"/>
        </w:rPr>
        <w:instrText xml:space="preserve"> PAGEREF _Toc23470 \h </w:instrText>
      </w:r>
      <w:r>
        <w:rPr>
          <w:rFonts w:cs="Times New Roman"/>
          <w:color w:val="auto"/>
        </w:rPr>
        <w:fldChar w:fldCharType="separate"/>
      </w:r>
      <w:r>
        <w:rPr>
          <w:rFonts w:cs="Times New Roman"/>
          <w:color w:val="auto"/>
        </w:rPr>
        <w:t>74</w:t>
      </w:r>
      <w:r>
        <w:rPr>
          <w:rFonts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rPr>
        <w:t>3.1区域选址水土保持评价</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_Toc19862 \h </w:instrText>
      </w:r>
      <w:r>
        <w:rPr>
          <w:rFonts w:ascii="Times New Roman" w:hAnsi="Times New Roman" w:cs="Times New Roman"/>
          <w:color w:val="auto"/>
        </w:rPr>
        <w:fldChar w:fldCharType="separate"/>
      </w:r>
      <w:r>
        <w:rPr>
          <w:rFonts w:ascii="Times New Roman" w:hAnsi="Times New Roman" w:cs="Times New Roman"/>
          <w:color w:val="auto"/>
        </w:rPr>
        <w:t>74</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rPr>
        <w:t>3.2建设方案与布局水土保持评价</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_Toc3112 \h </w:instrText>
      </w:r>
      <w:r>
        <w:rPr>
          <w:rFonts w:ascii="Times New Roman" w:hAnsi="Times New Roman" w:cs="Times New Roman"/>
          <w:color w:val="auto"/>
        </w:rPr>
        <w:fldChar w:fldCharType="separate"/>
      </w:r>
      <w:r>
        <w:rPr>
          <w:rFonts w:ascii="Times New Roman" w:hAnsi="Times New Roman" w:cs="Times New Roman"/>
          <w:color w:val="auto"/>
        </w:rPr>
        <w:t>75</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rPr>
        <w:t>3.3主体工程设计中水土保持措施界定</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_Toc7877 \h </w:instrText>
      </w:r>
      <w:r>
        <w:rPr>
          <w:rFonts w:ascii="Times New Roman" w:hAnsi="Times New Roman" w:cs="Times New Roman"/>
          <w:color w:val="auto"/>
        </w:rPr>
        <w:fldChar w:fldCharType="separate"/>
      </w:r>
      <w:r>
        <w:rPr>
          <w:rFonts w:ascii="Times New Roman" w:hAnsi="Times New Roman" w:cs="Times New Roman"/>
          <w:color w:val="auto"/>
        </w:rPr>
        <w:t>94</w:t>
      </w:r>
      <w:r>
        <w:rPr>
          <w:rFonts w:ascii="Times New Roman" w:hAnsi="Times New Roman" w:cs="Times New Roman"/>
          <w:color w:val="auto"/>
        </w:rPr>
        <w:fldChar w:fldCharType="end"/>
      </w:r>
    </w:p>
    <w:p>
      <w:pPr>
        <w:pStyle w:val="26"/>
        <w:tabs>
          <w:tab w:val="right" w:leader="dot" w:pos="8300"/>
        </w:tabs>
        <w:spacing w:line="360" w:lineRule="auto"/>
        <w:rPr>
          <w:rFonts w:cs="Times New Roman"/>
          <w:color w:val="auto"/>
        </w:rPr>
      </w:pPr>
      <w:r>
        <w:rPr>
          <w:rFonts w:eastAsia="仿宋_GB2312" w:cs="Times New Roman"/>
          <w:color w:val="auto"/>
        </w:rPr>
        <w:t>4 水土流失分析与预测</w:t>
      </w:r>
      <w:r>
        <w:rPr>
          <w:rFonts w:cs="Times New Roman"/>
          <w:color w:val="auto"/>
        </w:rPr>
        <w:tab/>
      </w:r>
      <w:r>
        <w:rPr>
          <w:rFonts w:cs="Times New Roman"/>
          <w:color w:val="auto"/>
        </w:rPr>
        <w:fldChar w:fldCharType="begin"/>
      </w:r>
      <w:r>
        <w:rPr>
          <w:rFonts w:cs="Times New Roman"/>
          <w:color w:val="auto"/>
        </w:rPr>
        <w:instrText xml:space="preserve"> PAGEREF _Toc6751 \h </w:instrText>
      </w:r>
      <w:r>
        <w:rPr>
          <w:rFonts w:cs="Times New Roman"/>
          <w:color w:val="auto"/>
        </w:rPr>
        <w:fldChar w:fldCharType="separate"/>
      </w:r>
      <w:r>
        <w:rPr>
          <w:rFonts w:cs="Times New Roman"/>
          <w:color w:val="auto"/>
        </w:rPr>
        <w:t>97</w:t>
      </w:r>
      <w:r>
        <w:rPr>
          <w:rFonts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rPr>
        <w:t>4.1 水土流失现状</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_Toc29167 \h </w:instrText>
      </w:r>
      <w:r>
        <w:rPr>
          <w:rFonts w:ascii="Times New Roman" w:hAnsi="Times New Roman" w:cs="Times New Roman"/>
          <w:color w:val="auto"/>
        </w:rPr>
        <w:fldChar w:fldCharType="separate"/>
      </w:r>
      <w:r>
        <w:rPr>
          <w:rFonts w:ascii="Times New Roman" w:hAnsi="Times New Roman" w:cs="Times New Roman"/>
          <w:color w:val="auto"/>
        </w:rPr>
        <w:t>97</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rPr>
        <w:t>4.2 水土流失影响因素分析</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_Toc7706 \h </w:instrText>
      </w:r>
      <w:r>
        <w:rPr>
          <w:rFonts w:ascii="Times New Roman" w:hAnsi="Times New Roman" w:cs="Times New Roman"/>
          <w:color w:val="auto"/>
        </w:rPr>
        <w:fldChar w:fldCharType="separate"/>
      </w:r>
      <w:r>
        <w:rPr>
          <w:rFonts w:ascii="Times New Roman" w:hAnsi="Times New Roman" w:cs="Times New Roman"/>
          <w:color w:val="auto"/>
        </w:rPr>
        <w:t>98</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rPr>
        <w:t>4.3土壤流失量预测</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_Toc2867 \h </w:instrText>
      </w:r>
      <w:r>
        <w:rPr>
          <w:rFonts w:ascii="Times New Roman" w:hAnsi="Times New Roman" w:cs="Times New Roman"/>
          <w:color w:val="auto"/>
        </w:rPr>
        <w:fldChar w:fldCharType="separate"/>
      </w:r>
      <w:r>
        <w:rPr>
          <w:rFonts w:ascii="Times New Roman" w:hAnsi="Times New Roman" w:cs="Times New Roman"/>
          <w:color w:val="auto"/>
        </w:rPr>
        <w:t>99</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cs="Times New Roman"/>
          <w:color w:val="auto"/>
        </w:rPr>
        <w:t>4.4</w:t>
      </w:r>
      <w:r>
        <w:rPr>
          <w:rFonts w:ascii="Times New Roman" w:hAnsi="Times New Roman" w:eastAsia="仿宋_GB2312" w:cs="Times New Roman"/>
          <w:color w:val="auto"/>
        </w:rPr>
        <w:t>水土流失危害分析</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_Toc4236 \h </w:instrText>
      </w:r>
      <w:r>
        <w:rPr>
          <w:rFonts w:ascii="Times New Roman" w:hAnsi="Times New Roman" w:cs="Times New Roman"/>
          <w:color w:val="auto"/>
        </w:rPr>
        <w:fldChar w:fldCharType="separate"/>
      </w:r>
      <w:r>
        <w:rPr>
          <w:rFonts w:ascii="Times New Roman" w:hAnsi="Times New Roman" w:cs="Times New Roman"/>
          <w:color w:val="auto"/>
        </w:rPr>
        <w:t>110</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cs="Times New Roman"/>
          <w:color w:val="auto"/>
        </w:rPr>
        <w:t>4.5</w:t>
      </w:r>
      <w:r>
        <w:rPr>
          <w:rFonts w:ascii="Times New Roman" w:hAnsi="Times New Roman" w:eastAsia="仿宋_GB2312" w:cs="Times New Roman"/>
          <w:color w:val="auto"/>
        </w:rPr>
        <w:t>指导性意见</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_Toc30278 \h </w:instrText>
      </w:r>
      <w:r>
        <w:rPr>
          <w:rFonts w:ascii="Times New Roman" w:hAnsi="Times New Roman" w:cs="Times New Roman"/>
          <w:color w:val="auto"/>
        </w:rPr>
        <w:fldChar w:fldCharType="separate"/>
      </w:r>
      <w:r>
        <w:rPr>
          <w:rFonts w:ascii="Times New Roman" w:hAnsi="Times New Roman" w:cs="Times New Roman"/>
          <w:color w:val="auto"/>
        </w:rPr>
        <w:t>111</w:t>
      </w:r>
      <w:r>
        <w:rPr>
          <w:rFonts w:ascii="Times New Roman" w:hAnsi="Times New Roman" w:cs="Times New Roman"/>
          <w:color w:val="auto"/>
        </w:rPr>
        <w:fldChar w:fldCharType="end"/>
      </w:r>
    </w:p>
    <w:p>
      <w:pPr>
        <w:pStyle w:val="26"/>
        <w:tabs>
          <w:tab w:val="right" w:leader="dot" w:pos="8300"/>
        </w:tabs>
        <w:spacing w:line="360" w:lineRule="auto"/>
        <w:rPr>
          <w:rFonts w:cs="Times New Roman"/>
          <w:color w:val="auto"/>
        </w:rPr>
      </w:pPr>
      <w:r>
        <w:rPr>
          <w:rFonts w:eastAsia="仿宋_GB2312" w:cs="Times New Roman"/>
          <w:color w:val="auto"/>
          <w:szCs w:val="36"/>
        </w:rPr>
        <w:t>5 水土保持措施</w:t>
      </w:r>
      <w:r>
        <w:rPr>
          <w:rFonts w:cs="Times New Roman"/>
          <w:color w:val="auto"/>
        </w:rPr>
        <w:tab/>
      </w:r>
      <w:r>
        <w:rPr>
          <w:rFonts w:cs="Times New Roman"/>
          <w:color w:val="auto"/>
        </w:rPr>
        <w:fldChar w:fldCharType="begin"/>
      </w:r>
      <w:r>
        <w:rPr>
          <w:rFonts w:cs="Times New Roman"/>
          <w:color w:val="auto"/>
        </w:rPr>
        <w:instrText xml:space="preserve"> PAGEREF _Toc4276 \h </w:instrText>
      </w:r>
      <w:r>
        <w:rPr>
          <w:rFonts w:cs="Times New Roman"/>
          <w:color w:val="auto"/>
        </w:rPr>
        <w:fldChar w:fldCharType="separate"/>
      </w:r>
      <w:r>
        <w:rPr>
          <w:rFonts w:cs="Times New Roman"/>
          <w:color w:val="auto"/>
        </w:rPr>
        <w:t>97</w:t>
      </w:r>
      <w:r>
        <w:rPr>
          <w:rFonts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szCs w:val="32"/>
        </w:rPr>
        <w:t>5.1 防治分区划分</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_Toc6085 \h </w:instrText>
      </w:r>
      <w:r>
        <w:rPr>
          <w:rFonts w:ascii="Times New Roman" w:hAnsi="Times New Roman" w:cs="Times New Roman"/>
          <w:color w:val="auto"/>
        </w:rPr>
        <w:fldChar w:fldCharType="separate"/>
      </w:r>
      <w:r>
        <w:rPr>
          <w:rFonts w:ascii="Times New Roman" w:hAnsi="Times New Roman" w:cs="Times New Roman"/>
          <w:color w:val="auto"/>
        </w:rPr>
        <w:t>113</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szCs w:val="32"/>
        </w:rPr>
        <w:t>5.2 措施总体布局</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_Toc5107 \h </w:instrText>
      </w:r>
      <w:r>
        <w:rPr>
          <w:rFonts w:ascii="Times New Roman" w:hAnsi="Times New Roman" w:cs="Times New Roman"/>
          <w:color w:val="auto"/>
        </w:rPr>
        <w:fldChar w:fldCharType="separate"/>
      </w:r>
      <w:r>
        <w:rPr>
          <w:rFonts w:ascii="Times New Roman" w:hAnsi="Times New Roman" w:cs="Times New Roman"/>
          <w:color w:val="auto"/>
        </w:rPr>
        <w:t>114</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rPr>
        <w:t>5.3分区措施布设</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_Toc28152 \h </w:instrText>
      </w:r>
      <w:r>
        <w:rPr>
          <w:rFonts w:ascii="Times New Roman" w:hAnsi="Times New Roman" w:cs="Times New Roman"/>
          <w:color w:val="auto"/>
        </w:rPr>
        <w:fldChar w:fldCharType="separate"/>
      </w:r>
      <w:r>
        <w:rPr>
          <w:rFonts w:ascii="Times New Roman" w:hAnsi="Times New Roman" w:cs="Times New Roman"/>
          <w:color w:val="auto"/>
        </w:rPr>
        <w:t>116</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szCs w:val="32"/>
        </w:rPr>
        <w:t>5.3分区措施布设</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_Toc11313 \h </w:instrText>
      </w:r>
      <w:r>
        <w:rPr>
          <w:rFonts w:ascii="Times New Roman" w:hAnsi="Times New Roman" w:cs="Times New Roman"/>
          <w:color w:val="auto"/>
        </w:rPr>
        <w:fldChar w:fldCharType="separate"/>
      </w:r>
      <w:r>
        <w:rPr>
          <w:rFonts w:ascii="Times New Roman" w:hAnsi="Times New Roman" w:cs="Times New Roman"/>
          <w:color w:val="auto"/>
        </w:rPr>
        <w:t>124</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rPr>
        <w:t>5.4施工要求</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_Toc9436 \h </w:instrText>
      </w:r>
      <w:r>
        <w:rPr>
          <w:rFonts w:ascii="Times New Roman" w:hAnsi="Times New Roman" w:cs="Times New Roman"/>
          <w:color w:val="auto"/>
        </w:rPr>
        <w:fldChar w:fldCharType="separate"/>
      </w:r>
      <w:r>
        <w:rPr>
          <w:rFonts w:ascii="Times New Roman" w:hAnsi="Times New Roman" w:cs="Times New Roman"/>
          <w:color w:val="auto"/>
        </w:rPr>
        <w:t>137</w:t>
      </w:r>
      <w:r>
        <w:rPr>
          <w:rFonts w:ascii="Times New Roman" w:hAnsi="Times New Roman" w:cs="Times New Roman"/>
          <w:color w:val="auto"/>
        </w:rPr>
        <w:fldChar w:fldCharType="end"/>
      </w:r>
    </w:p>
    <w:p>
      <w:pPr>
        <w:pStyle w:val="26"/>
        <w:tabs>
          <w:tab w:val="right" w:leader="dot" w:pos="8300"/>
        </w:tabs>
        <w:spacing w:line="360" w:lineRule="auto"/>
        <w:rPr>
          <w:rFonts w:cs="Times New Roman"/>
          <w:color w:val="auto"/>
        </w:rPr>
      </w:pPr>
      <w:r>
        <w:rPr>
          <w:rFonts w:cs="Times New Roman"/>
          <w:color w:val="auto"/>
          <w:kern w:val="44"/>
          <w:szCs w:val="36"/>
        </w:rPr>
        <w:t>6</w:t>
      </w:r>
      <w:r>
        <w:rPr>
          <w:rFonts w:eastAsia="仿宋_GB2312" w:cs="Times New Roman"/>
          <w:color w:val="auto"/>
          <w:kern w:val="44"/>
          <w:szCs w:val="36"/>
        </w:rPr>
        <w:t>水土保持监测</w:t>
      </w:r>
      <w:r>
        <w:rPr>
          <w:rFonts w:cs="Times New Roman"/>
          <w:color w:val="auto"/>
        </w:rPr>
        <w:tab/>
      </w:r>
      <w:r>
        <w:rPr>
          <w:rFonts w:cs="Times New Roman"/>
          <w:color w:val="auto"/>
        </w:rPr>
        <w:fldChar w:fldCharType="begin"/>
      </w:r>
      <w:r>
        <w:rPr>
          <w:rFonts w:cs="Times New Roman"/>
          <w:color w:val="auto"/>
        </w:rPr>
        <w:instrText xml:space="preserve"> PAGEREF _Toc6213 \h </w:instrText>
      </w:r>
      <w:r>
        <w:rPr>
          <w:rFonts w:cs="Times New Roman"/>
          <w:color w:val="auto"/>
        </w:rPr>
        <w:fldChar w:fldCharType="separate"/>
      </w:r>
      <w:r>
        <w:rPr>
          <w:rFonts w:cs="Times New Roman"/>
          <w:color w:val="auto"/>
        </w:rPr>
        <w:t>143</w:t>
      </w:r>
      <w:r>
        <w:rPr>
          <w:rFonts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cs="Times New Roman"/>
          <w:color w:val="auto"/>
          <w:szCs w:val="20"/>
        </w:rPr>
        <w:t xml:space="preserve">6.1 </w:t>
      </w:r>
      <w:r>
        <w:rPr>
          <w:rFonts w:ascii="Times New Roman" w:hAnsi="Times New Roman" w:eastAsia="仿宋_GB2312" w:cs="Times New Roman"/>
          <w:color w:val="auto"/>
          <w:szCs w:val="20"/>
        </w:rPr>
        <w:t>范围与时段</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_Toc32634 \h </w:instrText>
      </w:r>
      <w:r>
        <w:rPr>
          <w:rFonts w:ascii="Times New Roman" w:hAnsi="Times New Roman" w:cs="Times New Roman"/>
          <w:color w:val="auto"/>
        </w:rPr>
        <w:fldChar w:fldCharType="separate"/>
      </w:r>
      <w:r>
        <w:rPr>
          <w:rFonts w:ascii="Times New Roman" w:hAnsi="Times New Roman" w:cs="Times New Roman"/>
          <w:color w:val="auto"/>
        </w:rPr>
        <w:t>143</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szCs w:val="20"/>
        </w:rPr>
        <w:t>6.2 内容和方法</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_Toc14461 \h </w:instrText>
      </w:r>
      <w:r>
        <w:rPr>
          <w:rFonts w:ascii="Times New Roman" w:hAnsi="Times New Roman" w:cs="Times New Roman"/>
          <w:color w:val="auto"/>
        </w:rPr>
        <w:fldChar w:fldCharType="separate"/>
      </w:r>
      <w:r>
        <w:rPr>
          <w:rFonts w:ascii="Times New Roman" w:hAnsi="Times New Roman" w:cs="Times New Roman"/>
          <w:color w:val="auto"/>
        </w:rPr>
        <w:t>143</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szCs w:val="20"/>
        </w:rPr>
        <w:t>6.3 点位布设</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_Toc26818 \h </w:instrText>
      </w:r>
      <w:r>
        <w:rPr>
          <w:rFonts w:ascii="Times New Roman" w:hAnsi="Times New Roman" w:cs="Times New Roman"/>
          <w:color w:val="auto"/>
        </w:rPr>
        <w:fldChar w:fldCharType="separate"/>
      </w:r>
      <w:r>
        <w:rPr>
          <w:rFonts w:ascii="Times New Roman" w:hAnsi="Times New Roman" w:cs="Times New Roman"/>
          <w:color w:val="auto"/>
        </w:rPr>
        <w:t>152</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szCs w:val="20"/>
        </w:rPr>
        <w:t>6.4实施条件和成果</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_Toc4211 \h </w:instrText>
      </w:r>
      <w:r>
        <w:rPr>
          <w:rFonts w:ascii="Times New Roman" w:hAnsi="Times New Roman" w:cs="Times New Roman"/>
          <w:color w:val="auto"/>
        </w:rPr>
        <w:fldChar w:fldCharType="separate"/>
      </w:r>
      <w:r>
        <w:rPr>
          <w:rFonts w:ascii="Times New Roman" w:hAnsi="Times New Roman" w:cs="Times New Roman"/>
          <w:color w:val="auto"/>
        </w:rPr>
        <w:t>153</w:t>
      </w:r>
      <w:r>
        <w:rPr>
          <w:rFonts w:ascii="Times New Roman" w:hAnsi="Times New Roman" w:cs="Times New Roman"/>
          <w:color w:val="auto"/>
        </w:rPr>
        <w:fldChar w:fldCharType="end"/>
      </w:r>
    </w:p>
    <w:p>
      <w:pPr>
        <w:pStyle w:val="26"/>
        <w:tabs>
          <w:tab w:val="right" w:leader="dot" w:pos="8300"/>
        </w:tabs>
        <w:spacing w:line="360" w:lineRule="auto"/>
        <w:rPr>
          <w:rFonts w:cs="Times New Roman"/>
          <w:color w:val="auto"/>
        </w:rPr>
      </w:pPr>
      <w:r>
        <w:rPr>
          <w:rFonts w:cs="Times New Roman"/>
          <w:bCs/>
          <w:color w:val="auto"/>
          <w:szCs w:val="44"/>
        </w:rPr>
        <w:t xml:space="preserve">7 </w:t>
      </w:r>
      <w:r>
        <w:rPr>
          <w:rFonts w:eastAsia="仿宋_GB2312" w:cs="Times New Roman"/>
          <w:bCs/>
          <w:color w:val="auto"/>
          <w:szCs w:val="44"/>
        </w:rPr>
        <w:t>水土保持</w:t>
      </w:r>
      <w:r>
        <w:rPr>
          <w:rFonts w:eastAsia="仿宋_GB2312" w:cs="Times New Roman"/>
          <w:color w:val="auto"/>
          <w:szCs w:val="44"/>
        </w:rPr>
        <w:t>投资估算及效益分析</w:t>
      </w:r>
      <w:r>
        <w:rPr>
          <w:rFonts w:cs="Times New Roman"/>
          <w:color w:val="auto"/>
        </w:rPr>
        <w:tab/>
      </w:r>
      <w:r>
        <w:rPr>
          <w:rFonts w:cs="Times New Roman"/>
          <w:color w:val="auto"/>
        </w:rPr>
        <w:fldChar w:fldCharType="begin"/>
      </w:r>
      <w:r>
        <w:rPr>
          <w:rFonts w:cs="Times New Roman"/>
          <w:color w:val="auto"/>
        </w:rPr>
        <w:instrText xml:space="preserve"> PAGEREF _Toc20625 \h </w:instrText>
      </w:r>
      <w:r>
        <w:rPr>
          <w:rFonts w:cs="Times New Roman"/>
          <w:color w:val="auto"/>
        </w:rPr>
        <w:fldChar w:fldCharType="separate"/>
      </w:r>
      <w:r>
        <w:rPr>
          <w:rFonts w:cs="Times New Roman"/>
          <w:color w:val="auto"/>
        </w:rPr>
        <w:t>155</w:t>
      </w:r>
      <w:r>
        <w:rPr>
          <w:rFonts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cs="Times New Roman"/>
          <w:color w:val="auto"/>
        </w:rPr>
        <w:t>7.1</w:t>
      </w:r>
      <w:r>
        <w:rPr>
          <w:rFonts w:ascii="Times New Roman" w:hAnsi="Times New Roman" w:eastAsia="仿宋_GB2312" w:cs="Times New Roman"/>
          <w:color w:val="auto"/>
        </w:rPr>
        <w:t>投资估算</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_Toc2202 \h </w:instrText>
      </w:r>
      <w:r>
        <w:rPr>
          <w:rFonts w:ascii="Times New Roman" w:hAnsi="Times New Roman" w:cs="Times New Roman"/>
          <w:color w:val="auto"/>
        </w:rPr>
        <w:fldChar w:fldCharType="separate"/>
      </w:r>
      <w:r>
        <w:rPr>
          <w:rFonts w:ascii="Times New Roman" w:hAnsi="Times New Roman" w:cs="Times New Roman"/>
          <w:color w:val="auto"/>
        </w:rPr>
        <w:t>155</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rPr>
        <w:t>7.2效益分析</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_Toc23940 \h </w:instrText>
      </w:r>
      <w:r>
        <w:rPr>
          <w:rFonts w:ascii="Times New Roman" w:hAnsi="Times New Roman" w:cs="Times New Roman"/>
          <w:color w:val="auto"/>
        </w:rPr>
        <w:fldChar w:fldCharType="separate"/>
      </w:r>
      <w:r>
        <w:rPr>
          <w:rFonts w:ascii="Times New Roman" w:hAnsi="Times New Roman" w:cs="Times New Roman"/>
          <w:color w:val="auto"/>
        </w:rPr>
        <w:t>166</w:t>
      </w:r>
      <w:r>
        <w:rPr>
          <w:rFonts w:ascii="Times New Roman" w:hAnsi="Times New Roman" w:cs="Times New Roman"/>
          <w:color w:val="auto"/>
        </w:rPr>
        <w:fldChar w:fldCharType="end"/>
      </w:r>
    </w:p>
    <w:p>
      <w:pPr>
        <w:pStyle w:val="26"/>
        <w:tabs>
          <w:tab w:val="right" w:leader="dot" w:pos="8300"/>
        </w:tabs>
        <w:spacing w:line="360" w:lineRule="auto"/>
        <w:rPr>
          <w:rFonts w:cs="Times New Roman"/>
          <w:color w:val="auto"/>
        </w:rPr>
      </w:pPr>
      <w:r>
        <w:rPr>
          <w:rFonts w:eastAsia="仿宋_GB2312" w:cs="Times New Roman"/>
          <w:bCs/>
          <w:color w:val="auto"/>
          <w:kern w:val="44"/>
          <w:szCs w:val="44"/>
        </w:rPr>
        <w:t>8 水土保持管理</w:t>
      </w:r>
      <w:r>
        <w:rPr>
          <w:rFonts w:cs="Times New Roman"/>
          <w:color w:val="auto"/>
        </w:rPr>
        <w:tab/>
      </w:r>
      <w:r>
        <w:rPr>
          <w:rFonts w:cs="Times New Roman"/>
          <w:color w:val="auto"/>
        </w:rPr>
        <w:fldChar w:fldCharType="begin"/>
      </w:r>
      <w:r>
        <w:rPr>
          <w:rFonts w:cs="Times New Roman"/>
          <w:color w:val="auto"/>
        </w:rPr>
        <w:instrText xml:space="preserve"> PAGEREF _Toc29992 \h </w:instrText>
      </w:r>
      <w:r>
        <w:rPr>
          <w:rFonts w:cs="Times New Roman"/>
          <w:color w:val="auto"/>
        </w:rPr>
        <w:fldChar w:fldCharType="separate"/>
      </w:r>
      <w:r>
        <w:rPr>
          <w:rFonts w:cs="Times New Roman"/>
          <w:color w:val="auto"/>
        </w:rPr>
        <w:t>170</w:t>
      </w:r>
      <w:r>
        <w:rPr>
          <w:rFonts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szCs w:val="20"/>
        </w:rPr>
        <w:t>8.1 组织机构与管理</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_Toc709 \h </w:instrText>
      </w:r>
      <w:r>
        <w:rPr>
          <w:rFonts w:ascii="Times New Roman" w:hAnsi="Times New Roman" w:cs="Times New Roman"/>
          <w:color w:val="auto"/>
        </w:rPr>
        <w:fldChar w:fldCharType="separate"/>
      </w:r>
      <w:r>
        <w:rPr>
          <w:rFonts w:ascii="Times New Roman" w:hAnsi="Times New Roman" w:cs="Times New Roman"/>
          <w:color w:val="auto"/>
        </w:rPr>
        <w:t>170</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szCs w:val="20"/>
        </w:rPr>
        <w:t>8.2 针对个类项目的特殊情形</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_Toc21826 \h </w:instrText>
      </w:r>
      <w:r>
        <w:rPr>
          <w:rFonts w:ascii="Times New Roman" w:hAnsi="Times New Roman" w:cs="Times New Roman"/>
          <w:color w:val="auto"/>
        </w:rPr>
        <w:fldChar w:fldCharType="separate"/>
      </w:r>
      <w:r>
        <w:rPr>
          <w:rFonts w:ascii="Times New Roman" w:hAnsi="Times New Roman" w:cs="Times New Roman"/>
          <w:color w:val="auto"/>
        </w:rPr>
        <w:t>173</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szCs w:val="20"/>
        </w:rPr>
        <w:t>8.3 后续设计</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_Toc16640 \h </w:instrText>
      </w:r>
      <w:r>
        <w:rPr>
          <w:rFonts w:ascii="Times New Roman" w:hAnsi="Times New Roman" w:cs="Times New Roman"/>
          <w:color w:val="auto"/>
        </w:rPr>
        <w:fldChar w:fldCharType="separate"/>
      </w:r>
      <w:r>
        <w:rPr>
          <w:rFonts w:ascii="Times New Roman" w:hAnsi="Times New Roman" w:cs="Times New Roman"/>
          <w:color w:val="auto"/>
        </w:rPr>
        <w:t>173</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szCs w:val="20"/>
        </w:rPr>
        <w:t>8.4 水土保持监测</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_Toc5270 \h </w:instrText>
      </w:r>
      <w:r>
        <w:rPr>
          <w:rFonts w:ascii="Times New Roman" w:hAnsi="Times New Roman" w:cs="Times New Roman"/>
          <w:color w:val="auto"/>
        </w:rPr>
        <w:fldChar w:fldCharType="separate"/>
      </w:r>
      <w:r>
        <w:rPr>
          <w:rFonts w:ascii="Times New Roman" w:hAnsi="Times New Roman" w:cs="Times New Roman"/>
          <w:color w:val="auto"/>
        </w:rPr>
        <w:t>173</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szCs w:val="20"/>
        </w:rPr>
        <w:t>8.5 水土保持监理</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_Toc21523 \h </w:instrText>
      </w:r>
      <w:r>
        <w:rPr>
          <w:rFonts w:ascii="Times New Roman" w:hAnsi="Times New Roman" w:cs="Times New Roman"/>
          <w:color w:val="auto"/>
        </w:rPr>
        <w:fldChar w:fldCharType="separate"/>
      </w:r>
      <w:r>
        <w:rPr>
          <w:rFonts w:ascii="Times New Roman" w:hAnsi="Times New Roman" w:cs="Times New Roman"/>
          <w:color w:val="auto"/>
        </w:rPr>
        <w:t>174</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szCs w:val="20"/>
        </w:rPr>
        <w:t>8.6 水土保持施工</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_Toc10958 \h </w:instrText>
      </w:r>
      <w:r>
        <w:rPr>
          <w:rFonts w:ascii="Times New Roman" w:hAnsi="Times New Roman" w:cs="Times New Roman"/>
          <w:color w:val="auto"/>
        </w:rPr>
        <w:fldChar w:fldCharType="separate"/>
      </w:r>
      <w:r>
        <w:rPr>
          <w:rFonts w:ascii="Times New Roman" w:hAnsi="Times New Roman" w:cs="Times New Roman"/>
          <w:color w:val="auto"/>
        </w:rPr>
        <w:t>176</w:t>
      </w:r>
      <w:r>
        <w:rPr>
          <w:rFonts w:ascii="Times New Roman" w:hAnsi="Times New Roman" w:cs="Times New Roman"/>
          <w:color w:val="auto"/>
        </w:rPr>
        <w:fldChar w:fldCharType="end"/>
      </w:r>
    </w:p>
    <w:p>
      <w:pPr>
        <w:pStyle w:val="31"/>
        <w:tabs>
          <w:tab w:val="right" w:leader="dot" w:pos="8300"/>
        </w:tabs>
        <w:spacing w:line="360" w:lineRule="auto"/>
        <w:ind w:left="480"/>
        <w:rPr>
          <w:rFonts w:ascii="Times New Roman" w:hAnsi="Times New Roman" w:cs="Times New Roman"/>
          <w:color w:val="auto"/>
        </w:rPr>
      </w:pPr>
      <w:r>
        <w:rPr>
          <w:rFonts w:ascii="Times New Roman" w:hAnsi="Times New Roman" w:eastAsia="仿宋_GB2312" w:cs="Times New Roman"/>
          <w:color w:val="auto"/>
          <w:szCs w:val="20"/>
        </w:rPr>
        <w:t>8.7水土保持设施验收</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_Toc23358 \h </w:instrText>
      </w:r>
      <w:r>
        <w:rPr>
          <w:rFonts w:ascii="Times New Roman" w:hAnsi="Times New Roman" w:cs="Times New Roman"/>
          <w:color w:val="auto"/>
        </w:rPr>
        <w:fldChar w:fldCharType="separate"/>
      </w:r>
      <w:r>
        <w:rPr>
          <w:rFonts w:ascii="Times New Roman" w:hAnsi="Times New Roman" w:cs="Times New Roman"/>
          <w:color w:val="auto"/>
        </w:rPr>
        <w:t>176</w:t>
      </w:r>
      <w:r>
        <w:rPr>
          <w:rFonts w:ascii="Times New Roman" w:hAnsi="Times New Roman" w:cs="Times New Roman"/>
          <w:color w:val="auto"/>
        </w:rPr>
        <w:fldChar w:fldCharType="end"/>
      </w:r>
    </w:p>
    <w:p>
      <w:pPr>
        <w:rPr>
          <w:rFonts w:ascii="Times New Roman" w:hAnsi="Times New Roman" w:cs="Times New Roman"/>
          <w:b/>
          <w:bCs/>
          <w:color w:val="auto"/>
          <w:sz w:val="28"/>
          <w:szCs w:val="28"/>
          <w:highlight w:val="none"/>
        </w:rPr>
      </w:pPr>
      <w:r>
        <w:rPr>
          <w:rFonts w:ascii="Times New Roman" w:hAnsi="Times New Roman" w:eastAsia="仿宋_GB2312" w:cs="Times New Roman"/>
          <w:color w:val="auto"/>
          <w:szCs w:val="28"/>
        </w:rPr>
        <w:fldChar w:fldCharType="end"/>
      </w:r>
      <w:r>
        <w:rPr>
          <w:rFonts w:ascii="Times New Roman" w:hAnsi="Times New Roman" w:cs="Times New Roman"/>
          <w:b/>
          <w:bCs/>
          <w:color w:val="auto"/>
          <w:sz w:val="28"/>
          <w:szCs w:val="28"/>
          <w:highlight w:val="none"/>
        </w:rPr>
        <w:t>附表：</w:t>
      </w:r>
    </w:p>
    <w:p>
      <w:pPr>
        <w:spacing w:line="360" w:lineRule="auto"/>
        <w:ind w:firstLine="480" w:firstLineChars="200"/>
        <w:rPr>
          <w:rFonts w:ascii="Times New Roman" w:hAnsi="Times New Roman" w:eastAsia="仿宋_GB2312" w:cs="Times New Roman"/>
          <w:bCs/>
          <w:color w:val="auto"/>
          <w:szCs w:val="24"/>
          <w:highlight w:val="none"/>
        </w:rPr>
      </w:pPr>
      <w:r>
        <w:rPr>
          <w:rFonts w:ascii="Times New Roman" w:hAnsi="Times New Roman" w:eastAsia="仿宋_GB2312" w:cs="Times New Roman"/>
          <w:bCs/>
          <w:color w:val="auto"/>
          <w:szCs w:val="24"/>
          <w:highlight w:val="none"/>
        </w:rPr>
        <w:t>1、</w:t>
      </w:r>
      <w:r>
        <w:rPr>
          <w:rFonts w:hint="eastAsia" w:ascii="Times New Roman" w:hAnsi="Times New Roman" w:eastAsia="仿宋_GB2312" w:cs="Times New Roman"/>
          <w:bCs/>
          <w:color w:val="auto"/>
          <w:szCs w:val="24"/>
          <w:highlight w:val="none"/>
        </w:rPr>
        <w:t>单价分析</w:t>
      </w:r>
      <w:r>
        <w:rPr>
          <w:rFonts w:ascii="Times New Roman" w:hAnsi="Times New Roman" w:eastAsia="仿宋_GB2312" w:cs="Times New Roman"/>
          <w:bCs/>
          <w:color w:val="auto"/>
          <w:szCs w:val="24"/>
          <w:highlight w:val="none"/>
        </w:rPr>
        <w:t>表；</w:t>
      </w:r>
    </w:p>
    <w:p>
      <w:pPr>
        <w:rPr>
          <w:rFonts w:ascii="Times New Roman" w:hAnsi="Times New Roman" w:cs="Times New Roman"/>
          <w:b/>
          <w:bCs/>
          <w:color w:val="auto"/>
          <w:sz w:val="28"/>
          <w:szCs w:val="28"/>
          <w:highlight w:val="none"/>
        </w:rPr>
      </w:pPr>
      <w:r>
        <w:rPr>
          <w:rFonts w:ascii="Times New Roman" w:hAnsi="Times New Roman" w:cs="Times New Roman"/>
          <w:b/>
          <w:bCs/>
          <w:color w:val="auto"/>
          <w:sz w:val="28"/>
          <w:szCs w:val="28"/>
          <w:highlight w:val="none"/>
        </w:rPr>
        <w:t>附件：</w:t>
      </w:r>
    </w:p>
    <w:p>
      <w:pPr>
        <w:numPr>
          <w:ilvl w:val="0"/>
          <w:numId w:val="1"/>
        </w:numPr>
        <w:spacing w:line="360" w:lineRule="auto"/>
        <w:ind w:firstLine="480" w:firstLineChars="200"/>
        <w:rPr>
          <w:rFonts w:ascii="Times New Roman" w:hAnsi="Times New Roman" w:eastAsia="仿宋_GB2312" w:cs="Times New Roman"/>
          <w:color w:val="auto"/>
          <w:szCs w:val="24"/>
          <w:highlight w:val="none"/>
        </w:rPr>
      </w:pPr>
      <w:bookmarkStart w:id="7" w:name="OLE_LINK2"/>
      <w:r>
        <w:rPr>
          <w:rFonts w:ascii="Times New Roman" w:hAnsi="Times New Roman" w:eastAsia="仿宋_GB2312" w:cs="Times New Roman"/>
          <w:color w:val="auto"/>
          <w:szCs w:val="24"/>
          <w:highlight w:val="none"/>
        </w:rPr>
        <w:t>青山湖高新技术产业园部分区域水土保持</w:t>
      </w:r>
      <w:r>
        <w:rPr>
          <w:rFonts w:hint="eastAsia" w:ascii="Times New Roman" w:hAnsi="Times New Roman" w:eastAsia="仿宋_GB2312" w:cs="Times New Roman"/>
          <w:color w:val="auto"/>
          <w:szCs w:val="24"/>
          <w:highlight w:val="none"/>
        </w:rPr>
        <w:t>区域</w:t>
      </w:r>
      <w:r>
        <w:rPr>
          <w:rFonts w:ascii="Times New Roman" w:hAnsi="Times New Roman" w:eastAsia="仿宋_GB2312" w:cs="Times New Roman"/>
          <w:color w:val="auto"/>
          <w:szCs w:val="24"/>
          <w:highlight w:val="none"/>
        </w:rPr>
        <w:t>评估报告书委托书；</w:t>
      </w:r>
    </w:p>
    <w:p>
      <w:pPr>
        <w:numPr>
          <w:ilvl w:val="0"/>
          <w:numId w:val="1"/>
        </w:numPr>
        <w:spacing w:line="360" w:lineRule="auto"/>
        <w:ind w:firstLine="480" w:firstLineChars="200"/>
        <w:rPr>
          <w:rFonts w:ascii="Times New Roman" w:hAnsi="Times New Roman" w:eastAsia="仿宋_GB2312" w:cs="Times New Roman"/>
          <w:color w:val="auto"/>
          <w:szCs w:val="24"/>
          <w:highlight w:val="none"/>
        </w:rPr>
      </w:pPr>
      <w:r>
        <w:rPr>
          <w:rFonts w:hint="eastAsia" w:ascii="Times New Roman" w:hAnsi="Times New Roman" w:eastAsia="仿宋_GB2312" w:cs="Times New Roman"/>
          <w:color w:val="auto"/>
          <w:szCs w:val="24"/>
          <w:highlight w:val="none"/>
        </w:rPr>
        <w:t>《关于明确南昌市区域性评估评价试点区域的请示》（洪发改文[2020]148号）；</w:t>
      </w:r>
    </w:p>
    <w:p>
      <w:pPr>
        <w:numPr>
          <w:ilvl w:val="0"/>
          <w:numId w:val="1"/>
        </w:numPr>
        <w:spacing w:line="360" w:lineRule="auto"/>
        <w:ind w:firstLine="480" w:firstLineChars="200"/>
        <w:rPr>
          <w:rFonts w:ascii="Times New Roman" w:hAnsi="Times New Roman" w:eastAsia="仿宋_GB2312" w:cs="Times New Roman"/>
          <w:color w:val="auto"/>
          <w:szCs w:val="24"/>
          <w:highlight w:val="none"/>
        </w:rPr>
      </w:pPr>
      <w:r>
        <w:rPr>
          <w:rFonts w:hint="eastAsia" w:ascii="Times New Roman" w:hAnsi="Times New Roman" w:eastAsia="仿宋_GB2312" w:cs="Times New Roman"/>
          <w:color w:val="auto"/>
          <w:szCs w:val="24"/>
          <w:highlight w:val="none"/>
        </w:rPr>
        <w:t>《南昌电子信息（LED）产业创新示范园（二期）一组团项目水土保持方案报告书的批复》（湖农字〔2021〕26号）；</w:t>
      </w:r>
    </w:p>
    <w:p>
      <w:pPr>
        <w:numPr>
          <w:ilvl w:val="0"/>
          <w:numId w:val="1"/>
        </w:numPr>
        <w:spacing w:line="360" w:lineRule="auto"/>
        <w:ind w:firstLine="480" w:firstLineChars="200"/>
        <w:rPr>
          <w:rFonts w:ascii="Times New Roman" w:hAnsi="Times New Roman" w:eastAsia="仿宋_GB2312" w:cs="Times New Roman"/>
          <w:color w:val="auto"/>
          <w:szCs w:val="24"/>
          <w:highlight w:val="none"/>
        </w:rPr>
      </w:pPr>
      <w:r>
        <w:rPr>
          <w:rFonts w:hint="eastAsia" w:ascii="Times New Roman" w:hAnsi="Times New Roman" w:eastAsia="仿宋_GB2312" w:cs="Times New Roman"/>
          <w:color w:val="auto"/>
          <w:szCs w:val="24"/>
          <w:highlight w:val="none"/>
        </w:rPr>
        <w:t>土方承诺函；</w:t>
      </w:r>
    </w:p>
    <w:p>
      <w:pPr>
        <w:numPr>
          <w:ilvl w:val="0"/>
          <w:numId w:val="1"/>
        </w:numPr>
        <w:spacing w:line="360" w:lineRule="auto"/>
        <w:ind w:firstLine="480" w:firstLineChars="200"/>
        <w:rPr>
          <w:rFonts w:ascii="Times New Roman" w:hAnsi="Times New Roman" w:eastAsia="仿宋_GB2312" w:cs="Times New Roman"/>
          <w:color w:val="auto"/>
          <w:szCs w:val="24"/>
          <w:highlight w:val="none"/>
        </w:rPr>
      </w:pPr>
      <w:r>
        <w:rPr>
          <w:rFonts w:hint="eastAsia" w:ascii="Times New Roman" w:hAnsi="Times New Roman" w:eastAsia="仿宋_GB2312" w:cs="Times New Roman"/>
          <w:color w:val="auto"/>
          <w:szCs w:val="24"/>
          <w:highlight w:val="none"/>
        </w:rPr>
        <w:t>矢量文件；</w:t>
      </w:r>
    </w:p>
    <w:p>
      <w:pPr>
        <w:pStyle w:val="2"/>
        <w:numPr>
          <w:ilvl w:val="0"/>
          <w:numId w:val="1"/>
        </w:numPr>
        <w:ind w:left="0" w:leftChars="0" w:firstLine="480" w:firstLineChars="200"/>
        <w:rPr>
          <w:rFonts w:hint="eastAsia" w:ascii="Times New Roman" w:hAnsi="Times New Roman" w:eastAsia="仿宋_GB2312" w:cs="Times New Roman"/>
          <w:color w:val="auto"/>
          <w:szCs w:val="24"/>
          <w:highlight w:val="none"/>
          <w:lang w:val="en-US" w:eastAsia="zh-CN"/>
        </w:rPr>
      </w:pPr>
      <w:r>
        <w:rPr>
          <w:rFonts w:hint="eastAsia" w:ascii="Times New Roman" w:hAnsi="Times New Roman" w:eastAsia="仿宋_GB2312" w:cs="Times New Roman"/>
          <w:color w:val="auto"/>
          <w:szCs w:val="24"/>
          <w:highlight w:val="none"/>
          <w:lang w:val="en-US" w:eastAsia="zh-CN"/>
        </w:rPr>
        <w:t>技术评审意见；</w:t>
      </w:r>
    </w:p>
    <w:p>
      <w:pPr>
        <w:pStyle w:val="2"/>
        <w:numPr>
          <w:ilvl w:val="0"/>
          <w:numId w:val="1"/>
        </w:numPr>
        <w:ind w:left="0" w:leftChars="0" w:firstLine="480" w:firstLineChars="200"/>
        <w:rPr>
          <w:rFonts w:hint="eastAsia" w:ascii="Times New Roman" w:hAnsi="Times New Roman" w:eastAsia="仿宋_GB2312" w:cs="Times New Roman"/>
          <w:color w:val="auto"/>
          <w:szCs w:val="24"/>
          <w:highlight w:val="none"/>
          <w:lang w:val="en-US" w:eastAsia="zh-CN"/>
        </w:rPr>
      </w:pPr>
      <w:r>
        <w:rPr>
          <w:rFonts w:hint="eastAsia" w:ascii="Times New Roman" w:hAnsi="Times New Roman" w:eastAsia="仿宋_GB2312" w:cs="Times New Roman"/>
          <w:color w:val="auto"/>
          <w:szCs w:val="24"/>
          <w:highlight w:val="none"/>
          <w:lang w:val="en-US" w:eastAsia="zh-CN"/>
        </w:rPr>
        <w:t>修改说明。</w:t>
      </w:r>
      <w:bookmarkEnd w:id="7"/>
    </w:p>
    <w:p>
      <w:pPr>
        <w:rPr>
          <w:rFonts w:ascii="Times New Roman" w:hAnsi="Times New Roman" w:cs="Times New Roman"/>
          <w:b/>
          <w:bCs/>
          <w:color w:val="auto"/>
          <w:sz w:val="28"/>
          <w:szCs w:val="28"/>
        </w:rPr>
      </w:pPr>
      <w:r>
        <w:rPr>
          <w:rFonts w:ascii="Times New Roman" w:hAnsi="Times New Roman" w:cs="Times New Roman"/>
          <w:b/>
          <w:bCs/>
          <w:color w:val="auto"/>
          <w:sz w:val="28"/>
          <w:szCs w:val="28"/>
        </w:rPr>
        <w:t>附图：</w:t>
      </w:r>
    </w:p>
    <w:p>
      <w:pPr>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1、项目地理位置图</w:t>
      </w:r>
      <w:r>
        <w:rPr>
          <w:rFonts w:hint="eastAsia" w:ascii="Times New Roman" w:hAnsi="Times New Roman" w:eastAsia="仿宋_GB2312" w:cs="Times New Roman"/>
          <w:color w:val="auto"/>
          <w:szCs w:val="24"/>
        </w:rPr>
        <w:t>QSHGXJSCYYBFDK-SB-1；</w:t>
      </w:r>
    </w:p>
    <w:p>
      <w:pPr>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2、项目区水系图</w:t>
      </w:r>
      <w:r>
        <w:rPr>
          <w:rFonts w:hint="eastAsia" w:ascii="Times New Roman" w:hAnsi="Times New Roman" w:eastAsia="仿宋_GB2312" w:cs="Times New Roman"/>
          <w:color w:val="auto"/>
          <w:szCs w:val="24"/>
        </w:rPr>
        <w:t>QSHGXJSCYYBFDK-SB-2；</w:t>
      </w:r>
    </w:p>
    <w:p>
      <w:pPr>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3、土壤侵蚀强度分布图</w:t>
      </w:r>
      <w:r>
        <w:rPr>
          <w:rFonts w:hint="eastAsia" w:ascii="Times New Roman" w:hAnsi="Times New Roman" w:eastAsia="仿宋_GB2312" w:cs="Times New Roman"/>
          <w:color w:val="auto"/>
          <w:szCs w:val="24"/>
        </w:rPr>
        <w:t>QSHGXJSCYYBFDK-SB-3；</w:t>
      </w:r>
    </w:p>
    <w:p>
      <w:pPr>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4、项目总体布置图</w:t>
      </w:r>
      <w:r>
        <w:rPr>
          <w:rFonts w:hint="eastAsia" w:ascii="Times New Roman" w:hAnsi="Times New Roman" w:eastAsia="仿宋_GB2312" w:cs="Times New Roman"/>
          <w:color w:val="auto"/>
          <w:szCs w:val="24"/>
        </w:rPr>
        <w:t>QSHGXJSCYYBFDK-SB-4；</w:t>
      </w:r>
    </w:p>
    <w:p>
      <w:pPr>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5、道路工程规划图</w:t>
      </w:r>
      <w:r>
        <w:rPr>
          <w:rFonts w:hint="eastAsia" w:ascii="Times New Roman" w:hAnsi="Times New Roman" w:eastAsia="仿宋_GB2312" w:cs="Times New Roman"/>
          <w:color w:val="auto"/>
          <w:szCs w:val="24"/>
        </w:rPr>
        <w:t>QSHGXJSCYYBFDK-SB-5；</w:t>
      </w:r>
    </w:p>
    <w:p>
      <w:pPr>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6、道路断面设计图</w:t>
      </w:r>
      <w:r>
        <w:rPr>
          <w:rFonts w:hint="eastAsia" w:ascii="Times New Roman" w:hAnsi="Times New Roman" w:eastAsia="仿宋_GB2312" w:cs="Times New Roman"/>
          <w:color w:val="auto"/>
          <w:szCs w:val="24"/>
        </w:rPr>
        <w:t>QSHGXJSCYYBFDK-SB-6；</w:t>
      </w:r>
    </w:p>
    <w:p>
      <w:pPr>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7、雨水管网规划图</w:t>
      </w:r>
      <w:r>
        <w:rPr>
          <w:rFonts w:hint="eastAsia" w:ascii="Times New Roman" w:hAnsi="Times New Roman" w:eastAsia="仿宋_GB2312" w:cs="Times New Roman"/>
          <w:color w:val="auto"/>
          <w:szCs w:val="24"/>
        </w:rPr>
        <w:t>QSHGXJSCYYBFDK-SB-7；</w:t>
      </w:r>
    </w:p>
    <w:p>
      <w:pPr>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8、青山湖区水土流失重点防治区划分图</w:t>
      </w:r>
      <w:r>
        <w:rPr>
          <w:rFonts w:hint="eastAsia" w:ascii="Times New Roman" w:hAnsi="Times New Roman" w:eastAsia="仿宋_GB2312" w:cs="Times New Roman"/>
          <w:color w:val="auto"/>
          <w:szCs w:val="24"/>
        </w:rPr>
        <w:t>QSHGXJSCYYBFDK-SB-8；</w:t>
      </w:r>
    </w:p>
    <w:p>
      <w:pPr>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9、水土流失防治责任范围及防治分区图</w:t>
      </w:r>
      <w:r>
        <w:rPr>
          <w:rFonts w:hint="eastAsia" w:ascii="Times New Roman" w:hAnsi="Times New Roman" w:eastAsia="仿宋_GB2312" w:cs="Times New Roman"/>
          <w:color w:val="auto"/>
          <w:szCs w:val="24"/>
        </w:rPr>
        <w:t>QSHGXJSCYYBFDK-SB-9；</w:t>
      </w:r>
    </w:p>
    <w:p>
      <w:pPr>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10、路基施工期断面设计图</w:t>
      </w:r>
      <w:r>
        <w:rPr>
          <w:rFonts w:hint="eastAsia" w:ascii="Times New Roman" w:hAnsi="Times New Roman" w:eastAsia="仿宋_GB2312" w:cs="Times New Roman"/>
          <w:color w:val="auto"/>
          <w:szCs w:val="24"/>
        </w:rPr>
        <w:t>QSHGXJSCYYBFDK-SB-10；</w:t>
      </w:r>
    </w:p>
    <w:p>
      <w:pPr>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11、临时排水沟、沉沙池典型设计图</w:t>
      </w:r>
      <w:r>
        <w:rPr>
          <w:rFonts w:hint="eastAsia" w:ascii="Times New Roman" w:hAnsi="Times New Roman" w:eastAsia="仿宋_GB2312" w:cs="Times New Roman"/>
          <w:color w:val="auto"/>
          <w:szCs w:val="24"/>
        </w:rPr>
        <w:t>QSHGXJSCYYBFDK-SB-11；</w:t>
      </w:r>
    </w:p>
    <w:p>
      <w:pPr>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12、综合管廊断面设计图</w:t>
      </w:r>
      <w:r>
        <w:rPr>
          <w:rFonts w:hint="eastAsia" w:ascii="Times New Roman" w:hAnsi="Times New Roman" w:eastAsia="仿宋_GB2312" w:cs="Times New Roman"/>
          <w:color w:val="auto"/>
          <w:szCs w:val="24"/>
        </w:rPr>
        <w:t>QSHGXJSCYYBFDK-SB-12；</w:t>
      </w:r>
    </w:p>
    <w:p>
      <w:pPr>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13、基坑排水沟、沉沙池典型设计图</w:t>
      </w:r>
      <w:r>
        <w:rPr>
          <w:rFonts w:hint="eastAsia" w:ascii="Times New Roman" w:hAnsi="Times New Roman" w:eastAsia="仿宋_GB2312" w:cs="Times New Roman"/>
          <w:color w:val="auto"/>
          <w:szCs w:val="24"/>
        </w:rPr>
        <w:t>QSHGXJSCYYBFDK-SB-13；</w:t>
      </w:r>
    </w:p>
    <w:p>
      <w:pPr>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14、场地平整措施典型设计图</w:t>
      </w:r>
      <w:r>
        <w:rPr>
          <w:rFonts w:hint="eastAsia" w:ascii="Times New Roman" w:hAnsi="Times New Roman" w:eastAsia="仿宋_GB2312" w:cs="Times New Roman"/>
          <w:color w:val="auto"/>
          <w:szCs w:val="24"/>
        </w:rPr>
        <w:t>QSHGXJSCYYBFDK-SB-14；</w:t>
      </w:r>
    </w:p>
    <w:p>
      <w:pPr>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15、撒播草籽典型设计图</w:t>
      </w:r>
      <w:r>
        <w:rPr>
          <w:rFonts w:hint="eastAsia" w:ascii="Times New Roman" w:hAnsi="Times New Roman" w:eastAsia="仿宋_GB2312" w:cs="Times New Roman"/>
          <w:color w:val="auto"/>
          <w:szCs w:val="24"/>
        </w:rPr>
        <w:t>QSHGXJSCYYBFDK-SB-15；</w:t>
      </w:r>
    </w:p>
    <w:p>
      <w:pPr>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16、公园绿地防护措施典型设计图</w:t>
      </w:r>
      <w:r>
        <w:rPr>
          <w:rFonts w:hint="eastAsia" w:ascii="Times New Roman" w:hAnsi="Times New Roman" w:eastAsia="仿宋_GB2312" w:cs="Times New Roman"/>
          <w:color w:val="auto"/>
          <w:szCs w:val="24"/>
        </w:rPr>
        <w:t>QSHGXJSCYYBFDK-SB-16；</w:t>
      </w:r>
    </w:p>
    <w:p>
      <w:pPr>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17、植草沟典型设计图</w:t>
      </w:r>
      <w:r>
        <w:rPr>
          <w:rFonts w:hint="eastAsia" w:ascii="Times New Roman" w:hAnsi="Times New Roman" w:eastAsia="仿宋_GB2312" w:cs="Times New Roman"/>
          <w:color w:val="auto"/>
          <w:szCs w:val="24"/>
        </w:rPr>
        <w:t>QSHGXJSCYYBFDK-SB-17；</w:t>
      </w:r>
    </w:p>
    <w:p>
      <w:pPr>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18、</w:t>
      </w:r>
      <w:r>
        <w:rPr>
          <w:rFonts w:hint="eastAsia" w:ascii="Times New Roman" w:hAnsi="Times New Roman" w:eastAsia="仿宋_GB2312" w:cs="Times New Roman"/>
          <w:color w:val="auto"/>
          <w:szCs w:val="24"/>
        </w:rPr>
        <w:t>临时堆土场</w:t>
      </w:r>
      <w:r>
        <w:rPr>
          <w:rFonts w:ascii="Times New Roman" w:hAnsi="Times New Roman" w:eastAsia="仿宋_GB2312" w:cs="Times New Roman"/>
          <w:color w:val="auto"/>
          <w:szCs w:val="24"/>
        </w:rPr>
        <w:t>断面设计图</w:t>
      </w:r>
      <w:r>
        <w:rPr>
          <w:rFonts w:hint="eastAsia" w:ascii="Times New Roman" w:hAnsi="Times New Roman" w:eastAsia="仿宋_GB2312" w:cs="Times New Roman"/>
          <w:color w:val="auto"/>
          <w:szCs w:val="24"/>
        </w:rPr>
        <w:t>QSHGXJSCYYBFDK-SB-18；</w:t>
      </w:r>
    </w:p>
    <w:p>
      <w:pPr>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19、苗木移栽区措施布局图</w:t>
      </w:r>
      <w:r>
        <w:rPr>
          <w:rFonts w:hint="eastAsia" w:ascii="Times New Roman" w:hAnsi="Times New Roman" w:eastAsia="仿宋_GB2312" w:cs="Times New Roman"/>
          <w:color w:val="auto"/>
          <w:szCs w:val="24"/>
        </w:rPr>
        <w:t>QSHGXJSCYYBFDK-SB-</w:t>
      </w:r>
      <w:r>
        <w:rPr>
          <w:rFonts w:hint="eastAsia" w:ascii="Times New Roman" w:hAnsi="Times New Roman" w:eastAsia="仿宋_GB2312" w:cs="Times New Roman"/>
          <w:color w:val="auto"/>
          <w:szCs w:val="24"/>
          <w:lang w:val="en-US" w:eastAsia="zh-CN"/>
        </w:rPr>
        <w:t>19</w:t>
      </w:r>
      <w:r>
        <w:rPr>
          <w:rFonts w:hint="eastAsia" w:ascii="Times New Roman" w:hAnsi="Times New Roman" w:eastAsia="仿宋_GB2312" w:cs="Times New Roman"/>
          <w:color w:val="auto"/>
          <w:szCs w:val="24"/>
        </w:rPr>
        <w:t>。</w:t>
      </w:r>
    </w:p>
    <w:p>
      <w:pPr>
        <w:spacing w:line="360" w:lineRule="auto"/>
        <w:ind w:firstLine="560" w:firstLineChars="200"/>
        <w:jc w:val="left"/>
        <w:rPr>
          <w:rFonts w:eastAsia="仿宋_GB2312"/>
          <w:color w:val="auto"/>
          <w:sz w:val="28"/>
          <w:szCs w:val="28"/>
        </w:rPr>
      </w:pPr>
    </w:p>
    <w:p>
      <w:pPr>
        <w:spacing w:line="360" w:lineRule="auto"/>
        <w:ind w:firstLine="560" w:firstLineChars="200"/>
        <w:jc w:val="left"/>
        <w:rPr>
          <w:rFonts w:eastAsia="仿宋_GB2312"/>
          <w:color w:val="auto"/>
          <w:sz w:val="28"/>
          <w:szCs w:val="28"/>
        </w:rPr>
      </w:pPr>
    </w:p>
    <w:p>
      <w:pPr>
        <w:spacing w:line="360" w:lineRule="auto"/>
        <w:ind w:firstLine="560" w:firstLineChars="200"/>
        <w:jc w:val="left"/>
        <w:rPr>
          <w:rFonts w:eastAsia="仿宋_GB2312"/>
          <w:color w:val="auto"/>
          <w:sz w:val="28"/>
          <w:szCs w:val="28"/>
        </w:rPr>
      </w:pPr>
    </w:p>
    <w:p>
      <w:pPr>
        <w:spacing w:line="360" w:lineRule="auto"/>
        <w:ind w:firstLine="560" w:firstLineChars="200"/>
        <w:jc w:val="left"/>
        <w:rPr>
          <w:rFonts w:ascii="Times New Roman" w:hAnsi="Times New Roman" w:eastAsia="仿宋_GB2312" w:cs="Times New Roman"/>
          <w:color w:val="auto"/>
          <w:sz w:val="28"/>
          <w:szCs w:val="28"/>
        </w:rPr>
      </w:pPr>
    </w:p>
    <w:p>
      <w:pPr>
        <w:spacing w:line="360" w:lineRule="auto"/>
        <w:ind w:firstLine="560" w:firstLineChars="200"/>
        <w:jc w:val="left"/>
        <w:rPr>
          <w:rFonts w:ascii="Times New Roman" w:hAnsi="Times New Roman" w:eastAsia="仿宋_GB2312" w:cs="Times New Roman"/>
          <w:color w:val="auto"/>
          <w:sz w:val="28"/>
          <w:szCs w:val="28"/>
        </w:rPr>
      </w:pPr>
    </w:p>
    <w:p>
      <w:pPr>
        <w:spacing w:line="360" w:lineRule="auto"/>
        <w:ind w:firstLine="560" w:firstLineChars="200"/>
        <w:jc w:val="left"/>
        <w:rPr>
          <w:rFonts w:ascii="Times New Roman" w:hAnsi="Times New Roman" w:eastAsia="仿宋_GB2312" w:cs="Times New Roman"/>
          <w:color w:val="auto"/>
          <w:sz w:val="28"/>
          <w:szCs w:val="28"/>
        </w:rPr>
      </w:pPr>
    </w:p>
    <w:p>
      <w:pPr>
        <w:spacing w:line="360" w:lineRule="auto"/>
        <w:ind w:firstLine="560" w:firstLineChars="200"/>
        <w:jc w:val="left"/>
        <w:rPr>
          <w:rFonts w:ascii="Times New Roman" w:hAnsi="Times New Roman" w:eastAsia="仿宋_GB2312" w:cs="Times New Roman"/>
          <w:color w:val="auto"/>
          <w:sz w:val="28"/>
          <w:szCs w:val="28"/>
        </w:rPr>
      </w:pPr>
    </w:p>
    <w:p>
      <w:pPr>
        <w:spacing w:line="360" w:lineRule="auto"/>
        <w:ind w:firstLine="560" w:firstLineChars="200"/>
        <w:jc w:val="left"/>
        <w:rPr>
          <w:rFonts w:ascii="Times New Roman" w:hAnsi="Times New Roman" w:eastAsia="仿宋_GB2312" w:cs="Times New Roman"/>
          <w:color w:val="auto"/>
          <w:sz w:val="28"/>
          <w:szCs w:val="28"/>
        </w:rPr>
      </w:pPr>
    </w:p>
    <w:p>
      <w:pPr>
        <w:spacing w:line="360" w:lineRule="auto"/>
        <w:ind w:firstLine="560" w:firstLineChars="200"/>
        <w:jc w:val="left"/>
        <w:rPr>
          <w:rFonts w:ascii="Times New Roman" w:hAnsi="Times New Roman" w:eastAsia="仿宋_GB2312" w:cs="Times New Roman"/>
          <w:color w:val="auto"/>
          <w:sz w:val="28"/>
          <w:szCs w:val="28"/>
        </w:rPr>
      </w:pPr>
    </w:p>
    <w:p>
      <w:pPr>
        <w:spacing w:line="360" w:lineRule="auto"/>
        <w:ind w:firstLine="560" w:firstLineChars="200"/>
        <w:jc w:val="left"/>
        <w:rPr>
          <w:rFonts w:ascii="Times New Roman" w:hAnsi="Times New Roman" w:eastAsia="仿宋_GB2312" w:cs="Times New Roman"/>
          <w:color w:val="auto"/>
          <w:sz w:val="28"/>
          <w:szCs w:val="28"/>
        </w:rPr>
      </w:pPr>
    </w:p>
    <w:p>
      <w:pPr>
        <w:spacing w:line="360" w:lineRule="auto"/>
        <w:ind w:firstLine="560" w:firstLineChars="200"/>
        <w:jc w:val="left"/>
        <w:rPr>
          <w:rFonts w:ascii="Times New Roman" w:hAnsi="Times New Roman" w:eastAsia="仿宋_GB2312" w:cs="Times New Roman"/>
          <w:color w:val="auto"/>
          <w:sz w:val="28"/>
          <w:szCs w:val="28"/>
        </w:rPr>
      </w:pPr>
    </w:p>
    <w:p>
      <w:pPr>
        <w:spacing w:line="360" w:lineRule="auto"/>
        <w:ind w:firstLine="560" w:firstLineChars="200"/>
        <w:jc w:val="left"/>
        <w:rPr>
          <w:rFonts w:ascii="Times New Roman" w:hAnsi="Times New Roman" w:eastAsia="仿宋_GB2312" w:cs="Times New Roman"/>
          <w:color w:val="auto"/>
          <w:sz w:val="28"/>
          <w:szCs w:val="28"/>
        </w:rPr>
      </w:pPr>
    </w:p>
    <w:p>
      <w:pPr>
        <w:spacing w:line="360" w:lineRule="auto"/>
        <w:ind w:firstLine="560" w:firstLineChars="200"/>
        <w:jc w:val="left"/>
        <w:rPr>
          <w:rFonts w:ascii="Times New Roman" w:hAnsi="Times New Roman" w:eastAsia="仿宋_GB2312" w:cs="Times New Roman"/>
          <w:color w:val="auto"/>
          <w:sz w:val="28"/>
          <w:szCs w:val="28"/>
        </w:rPr>
      </w:pPr>
    </w:p>
    <w:p>
      <w:pPr>
        <w:spacing w:line="360" w:lineRule="auto"/>
        <w:ind w:left="1234" w:leftChars="514" w:firstLine="720" w:firstLineChars="300"/>
        <w:rPr>
          <w:rFonts w:ascii="Times New Roman" w:hAnsi="Times New Roman" w:cs="Times New Roman"/>
          <w:color w:val="auto"/>
          <w:szCs w:val="24"/>
        </w:rPr>
      </w:pPr>
    </w:p>
    <w:p>
      <w:pPr>
        <w:spacing w:line="360" w:lineRule="auto"/>
        <w:ind w:left="1234" w:leftChars="514" w:firstLine="720" w:firstLineChars="300"/>
        <w:rPr>
          <w:rFonts w:ascii="Times New Roman" w:hAnsi="Times New Roman" w:cs="Times New Roman"/>
          <w:color w:val="auto"/>
          <w:szCs w:val="24"/>
        </w:rPr>
      </w:pPr>
    </w:p>
    <w:p>
      <w:pPr>
        <w:spacing w:line="360" w:lineRule="auto"/>
        <w:ind w:left="1234" w:leftChars="514" w:firstLine="720" w:firstLineChars="300"/>
        <w:rPr>
          <w:rFonts w:ascii="Times New Roman" w:hAnsi="Times New Roman" w:cs="Times New Roman"/>
          <w:color w:val="auto"/>
          <w:szCs w:val="24"/>
        </w:rPr>
      </w:pPr>
    </w:p>
    <w:p>
      <w:pPr>
        <w:spacing w:line="360" w:lineRule="auto"/>
        <w:ind w:left="1234" w:leftChars="514" w:firstLine="720" w:firstLineChars="300"/>
        <w:rPr>
          <w:rFonts w:ascii="Times New Roman" w:hAnsi="Times New Roman" w:cs="Times New Roman"/>
          <w:color w:val="auto"/>
          <w:szCs w:val="24"/>
        </w:rPr>
      </w:pPr>
    </w:p>
    <w:p>
      <w:pPr>
        <w:spacing w:line="360" w:lineRule="auto"/>
        <w:ind w:left="1234" w:leftChars="514" w:firstLine="720" w:firstLineChars="300"/>
        <w:rPr>
          <w:rFonts w:ascii="Times New Roman" w:hAnsi="Times New Roman" w:cs="Times New Roman"/>
          <w:color w:val="auto"/>
          <w:szCs w:val="24"/>
        </w:rPr>
        <w:sectPr>
          <w:headerReference r:id="rId8" w:type="default"/>
          <w:footerReference r:id="rId9" w:type="default"/>
          <w:pgSz w:w="11906" w:h="16838"/>
          <w:pgMar w:top="1440" w:right="1803" w:bottom="1440" w:left="1803" w:header="851" w:footer="992" w:gutter="0"/>
          <w:pgBorders>
            <w:top w:val="none" w:sz="0" w:space="0"/>
            <w:left w:val="none" w:sz="0" w:space="0"/>
            <w:bottom w:val="none" w:sz="0" w:space="0"/>
            <w:right w:val="none" w:sz="0" w:space="0"/>
          </w:pgBorders>
          <w:pgNumType w:fmt="upperRoman" w:start="1"/>
          <w:cols w:space="720" w:num="1"/>
          <w:docGrid w:type="lines" w:linePitch="332" w:charSpace="0"/>
        </w:sectPr>
      </w:pPr>
    </w:p>
    <w:p>
      <w:pPr>
        <w:pStyle w:val="4"/>
        <w:spacing w:line="240" w:lineRule="auto"/>
        <w:jc w:val="center"/>
        <w:rPr>
          <w:rFonts w:eastAsia="仿宋_GB2312"/>
          <w:color w:val="auto"/>
          <w:sz w:val="32"/>
        </w:rPr>
      </w:pPr>
      <w:bookmarkStart w:id="8" w:name="_Toc514431426"/>
      <w:bookmarkStart w:id="9" w:name="_Toc514430816"/>
      <w:bookmarkStart w:id="10" w:name="_Toc514432570"/>
      <w:bookmarkStart w:id="11" w:name="_Toc25219"/>
      <w:r>
        <w:rPr>
          <w:rFonts w:eastAsia="仿宋_GB2312"/>
          <w:bCs/>
          <w:color w:val="auto"/>
          <w:sz w:val="32"/>
        </w:rPr>
        <w:t xml:space="preserve">1 </w:t>
      </w:r>
      <w:r>
        <w:rPr>
          <w:rFonts w:eastAsia="仿宋_GB2312"/>
          <w:color w:val="auto"/>
          <w:szCs w:val="36"/>
        </w:rPr>
        <w:t>综合说明</w:t>
      </w:r>
      <w:bookmarkEnd w:id="0"/>
      <w:bookmarkEnd w:id="1"/>
      <w:bookmarkEnd w:id="2"/>
      <w:bookmarkEnd w:id="3"/>
      <w:bookmarkEnd w:id="4"/>
      <w:bookmarkEnd w:id="5"/>
      <w:bookmarkEnd w:id="6"/>
      <w:bookmarkEnd w:id="8"/>
      <w:bookmarkEnd w:id="9"/>
      <w:bookmarkEnd w:id="10"/>
      <w:bookmarkEnd w:id="11"/>
    </w:p>
    <w:p>
      <w:pPr>
        <w:pStyle w:val="5"/>
        <w:rPr>
          <w:rFonts w:eastAsia="仿宋_GB2312"/>
          <w:color w:val="auto"/>
        </w:rPr>
      </w:pPr>
      <w:bookmarkStart w:id="12" w:name="_Toc514430817"/>
      <w:bookmarkStart w:id="13" w:name="_Toc28125"/>
      <w:bookmarkStart w:id="14" w:name="_Toc514432571"/>
      <w:bookmarkStart w:id="15" w:name="_Toc514431427"/>
      <w:bookmarkStart w:id="16" w:name="_Toc451799183"/>
      <w:bookmarkStart w:id="17" w:name="_Toc22057"/>
      <w:bookmarkStart w:id="18" w:name="_Toc499039845"/>
      <w:bookmarkStart w:id="19" w:name="_Toc7819"/>
      <w:bookmarkStart w:id="20" w:name="_Toc22762"/>
      <w:bookmarkStart w:id="21" w:name="_Toc7519"/>
      <w:bookmarkStart w:id="22" w:name="_Toc6522"/>
      <w:bookmarkStart w:id="23" w:name="_Toc18392"/>
      <w:r>
        <w:rPr>
          <w:rFonts w:eastAsia="仿宋_GB2312"/>
          <w:color w:val="auto"/>
        </w:rPr>
        <w:t>1.1</w:t>
      </w:r>
      <w:r>
        <w:rPr>
          <w:rFonts w:hint="eastAsia" w:eastAsia="仿宋_GB2312"/>
          <w:color w:val="auto"/>
        </w:rPr>
        <w:t>区域</w:t>
      </w:r>
      <w:r>
        <w:rPr>
          <w:rFonts w:eastAsia="仿宋_GB2312"/>
          <w:color w:val="auto"/>
        </w:rPr>
        <w:t>简况</w:t>
      </w:r>
      <w:bookmarkEnd w:id="12"/>
      <w:bookmarkEnd w:id="13"/>
      <w:bookmarkEnd w:id="14"/>
      <w:bookmarkEnd w:id="15"/>
      <w:bookmarkEnd w:id="16"/>
      <w:bookmarkEnd w:id="17"/>
      <w:bookmarkEnd w:id="18"/>
    </w:p>
    <w:p>
      <w:pPr>
        <w:pStyle w:val="6"/>
        <w:rPr>
          <w:rFonts w:eastAsia="仿宋_GB2312"/>
          <w:bCs w:val="0"/>
          <w:color w:val="auto"/>
          <w:szCs w:val="30"/>
        </w:rPr>
      </w:pPr>
      <w:bookmarkStart w:id="24" w:name="_Toc864"/>
      <w:r>
        <w:rPr>
          <w:rFonts w:eastAsia="仿宋_GB2312"/>
          <w:bCs w:val="0"/>
          <w:color w:val="auto"/>
          <w:szCs w:val="30"/>
        </w:rPr>
        <w:t>1.1.1</w:t>
      </w:r>
      <w:bookmarkEnd w:id="24"/>
      <w:r>
        <w:rPr>
          <w:rFonts w:hint="eastAsia" w:eastAsia="仿宋_GB2312"/>
          <w:bCs w:val="0"/>
          <w:color w:val="auto"/>
          <w:szCs w:val="30"/>
        </w:rPr>
        <w:t>区域</w:t>
      </w:r>
      <w:r>
        <w:rPr>
          <w:rFonts w:eastAsia="仿宋_GB2312"/>
          <w:bCs w:val="0"/>
          <w:color w:val="auto"/>
          <w:szCs w:val="30"/>
        </w:rPr>
        <w:t>基本情况</w:t>
      </w:r>
    </w:p>
    <w:p>
      <w:pPr>
        <w:autoSpaceDE w:val="0"/>
        <w:autoSpaceDN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（1）区域开发建设必要性</w:t>
      </w:r>
    </w:p>
    <w:p>
      <w:pPr>
        <w:autoSpaceDE w:val="0"/>
        <w:autoSpaceDN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南昌市为进一步深化简政放权、放管结合、优化服务，根据南昌市人民政府《关于印发南昌市推行“六多合一”审批服务模式实施方案及各实施细则的通知》（洪府发[2019]13号）的要求，由南昌市发改委牵头，会同南昌市行政审批局负责组织推进南昌市建设项目区域性评估评价工作，大力推进“六多合一”审批服务改革。在南昌市部分县（区）及以上及开发区、新区、产业园区、产业集聚区等范围内的开展节能审查、</w:t>
      </w:r>
      <w:r>
        <w:rPr>
          <w:rFonts w:hint="eastAsia" w:ascii="Times New Roman" w:hAnsi="Times New Roman" w:eastAsia="仿宋_GB2312" w:cs="Times New Roman"/>
          <w:b/>
          <w:color w:val="auto"/>
          <w:szCs w:val="24"/>
        </w:rPr>
        <w:t>水土保持方案</w:t>
      </w:r>
      <w:r>
        <w:rPr>
          <w:rFonts w:hint="eastAsia" w:ascii="Times New Roman" w:hAnsi="Times New Roman" w:eastAsia="仿宋_GB2312" w:cs="Times New Roman"/>
          <w:color w:val="auto"/>
          <w:szCs w:val="24"/>
        </w:rPr>
        <w:t>、水资源论证报告、地震安全性评价、地质灾害危险性评估、建设项目环境影响评价、建设项目安全预评价、气候可行性论证、交通影响评价等11项区域性评估评价事项。</w:t>
      </w:r>
      <w:r>
        <w:rPr>
          <w:rFonts w:ascii="Times New Roman" w:hAnsi="Times New Roman" w:eastAsia="仿宋_GB2312" w:cs="Times New Roman"/>
          <w:color w:val="auto"/>
          <w:szCs w:val="24"/>
          <w:lang w:val="zh-CN"/>
        </w:rPr>
        <w:t>青山湖高新技术产业园部分区域的区域评估属青山湖先行区试点区域</w:t>
      </w:r>
      <w:r>
        <w:rPr>
          <w:rFonts w:hint="eastAsia" w:ascii="Times New Roman" w:hAnsi="Times New Roman" w:eastAsia="仿宋_GB2312" w:cs="Times New Roman"/>
          <w:color w:val="auto"/>
          <w:szCs w:val="24"/>
        </w:rPr>
        <w:t>。因此</w:t>
      </w:r>
      <w:r>
        <w:rPr>
          <w:rFonts w:ascii="Times New Roman" w:hAnsi="Times New Roman" w:eastAsia="仿宋_GB2312" w:cs="Times New Roman"/>
          <w:color w:val="auto"/>
          <w:szCs w:val="24"/>
          <w:lang w:val="zh-CN"/>
        </w:rPr>
        <w:t>青山湖高新技术产业园部分区域的区域评估</w:t>
      </w:r>
      <w:r>
        <w:rPr>
          <w:rFonts w:hint="eastAsia" w:ascii="Times New Roman" w:hAnsi="Times New Roman" w:eastAsia="仿宋_GB2312" w:cs="Times New Roman"/>
          <w:color w:val="auto"/>
          <w:szCs w:val="24"/>
        </w:rPr>
        <w:t>是必要的。</w:t>
      </w:r>
    </w:p>
    <w:p>
      <w:pPr>
        <w:autoSpaceDE w:val="0"/>
        <w:autoSpaceDN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b w:val="0"/>
          <w:bCs w:val="0"/>
          <w:color w:val="auto"/>
          <w:szCs w:val="24"/>
        </w:rPr>
        <w:t>青山湖高新技术产业园部分区域</w:t>
      </w:r>
      <w:r>
        <w:rPr>
          <w:rFonts w:hint="eastAsia" w:ascii="Times New Roman" w:hAnsi="Times New Roman" w:eastAsia="仿宋_GB2312" w:cs="Times New Roman"/>
          <w:color w:val="auto"/>
          <w:szCs w:val="24"/>
        </w:rPr>
        <w:t>包含在南昌昌东工业园区扩区调区和南昌市高铁东站周边地区规划内，</w:t>
      </w:r>
      <w:r>
        <w:rPr>
          <w:rFonts w:hint="eastAsia" w:ascii="Times New Roman" w:hAnsi="Times New Roman" w:eastAsia="仿宋_GB2312" w:cs="Times New Roman"/>
          <w:b w:val="0"/>
          <w:bCs w:val="0"/>
          <w:color w:val="auto"/>
          <w:szCs w:val="24"/>
        </w:rPr>
        <w:t>区域</w:t>
      </w:r>
      <w:r>
        <w:rPr>
          <w:rFonts w:hint="eastAsia" w:ascii="Times New Roman" w:hAnsi="Times New Roman" w:eastAsia="仿宋_GB2312" w:cs="Times New Roman"/>
          <w:color w:val="auto"/>
          <w:szCs w:val="24"/>
          <w:lang w:val="zh-CN"/>
        </w:rPr>
        <w:t>位于青山湖区罗家镇，西总干渠水系以东、谢佛路以南、南嵩路以西、昌南大道以北，</w:t>
      </w:r>
      <w:r>
        <w:rPr>
          <w:rFonts w:hint="eastAsia" w:ascii="Times New Roman" w:hAnsi="Times New Roman" w:eastAsia="仿宋_GB2312" w:cs="Times New Roman"/>
          <w:color w:val="auto"/>
          <w:szCs w:val="24"/>
        </w:rPr>
        <w:t>用地面积100hm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是为围绕“生态型、集约化、高效益”总体发展目标，坚持以科学发展观为指导，发挥优势，创造特色，创造性地开展工作，以形成区域内电子信息和高端制造为主导产业的新型工业组团，实现发展地方经济和保护生态双赢。因此，青山湖高新技术产业园部分区域的建设是必要的。</w:t>
      </w:r>
    </w:p>
    <w:p>
      <w:pPr>
        <w:autoSpaceDE w:val="0"/>
        <w:autoSpaceDN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（2）项目名称</w:t>
      </w:r>
    </w:p>
    <w:p>
      <w:pPr>
        <w:autoSpaceDE w:val="0"/>
        <w:autoSpaceDN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青山湖高新技术产业园部分区域（以下简称“本项目”）</w:t>
      </w:r>
    </w:p>
    <w:p>
      <w:pPr>
        <w:autoSpaceDE w:val="0"/>
        <w:autoSpaceDN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（3）区域地理位置</w:t>
      </w:r>
    </w:p>
    <w:p>
      <w:pPr>
        <w:autoSpaceDE w:val="0"/>
        <w:autoSpaceDN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本项目</w:t>
      </w:r>
      <w:r>
        <w:rPr>
          <w:rFonts w:ascii="Times New Roman" w:hAnsi="Times New Roman" w:eastAsia="仿宋_GB2312" w:cs="Times New Roman"/>
          <w:color w:val="auto"/>
          <w:szCs w:val="24"/>
          <w:lang w:val="zh-CN"/>
        </w:rPr>
        <w:t>位于</w:t>
      </w:r>
      <w:r>
        <w:rPr>
          <w:rFonts w:hint="eastAsia" w:ascii="Times New Roman" w:hAnsi="Times New Roman" w:eastAsia="仿宋_GB2312" w:cs="Times New Roman"/>
          <w:color w:val="auto"/>
          <w:szCs w:val="24"/>
          <w:lang w:val="zh-CN"/>
        </w:rPr>
        <w:t>南昌市青山湖区罗家镇，西总干渠水系以东、谢佛路以南、南嵩路以西、昌南大道以北，中心地理坐标为东经115°59′11″、北纬28°35′42"。</w:t>
      </w:r>
    </w:p>
    <w:p>
      <w:pPr>
        <w:autoSpaceDE w:val="0"/>
        <w:autoSpaceDN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（3）建设性质</w:t>
      </w:r>
    </w:p>
    <w:p>
      <w:pPr>
        <w:autoSpaceDE w:val="0"/>
        <w:autoSpaceDN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新建建设类</w:t>
      </w:r>
      <w:r>
        <w:rPr>
          <w:rFonts w:hint="eastAsia" w:ascii="Times New Roman" w:hAnsi="Times New Roman" w:eastAsia="仿宋_GB2312" w:cs="Times New Roman"/>
          <w:color w:val="auto"/>
          <w:szCs w:val="24"/>
          <w:lang w:val="en-US" w:eastAsia="zh-CN"/>
        </w:rPr>
        <w:t>项目</w:t>
      </w:r>
      <w:r>
        <w:rPr>
          <w:rFonts w:hint="eastAsia" w:ascii="Times New Roman" w:hAnsi="Times New Roman" w:eastAsia="仿宋_GB2312" w:cs="Times New Roman"/>
          <w:color w:val="auto"/>
          <w:szCs w:val="24"/>
        </w:rPr>
        <w:t>。</w:t>
      </w:r>
    </w:p>
    <w:p>
      <w:pPr>
        <w:autoSpaceDE w:val="0"/>
        <w:autoSpaceDN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（4）规模与等级</w:t>
      </w:r>
    </w:p>
    <w:p>
      <w:pPr>
        <w:autoSpaceDE w:val="0"/>
        <w:autoSpaceDN w:val="0"/>
        <w:snapToGrid w:val="0"/>
        <w:spacing w:line="360" w:lineRule="auto"/>
        <w:ind w:firstLine="480" w:firstLineChars="200"/>
        <w:jc w:val="left"/>
        <w:rPr>
          <w:rFonts w:ascii="Times New Roman" w:hAnsi="Times New Roman" w:eastAsia="仿宋_GB2312" w:cs="Times New Roman"/>
          <w:color w:val="auto"/>
          <w:szCs w:val="24"/>
        </w:rPr>
      </w:pPr>
      <w:bookmarkStart w:id="25" w:name="_Hlk532893006"/>
      <w:r>
        <w:rPr>
          <w:rFonts w:ascii="Times New Roman" w:hAnsi="Times New Roman" w:eastAsia="仿宋_GB2312" w:cs="Times New Roman"/>
          <w:color w:val="auto"/>
          <w:szCs w:val="24"/>
          <w:lang w:val="zh-CN"/>
        </w:rPr>
        <w:t>青山湖高新技术产业园部分区域规划面积</w:t>
      </w:r>
      <w:r>
        <w:rPr>
          <w:rFonts w:hint="eastAsia" w:ascii="Times New Roman" w:hAnsi="Times New Roman" w:eastAsia="仿宋_GB2312" w:cs="Times New Roman"/>
          <w:color w:val="auto"/>
          <w:szCs w:val="24"/>
          <w:lang w:val="zh-CN"/>
        </w:rPr>
        <w:t>100hm</w:t>
      </w:r>
      <w:r>
        <w:rPr>
          <w:rFonts w:hint="eastAsia" w:ascii="Times New Roman" w:hAnsi="Times New Roman" w:eastAsia="仿宋_GB2312" w:cs="Times New Roman"/>
          <w:color w:val="auto"/>
          <w:szCs w:val="24"/>
          <w:vertAlign w:val="superscript"/>
          <w:lang w:val="zh-CN"/>
        </w:rPr>
        <w:t>2</w:t>
      </w:r>
      <w:r>
        <w:rPr>
          <w:rFonts w:hint="eastAsia" w:ascii="Times New Roman" w:hAnsi="Times New Roman" w:eastAsia="仿宋_GB2312" w:cs="Times New Roman"/>
          <w:color w:val="auto"/>
          <w:szCs w:val="24"/>
          <w:lang w:val="zh-CN"/>
        </w:rPr>
        <w:t>，包含公共基础设施区和区域规划功能区；主要建设内容为进行场地内“五通一平”和相关市政配套设施建设，包括场平工程，新建道路，敷设给水、雨水、污水、电力、通信和燃气等管道，公园及防护绿地等配套设施。后续入园建设均不属于本项目建设内容。</w:t>
      </w:r>
    </w:p>
    <w:p>
      <w:pPr>
        <w:autoSpaceDE w:val="0"/>
        <w:autoSpaceDN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（5）区域组成</w:t>
      </w:r>
      <w:bookmarkStart w:id="26" w:name="_Toc1113"/>
      <w:bookmarkStart w:id="27" w:name="OLE_LINK6"/>
      <w:bookmarkStart w:id="28" w:name="OLE_LINK5"/>
      <w:r>
        <w:rPr>
          <w:rFonts w:hint="eastAsia" w:ascii="Times New Roman" w:hAnsi="Times New Roman" w:eastAsia="仿宋_GB2312" w:cs="Times New Roman"/>
          <w:color w:val="auto"/>
          <w:szCs w:val="24"/>
        </w:rPr>
        <w:t>、征占地及土石方</w:t>
      </w:r>
    </w:p>
    <w:p>
      <w:pPr>
        <w:autoSpaceDE w:val="0"/>
        <w:autoSpaceDN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评估区域由</w:t>
      </w:r>
      <w:r>
        <w:rPr>
          <w:rFonts w:ascii="Times New Roman" w:hAnsi="Times New Roman" w:eastAsia="仿宋_GB2312" w:cs="Times New Roman"/>
          <w:color w:val="auto"/>
          <w:szCs w:val="24"/>
        </w:rPr>
        <w:t>区域规划功能区</w:t>
      </w:r>
      <w:r>
        <w:rPr>
          <w:rFonts w:hint="eastAsia" w:ascii="Times New Roman" w:hAnsi="Times New Roman" w:eastAsia="仿宋_GB2312" w:cs="Times New Roman"/>
          <w:color w:val="auto"/>
          <w:szCs w:val="24"/>
        </w:rPr>
        <w:t>和</w:t>
      </w:r>
      <w:r>
        <w:rPr>
          <w:rFonts w:ascii="Times New Roman" w:hAnsi="Times New Roman" w:eastAsia="仿宋_GB2312" w:cs="Times New Roman"/>
          <w:color w:val="auto"/>
          <w:szCs w:val="24"/>
        </w:rPr>
        <w:t>公共基础设施区</w:t>
      </w:r>
      <w:r>
        <w:rPr>
          <w:rFonts w:hint="eastAsia" w:ascii="Times New Roman" w:hAnsi="Times New Roman" w:eastAsia="仿宋_GB2312" w:cs="Times New Roman"/>
          <w:color w:val="auto"/>
          <w:szCs w:val="24"/>
        </w:rPr>
        <w:t>组成，</w:t>
      </w:r>
      <w:r>
        <w:rPr>
          <w:rFonts w:ascii="Times New Roman" w:hAnsi="Times New Roman" w:eastAsia="仿宋_GB2312" w:cs="Times New Roman"/>
          <w:color w:val="auto"/>
          <w:szCs w:val="24"/>
        </w:rPr>
        <w:t>总用地面积</w:t>
      </w:r>
      <w:r>
        <w:rPr>
          <w:rFonts w:hint="eastAsia" w:ascii="Times New Roman" w:hAnsi="Times New Roman" w:eastAsia="仿宋_GB2312" w:cs="Times New Roman"/>
          <w:color w:val="auto"/>
          <w:szCs w:val="24"/>
        </w:rPr>
        <w:t>100</w:t>
      </w:r>
      <w:r>
        <w:rPr>
          <w:rFonts w:ascii="Times New Roman" w:hAnsi="Times New Roman" w:eastAsia="仿宋_GB2312" w:cs="Times New Roman"/>
          <w:color w:val="auto"/>
          <w:szCs w:val="24"/>
        </w:rPr>
        <w:t>hm</w:t>
      </w:r>
      <w:r>
        <w:rPr>
          <w:rFonts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均为</w:t>
      </w:r>
      <w:r>
        <w:rPr>
          <w:rFonts w:ascii="Times New Roman" w:hAnsi="Times New Roman" w:eastAsia="仿宋_GB2312" w:cs="Times New Roman"/>
          <w:color w:val="auto"/>
          <w:szCs w:val="24"/>
        </w:rPr>
        <w:t>永久占地</w:t>
      </w:r>
      <w:r>
        <w:rPr>
          <w:rFonts w:hint="eastAsia" w:ascii="Times New Roman" w:hAnsi="Times New Roman" w:eastAsia="仿宋_GB2312" w:cs="Times New Roman"/>
          <w:color w:val="auto"/>
          <w:szCs w:val="24"/>
          <w:lang w:eastAsia="zh-CN"/>
        </w:rPr>
        <w:t>；</w:t>
      </w:r>
      <w:r>
        <w:rPr>
          <w:rFonts w:hint="eastAsia" w:ascii="Times New Roman" w:hAnsi="Times New Roman" w:eastAsia="仿宋_GB2312" w:cs="Times New Roman"/>
          <w:color w:val="auto"/>
          <w:szCs w:val="24"/>
        </w:rPr>
        <w:t>其中：</w:t>
      </w:r>
      <w:r>
        <w:rPr>
          <w:rFonts w:ascii="Times New Roman" w:hAnsi="Times New Roman" w:eastAsia="仿宋_GB2312" w:cs="Times New Roman"/>
          <w:color w:val="auto"/>
          <w:szCs w:val="24"/>
        </w:rPr>
        <w:t>区域规划功能区占地面积</w:t>
      </w:r>
      <w:r>
        <w:rPr>
          <w:rFonts w:hint="eastAsia" w:ascii="Times New Roman" w:hAnsi="Times New Roman" w:eastAsia="仿宋_GB2312" w:cs="Times New Roman"/>
          <w:color w:val="auto"/>
          <w:szCs w:val="24"/>
        </w:rPr>
        <w:t>55.46hm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，占规划区域的55.46%，</w:t>
      </w:r>
      <w:r>
        <w:rPr>
          <w:rFonts w:ascii="Times New Roman" w:hAnsi="Times New Roman" w:eastAsia="仿宋_GB2312" w:cs="Times New Roman"/>
          <w:color w:val="auto"/>
          <w:szCs w:val="24"/>
        </w:rPr>
        <w:t>包</w:t>
      </w:r>
      <w:r>
        <w:rPr>
          <w:rFonts w:hint="eastAsia" w:ascii="Times New Roman" w:hAnsi="Times New Roman" w:eastAsia="仿宋_GB2312" w:cs="Times New Roman"/>
          <w:color w:val="auto"/>
          <w:szCs w:val="24"/>
        </w:rPr>
        <w:t>含工业用地和商业用地2</w:t>
      </w:r>
      <w:r>
        <w:rPr>
          <w:rFonts w:ascii="Times New Roman" w:hAnsi="Times New Roman" w:eastAsia="仿宋_GB2312" w:cs="Times New Roman"/>
          <w:color w:val="auto"/>
          <w:szCs w:val="24"/>
        </w:rPr>
        <w:t>个功能区</w:t>
      </w:r>
      <w:r>
        <w:rPr>
          <w:rFonts w:hint="eastAsia" w:ascii="Times New Roman" w:hAnsi="Times New Roman" w:eastAsia="仿宋_GB2312" w:cs="Times New Roman"/>
          <w:color w:val="auto"/>
          <w:szCs w:val="24"/>
        </w:rPr>
        <w:t>，工业用地面积53.9hm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，商业用地1.56hm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公共基础设施区占地面积</w:t>
      </w:r>
      <w:r>
        <w:rPr>
          <w:rFonts w:hint="eastAsia" w:ascii="Times New Roman" w:hAnsi="Times New Roman" w:eastAsia="仿宋_GB2312" w:cs="Times New Roman"/>
          <w:color w:val="auto"/>
          <w:szCs w:val="24"/>
        </w:rPr>
        <w:t>44.54hm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，占规划区域的44.54%，</w:t>
      </w:r>
      <w:r>
        <w:rPr>
          <w:rFonts w:ascii="Times New Roman" w:hAnsi="Times New Roman" w:eastAsia="仿宋_GB2312" w:cs="Times New Roman"/>
          <w:color w:val="auto"/>
          <w:szCs w:val="24"/>
        </w:rPr>
        <w:t>包</w:t>
      </w:r>
      <w:r>
        <w:rPr>
          <w:rFonts w:hint="eastAsia" w:ascii="Times New Roman" w:hAnsi="Times New Roman" w:eastAsia="仿宋_GB2312" w:cs="Times New Roman"/>
          <w:color w:val="auto"/>
          <w:szCs w:val="24"/>
        </w:rPr>
        <w:t>含</w:t>
      </w:r>
      <w:r>
        <w:rPr>
          <w:rFonts w:ascii="Times New Roman" w:hAnsi="Times New Roman" w:eastAsia="仿宋_GB2312" w:cs="Times New Roman"/>
          <w:color w:val="auto"/>
          <w:szCs w:val="24"/>
        </w:rPr>
        <w:t>道路与交通设施用地、公用设施用地和绿地</w:t>
      </w:r>
      <w:r>
        <w:rPr>
          <w:rFonts w:hint="eastAsia" w:ascii="Times New Roman" w:hAnsi="Times New Roman" w:eastAsia="仿宋_GB2312" w:cs="Times New Roman"/>
          <w:color w:val="auto"/>
          <w:szCs w:val="24"/>
        </w:rPr>
        <w:t>3个功能区，</w:t>
      </w:r>
      <w:r>
        <w:rPr>
          <w:rFonts w:ascii="Times New Roman" w:hAnsi="Times New Roman" w:eastAsia="仿宋_GB2312" w:cs="Times New Roman"/>
          <w:color w:val="auto"/>
          <w:szCs w:val="24"/>
        </w:rPr>
        <w:t>道路与交通设施用地</w:t>
      </w:r>
      <w:r>
        <w:rPr>
          <w:rFonts w:hint="eastAsia" w:ascii="Times New Roman" w:hAnsi="Times New Roman" w:eastAsia="仿宋_GB2312" w:cs="Times New Roman"/>
          <w:color w:val="auto"/>
          <w:szCs w:val="24"/>
        </w:rPr>
        <w:t>面积11.66hm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公用设施用地</w:t>
      </w:r>
      <w:r>
        <w:rPr>
          <w:rFonts w:hint="eastAsia" w:ascii="Times New Roman" w:hAnsi="Times New Roman" w:eastAsia="仿宋_GB2312" w:cs="Times New Roman"/>
          <w:color w:val="auto"/>
          <w:szCs w:val="24"/>
        </w:rPr>
        <w:t>面积12.87hm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绿地</w:t>
      </w:r>
      <w:r>
        <w:rPr>
          <w:rFonts w:hint="eastAsia" w:ascii="Times New Roman" w:hAnsi="Times New Roman" w:eastAsia="仿宋_GB2312" w:cs="Times New Roman"/>
          <w:color w:val="auto"/>
          <w:szCs w:val="24"/>
        </w:rPr>
        <w:t>面积20.01hm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土石方挖</w:t>
      </w:r>
      <w:r>
        <w:rPr>
          <w:rFonts w:hint="eastAsia" w:ascii="Times New Roman" w:hAnsi="Times New Roman" w:eastAsia="仿宋_GB2312" w:cs="Times New Roman"/>
          <w:color w:val="auto"/>
          <w:szCs w:val="24"/>
          <w:lang w:val="en-US" w:eastAsia="zh-CN"/>
        </w:rPr>
        <w:t>填</w:t>
      </w:r>
      <w:r>
        <w:rPr>
          <w:rFonts w:ascii="Times New Roman" w:hAnsi="Times New Roman" w:eastAsia="仿宋_GB2312" w:cs="Times New Roman"/>
          <w:color w:val="auto"/>
          <w:szCs w:val="24"/>
        </w:rPr>
        <w:t>总量为</w:t>
      </w:r>
      <w:r>
        <w:rPr>
          <w:rFonts w:hint="eastAsia" w:ascii="Times New Roman" w:hAnsi="Times New Roman" w:eastAsia="仿宋_GB2312" w:cs="Times New Roman"/>
          <w:color w:val="auto"/>
          <w:szCs w:val="24"/>
        </w:rPr>
        <w:t>157.77</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，其中开挖</w:t>
      </w:r>
      <w:r>
        <w:rPr>
          <w:rFonts w:hint="eastAsia" w:ascii="Times New Roman" w:hAnsi="Times New Roman" w:eastAsia="仿宋_GB2312" w:cs="Times New Roman"/>
          <w:color w:val="auto"/>
          <w:szCs w:val="24"/>
          <w:lang w:val="en-US" w:eastAsia="zh-CN"/>
        </w:rPr>
        <w:t>土石方</w:t>
      </w:r>
      <w:r>
        <w:rPr>
          <w:rFonts w:ascii="Times New Roman" w:hAnsi="Times New Roman" w:eastAsia="仿宋_GB2312" w:cs="Times New Roman"/>
          <w:color w:val="auto"/>
          <w:szCs w:val="24"/>
        </w:rPr>
        <w:t>量为</w:t>
      </w:r>
      <w:r>
        <w:rPr>
          <w:rFonts w:hint="eastAsia" w:ascii="Times New Roman" w:hAnsi="Times New Roman" w:eastAsia="仿宋_GB2312" w:cs="Times New Roman"/>
          <w:color w:val="auto"/>
          <w:szCs w:val="24"/>
        </w:rPr>
        <w:t>25.91</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；回填</w:t>
      </w:r>
      <w:r>
        <w:rPr>
          <w:rFonts w:hint="eastAsia" w:ascii="Times New Roman" w:hAnsi="Times New Roman" w:eastAsia="仿宋_GB2312" w:cs="Times New Roman"/>
          <w:color w:val="auto"/>
          <w:szCs w:val="24"/>
          <w:lang w:val="en-US" w:eastAsia="zh-CN"/>
        </w:rPr>
        <w:t>土石方量</w:t>
      </w:r>
      <w:r>
        <w:rPr>
          <w:rFonts w:ascii="Times New Roman" w:hAnsi="Times New Roman" w:eastAsia="仿宋_GB2312" w:cs="Times New Roman"/>
          <w:color w:val="auto"/>
          <w:szCs w:val="24"/>
        </w:rPr>
        <w:t>为</w:t>
      </w:r>
      <w:r>
        <w:rPr>
          <w:rFonts w:hint="eastAsia" w:ascii="Times New Roman" w:hAnsi="Times New Roman" w:eastAsia="仿宋_GB2312" w:cs="Times New Roman"/>
          <w:color w:val="auto"/>
          <w:szCs w:val="24"/>
        </w:rPr>
        <w:t>131.86</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lang w:eastAsia="zh-CN"/>
        </w:rPr>
        <w:t>；</w:t>
      </w:r>
      <w:r>
        <w:rPr>
          <w:rFonts w:hint="eastAsia" w:ascii="Times New Roman" w:hAnsi="Times New Roman" w:eastAsia="仿宋_GB2312" w:cs="Times New Roman"/>
          <w:color w:val="auto"/>
          <w:szCs w:val="24"/>
          <w:lang w:val="en-US" w:eastAsia="zh-CN"/>
        </w:rPr>
        <w:t>土石方经</w:t>
      </w:r>
      <w:r>
        <w:rPr>
          <w:rFonts w:ascii="Times New Roman" w:hAnsi="Times New Roman" w:eastAsia="仿宋_GB2312" w:cs="Times New Roman"/>
          <w:color w:val="auto"/>
          <w:szCs w:val="24"/>
        </w:rPr>
        <w:t>内部调配平衡后</w:t>
      </w:r>
      <w:r>
        <w:rPr>
          <w:rFonts w:hint="eastAsia" w:ascii="Times New Roman" w:hAnsi="Times New Roman" w:eastAsia="仿宋_GB2312" w:cs="Times New Roman"/>
          <w:color w:val="auto"/>
          <w:szCs w:val="24"/>
          <w:lang w:eastAsia="zh-CN"/>
        </w:rPr>
        <w:t>，</w:t>
      </w:r>
      <w:r>
        <w:rPr>
          <w:rFonts w:hint="eastAsia" w:ascii="Times New Roman" w:hAnsi="Times New Roman" w:eastAsia="仿宋_GB2312" w:cs="Times New Roman"/>
          <w:color w:val="auto"/>
          <w:szCs w:val="24"/>
          <w:lang w:val="en-US" w:eastAsia="zh-CN"/>
        </w:rPr>
        <w:t>不产生</w:t>
      </w:r>
      <w:r>
        <w:rPr>
          <w:rFonts w:hint="eastAsia" w:ascii="Times New Roman" w:hAnsi="Times New Roman" w:eastAsia="仿宋_GB2312" w:cs="Times New Roman"/>
          <w:color w:val="auto"/>
          <w:szCs w:val="24"/>
        </w:rPr>
        <w:t>余方，需借方105.95</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lang w:eastAsia="zh-CN"/>
        </w:rPr>
        <w:t>；</w:t>
      </w:r>
      <w:r>
        <w:rPr>
          <w:rFonts w:hint="eastAsia" w:ascii="Times New Roman" w:hAnsi="Times New Roman" w:eastAsia="仿宋_GB2312" w:cs="Times New Roman"/>
          <w:color w:val="auto"/>
          <w:szCs w:val="24"/>
        </w:rPr>
        <w:t>借方结合建设工期和后期实际情况，利用</w:t>
      </w:r>
      <w:r>
        <w:rPr>
          <w:rFonts w:hint="eastAsia" w:ascii="Times New Roman" w:hAnsi="Times New Roman" w:eastAsia="仿宋_GB2312" w:cs="Times New Roman"/>
          <w:color w:val="auto"/>
          <w:szCs w:val="24"/>
          <w:lang w:val="en-US" w:eastAsia="zh-CN"/>
        </w:rPr>
        <w:t>南昌市高铁东站周边区域建设</w:t>
      </w:r>
      <w:r>
        <w:rPr>
          <w:rFonts w:hint="eastAsia" w:ascii="Times New Roman" w:hAnsi="Times New Roman" w:eastAsia="仿宋_GB2312" w:cs="Times New Roman"/>
          <w:color w:val="auto"/>
          <w:szCs w:val="24"/>
        </w:rPr>
        <w:t>项目的余土进行回填，不设置取土、弃土场。</w:t>
      </w:r>
    </w:p>
    <w:p>
      <w:pPr>
        <w:autoSpaceDE w:val="0"/>
        <w:autoSpaceDN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lang w:val="zh-CN"/>
        </w:rPr>
        <w:t>江西青山湖高新技术产业园管理委员会</w:t>
      </w:r>
      <w:r>
        <w:rPr>
          <w:rFonts w:ascii="Times New Roman" w:hAnsi="Times New Roman" w:eastAsia="仿宋_GB2312" w:cs="Times New Roman"/>
          <w:color w:val="auto"/>
          <w:szCs w:val="24"/>
        </w:rPr>
        <w:t>（以下简称“建设单位”）是本</w:t>
      </w: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区域的开发建设主管机关及管理机构。</w:t>
      </w:r>
    </w:p>
    <w:p>
      <w:pPr>
        <w:autoSpaceDE w:val="0"/>
        <w:autoSpaceDN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（6）施工组织</w:t>
      </w:r>
    </w:p>
    <w:p>
      <w:pPr>
        <w:autoSpaceDE w:val="0"/>
        <w:autoSpaceDN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规划区域位于E</w:t>
      </w:r>
      <w:r>
        <w:rPr>
          <w:rFonts w:hint="eastAsia" w:ascii="Times New Roman" w:hAnsi="Times New Roman" w:eastAsia="仿宋_GB2312" w:cs="Times New Roman"/>
          <w:color w:val="auto"/>
          <w:szCs w:val="24"/>
          <w:lang w:val="en-US" w:eastAsia="zh-CN"/>
        </w:rPr>
        <w:t>20</w:t>
      </w:r>
      <w:r>
        <w:rPr>
          <w:rFonts w:hint="eastAsia" w:ascii="Times New Roman" w:hAnsi="Times New Roman" w:eastAsia="仿宋_GB2312" w:cs="Times New Roman"/>
          <w:color w:val="auto"/>
          <w:szCs w:val="24"/>
        </w:rPr>
        <w:t>地块设置有一处</w:t>
      </w:r>
      <w:r>
        <w:rPr>
          <w:rFonts w:hint="eastAsia" w:ascii="Times New Roman" w:hAnsi="Times New Roman" w:eastAsia="仿宋_GB2312" w:cs="Times New Roman"/>
          <w:color w:val="auto"/>
          <w:szCs w:val="24"/>
          <w:lang w:eastAsia="zh-CN"/>
        </w:rPr>
        <w:t>淤泥晾干场</w:t>
      </w:r>
      <w:r>
        <w:rPr>
          <w:rFonts w:hint="eastAsia" w:ascii="Times New Roman" w:hAnsi="Times New Roman" w:eastAsia="仿宋_GB2312" w:cs="Times New Roman"/>
          <w:color w:val="auto"/>
          <w:szCs w:val="24"/>
        </w:rPr>
        <w:t>用于临时堆存和中转区域内晾干的淤泥，</w:t>
      </w:r>
      <w:r>
        <w:rPr>
          <w:rFonts w:hint="eastAsia" w:ascii="Times New Roman" w:hAnsi="Times New Roman" w:eastAsia="仿宋_GB2312" w:cs="Times New Roman"/>
          <w:color w:val="auto"/>
          <w:szCs w:val="24"/>
          <w:lang w:eastAsia="zh-CN"/>
        </w:rPr>
        <w:t>淤泥晾干场</w:t>
      </w:r>
      <w:r>
        <w:rPr>
          <w:rFonts w:hint="eastAsia" w:ascii="Times New Roman" w:hAnsi="Times New Roman" w:eastAsia="仿宋_GB2312" w:cs="Times New Roman"/>
          <w:color w:val="auto"/>
          <w:szCs w:val="24"/>
        </w:rPr>
        <w:t>堆存晾干淤泥土方4.73万m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，最大堆高3m</w:t>
      </w:r>
      <w:r>
        <w:rPr>
          <w:rFonts w:hint="eastAsia" w:ascii="Times New Roman" w:hAnsi="Times New Roman" w:eastAsia="仿宋_GB2312" w:cs="Times New Roman"/>
          <w:color w:val="auto"/>
          <w:szCs w:val="24"/>
          <w:lang w:eastAsia="zh-CN"/>
        </w:rPr>
        <w:t>，</w:t>
      </w:r>
      <w:r>
        <w:rPr>
          <w:rFonts w:hint="eastAsia" w:ascii="Times New Roman" w:hAnsi="Times New Roman" w:eastAsia="仿宋_GB2312" w:cs="Times New Roman"/>
          <w:color w:val="auto"/>
          <w:szCs w:val="24"/>
        </w:rPr>
        <w:t>堆存面积2.04hm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；位于E</w:t>
      </w:r>
      <w:r>
        <w:rPr>
          <w:rFonts w:hint="eastAsia" w:ascii="Times New Roman" w:hAnsi="Times New Roman" w:eastAsia="仿宋_GB2312" w:cs="Times New Roman"/>
          <w:color w:val="auto"/>
          <w:szCs w:val="24"/>
          <w:lang w:val="en-US" w:eastAsia="zh-CN"/>
        </w:rPr>
        <w:t>22</w:t>
      </w:r>
      <w:r>
        <w:rPr>
          <w:rFonts w:hint="eastAsia" w:ascii="Times New Roman" w:hAnsi="Times New Roman" w:eastAsia="仿宋_GB2312" w:cs="Times New Roman"/>
          <w:color w:val="auto"/>
          <w:szCs w:val="24"/>
        </w:rPr>
        <w:t>地块设置有一处临时表土堆场用于临时堆存区域内剥离出的表土，临时表土堆场堆存表土4.91万m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，最大堆高3m，临时表土堆场堆存面积2.45hm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。在F08地块布设1处苗木移栽区，移栽树间距为3m×3m，占地0.14hm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，达到移栽条件的树木将移栽至该区。工程施工可直接利用周边城市道路或已建施工硬化路面进场工程场地，场地外无需修建施工道路。</w:t>
      </w:r>
      <w:r>
        <w:rPr>
          <w:rFonts w:ascii="Times New Roman" w:hAnsi="Times New Roman" w:eastAsia="仿宋_GB2312" w:cs="Times New Roman"/>
          <w:color w:val="auto"/>
          <w:szCs w:val="24"/>
        </w:rPr>
        <w:t>建设所需的砂石</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水泥、沥青</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碎石等均通过外购获得，不设黑白站等施工生产区。</w:t>
      </w:r>
      <w:r>
        <w:rPr>
          <w:rFonts w:hint="eastAsia" w:ascii="Times New Roman" w:hAnsi="Times New Roman" w:eastAsia="仿宋_GB2312" w:cs="Times New Roman"/>
          <w:color w:val="auto"/>
          <w:szCs w:val="24"/>
        </w:rPr>
        <w:t>施工用水用电可通过当地供水供电部门获得。</w:t>
      </w:r>
    </w:p>
    <w:p>
      <w:pPr>
        <w:autoSpaceDE w:val="0"/>
        <w:autoSpaceDN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（7）拆迁（移民）安置与专项设施改（迁）建</w:t>
      </w:r>
    </w:p>
    <w:p>
      <w:pPr>
        <w:tabs>
          <w:tab w:val="left" w:pos="3375"/>
        </w:tabs>
        <w:autoSpaceDE w:val="0"/>
        <w:autoSpaceDN w:val="0"/>
        <w:snapToGrid w:val="0"/>
        <w:spacing w:line="360" w:lineRule="auto"/>
        <w:ind w:firstLine="482"/>
        <w:rPr>
          <w:rFonts w:ascii="Times New Roman" w:hAnsi="Times New Roman" w:eastAsia="仿宋_GB2312" w:cs="Times New Roman"/>
          <w:color w:val="auto"/>
          <w:szCs w:val="24"/>
          <w:lang w:val="zh-CN"/>
        </w:rPr>
      </w:pPr>
      <w:r>
        <w:rPr>
          <w:rFonts w:hint="eastAsia" w:ascii="Times New Roman" w:hAnsi="Times New Roman" w:eastAsia="仿宋_GB2312" w:cs="Times New Roman"/>
          <w:color w:val="auto"/>
          <w:szCs w:val="24"/>
          <w:lang w:val="zh-CN"/>
        </w:rPr>
        <w:t>规划</w:t>
      </w:r>
      <w:r>
        <w:rPr>
          <w:rFonts w:ascii="Times New Roman" w:hAnsi="Times New Roman" w:eastAsia="仿宋_GB2312" w:cs="Times New Roman"/>
          <w:color w:val="auto"/>
          <w:szCs w:val="24"/>
          <w:lang w:val="zh-CN"/>
        </w:rPr>
        <w:t>区域内场地内存在拆迁</w:t>
      </w:r>
      <w:r>
        <w:rPr>
          <w:rFonts w:hint="eastAsia" w:ascii="Times New Roman" w:hAnsi="Times New Roman" w:eastAsia="仿宋_GB2312" w:cs="Times New Roman"/>
          <w:color w:val="auto"/>
          <w:szCs w:val="24"/>
          <w:lang w:val="zh-CN"/>
        </w:rPr>
        <w:t>情况，拆迁内容主要为区域内村庄（杨家山村庄和王家庄）及原有工矿仓储用地少量房屋，</w:t>
      </w:r>
      <w:r>
        <w:rPr>
          <w:rFonts w:hint="eastAsia" w:ascii="Times New Roman" w:hAnsi="Times New Roman" w:eastAsia="仿宋_GB2312" w:cs="Times New Roman"/>
          <w:color w:val="auto"/>
          <w:szCs w:val="24"/>
        </w:rPr>
        <w:t>拆迁总面积5.55hm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，拆迁产生建筑垃圾约1.5万m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。拆迁工作由青山湖区罗家镇拆迁部门实施，按工期要求在工程正式开工前完成此项工作，为工程顺利施工创造条件。拆迁完成后交给</w:t>
      </w:r>
      <w:r>
        <w:rPr>
          <w:rFonts w:ascii="Times New Roman" w:hAnsi="Times New Roman" w:eastAsia="仿宋_GB2312" w:cs="Times New Roman"/>
          <w:color w:val="auto"/>
          <w:szCs w:val="24"/>
        </w:rPr>
        <w:t>本</w:t>
      </w: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区域的开发建设主管机关及管理机构</w:t>
      </w:r>
      <w:r>
        <w:rPr>
          <w:rFonts w:hint="eastAsia" w:ascii="Times New Roman" w:hAnsi="Times New Roman" w:eastAsia="仿宋_GB2312" w:cs="Times New Roman"/>
          <w:color w:val="auto"/>
          <w:szCs w:val="24"/>
        </w:rPr>
        <w:t>。因区域需大量填土，为充分利用场地土石方，拆迁产生的约1.5万m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建筑垃圾在场地内机械破碎后用于区域内低洼区域回填。</w:t>
      </w:r>
      <w:r>
        <w:rPr>
          <w:rFonts w:hint="eastAsia" w:ascii="Times New Roman" w:hAnsi="Times New Roman" w:eastAsia="仿宋_GB2312" w:cs="Times New Roman"/>
          <w:color w:val="auto"/>
          <w:szCs w:val="24"/>
          <w:lang w:val="zh-CN"/>
        </w:rPr>
        <w:t>规划区域内无专项设施改迁建工作。</w:t>
      </w:r>
    </w:p>
    <w:p>
      <w:pPr>
        <w:autoSpaceDE w:val="0"/>
        <w:autoSpaceDN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（8）项目工期</w:t>
      </w:r>
    </w:p>
    <w:p>
      <w:pPr>
        <w:autoSpaceDE w:val="0"/>
        <w:autoSpaceDN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评估区域</w:t>
      </w:r>
      <w:r>
        <w:rPr>
          <w:rFonts w:ascii="Times New Roman" w:hAnsi="Times New Roman" w:eastAsia="仿宋_GB2312" w:cs="Times New Roman"/>
          <w:color w:val="auto"/>
          <w:szCs w:val="24"/>
        </w:rPr>
        <w:t>于20</w:t>
      </w:r>
      <w:r>
        <w:rPr>
          <w:rFonts w:hint="eastAsia" w:ascii="Times New Roman" w:hAnsi="Times New Roman" w:eastAsia="仿宋_GB2312" w:cs="Times New Roman"/>
          <w:color w:val="auto"/>
          <w:szCs w:val="24"/>
        </w:rPr>
        <w:t>21</w:t>
      </w:r>
      <w:r>
        <w:rPr>
          <w:rFonts w:ascii="Times New Roman" w:hAnsi="Times New Roman" w:eastAsia="仿宋_GB2312" w:cs="Times New Roman"/>
          <w:color w:val="auto"/>
          <w:szCs w:val="24"/>
        </w:rPr>
        <w:t>年</w:t>
      </w:r>
      <w:r>
        <w:rPr>
          <w:rFonts w:hint="eastAsia" w:ascii="Times New Roman" w:hAnsi="Times New Roman" w:eastAsia="仿宋_GB2312" w:cs="Times New Roman"/>
          <w:color w:val="auto"/>
          <w:szCs w:val="24"/>
        </w:rPr>
        <w:t>1</w:t>
      </w:r>
      <w:r>
        <w:rPr>
          <w:rFonts w:ascii="Times New Roman" w:hAnsi="Times New Roman" w:eastAsia="仿宋_GB2312" w:cs="Times New Roman"/>
          <w:color w:val="auto"/>
          <w:szCs w:val="24"/>
        </w:rPr>
        <w:t>月开工，202</w:t>
      </w:r>
      <w:r>
        <w:rPr>
          <w:rFonts w:hint="eastAsia" w:ascii="Times New Roman" w:hAnsi="Times New Roman" w:eastAsia="仿宋_GB2312" w:cs="Times New Roman"/>
          <w:color w:val="auto"/>
          <w:szCs w:val="24"/>
        </w:rPr>
        <w:t>5</w:t>
      </w:r>
      <w:r>
        <w:rPr>
          <w:rFonts w:ascii="Times New Roman" w:hAnsi="Times New Roman" w:eastAsia="仿宋_GB2312" w:cs="Times New Roman"/>
          <w:color w:val="auto"/>
          <w:szCs w:val="24"/>
        </w:rPr>
        <w:t>年</w:t>
      </w:r>
      <w:r>
        <w:rPr>
          <w:rFonts w:hint="eastAsia" w:ascii="Times New Roman" w:hAnsi="Times New Roman" w:eastAsia="仿宋_GB2312" w:cs="Times New Roman"/>
          <w:color w:val="auto"/>
          <w:szCs w:val="24"/>
        </w:rPr>
        <w:t>12</w:t>
      </w:r>
      <w:r>
        <w:rPr>
          <w:rFonts w:ascii="Times New Roman" w:hAnsi="Times New Roman" w:eastAsia="仿宋_GB2312" w:cs="Times New Roman"/>
          <w:color w:val="auto"/>
          <w:szCs w:val="24"/>
        </w:rPr>
        <w:t>月</w:t>
      </w:r>
      <w:r>
        <w:rPr>
          <w:rFonts w:hint="eastAsia" w:ascii="Times New Roman" w:hAnsi="Times New Roman" w:eastAsia="仿宋_GB2312" w:cs="Times New Roman"/>
          <w:color w:val="auto"/>
          <w:szCs w:val="24"/>
        </w:rPr>
        <w:t>完工</w:t>
      </w:r>
      <w:r>
        <w:rPr>
          <w:rFonts w:ascii="Times New Roman" w:hAnsi="Times New Roman" w:eastAsia="仿宋_GB2312" w:cs="Times New Roman"/>
          <w:color w:val="auto"/>
          <w:szCs w:val="24"/>
        </w:rPr>
        <w:t>，总工期</w:t>
      </w:r>
      <w:r>
        <w:rPr>
          <w:rFonts w:hint="eastAsia" w:ascii="Times New Roman" w:hAnsi="Times New Roman" w:eastAsia="仿宋_GB2312" w:cs="Times New Roman"/>
          <w:color w:val="auto"/>
          <w:szCs w:val="24"/>
        </w:rPr>
        <w:t>60</w:t>
      </w:r>
      <w:r>
        <w:rPr>
          <w:rFonts w:ascii="Times New Roman" w:hAnsi="Times New Roman" w:eastAsia="仿宋_GB2312" w:cs="Times New Roman"/>
          <w:color w:val="auto"/>
          <w:szCs w:val="24"/>
        </w:rPr>
        <w:t>个月。</w:t>
      </w:r>
    </w:p>
    <w:bookmarkEnd w:id="25"/>
    <w:bookmarkEnd w:id="26"/>
    <w:bookmarkEnd w:id="27"/>
    <w:bookmarkEnd w:id="28"/>
    <w:p>
      <w:pPr>
        <w:pStyle w:val="6"/>
        <w:rPr>
          <w:bCs w:val="0"/>
          <w:color w:val="auto"/>
          <w:szCs w:val="30"/>
        </w:rPr>
      </w:pPr>
      <w:bookmarkStart w:id="29" w:name="_Toc28975"/>
      <w:r>
        <w:rPr>
          <w:bCs w:val="0"/>
          <w:color w:val="auto"/>
          <w:szCs w:val="30"/>
        </w:rPr>
        <w:t>1.1.2</w:t>
      </w:r>
      <w:r>
        <w:rPr>
          <w:rFonts w:eastAsia="仿宋_GB2312"/>
          <w:bCs w:val="0"/>
          <w:color w:val="auto"/>
          <w:szCs w:val="30"/>
        </w:rPr>
        <w:t>项目前期工作</w:t>
      </w:r>
      <w:bookmarkEnd w:id="29"/>
      <w:r>
        <w:rPr>
          <w:rFonts w:eastAsia="仿宋_GB2312"/>
          <w:bCs w:val="0"/>
          <w:color w:val="auto"/>
          <w:szCs w:val="30"/>
        </w:rPr>
        <w:t>进展情况</w:t>
      </w:r>
    </w:p>
    <w:p>
      <w:pPr>
        <w:adjustRightInd w:val="0"/>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2015年9月，江西省住房和城乡建设厅向江西省发展改革委发出《关于对昌东工业园扩区调区材料初审意见的函》，2016年1月，江西省国土资源厅向江西省发展改革委发出《江西省国土资源厅关于对昌东工业园扩区调区材料审查意见的复函》。2020年6月5日，由南昌市发展和改革委员会和南昌市行政审批局向南昌市政府发出的《关于明确南昌市区域性评估评价试点区域的请示》。评估报告介入时正在进行《青山湖高新技术产业园部分区域交通影响评价》和《青山湖高新技术产业园部分区域水资源规划水资源区域评估》。</w:t>
      </w:r>
    </w:p>
    <w:p>
      <w:pPr>
        <w:adjustRightInd w:val="0"/>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2022年9月，</w:t>
      </w:r>
      <w:r>
        <w:rPr>
          <w:rFonts w:ascii="Times New Roman" w:hAnsi="Times New Roman" w:eastAsia="仿宋_GB2312" w:cs="Times New Roman"/>
          <w:color w:val="auto"/>
          <w:szCs w:val="24"/>
        </w:rPr>
        <w:t>江西锦恒水保环境技术咨询有限公司（以下简称“我公司”）受</w:t>
      </w:r>
      <w:r>
        <w:rPr>
          <w:rFonts w:ascii="Times New Roman" w:eastAsia="仿宋_GB2312" w:cs="Times New Roman"/>
          <w:color w:val="auto"/>
        </w:rPr>
        <w:t>建设单位委托，承担</w:t>
      </w:r>
      <w:r>
        <w:rPr>
          <w:rFonts w:hint="eastAsia" w:ascii="Times New Roman" w:eastAsia="仿宋_GB2312" w:cs="Times New Roman"/>
          <w:color w:val="auto"/>
          <w:lang w:val="en-US" w:eastAsia="zh-CN"/>
        </w:rPr>
        <w:t>本</w:t>
      </w:r>
      <w:r>
        <w:rPr>
          <w:rFonts w:ascii="Times New Roman" w:eastAsia="仿宋_GB2312" w:cs="Times New Roman"/>
          <w:color w:val="auto"/>
        </w:rPr>
        <w:t>项目水土保持</w:t>
      </w:r>
      <w:r>
        <w:rPr>
          <w:rFonts w:hint="eastAsia" w:ascii="Times New Roman" w:eastAsia="仿宋_GB2312" w:cs="Times New Roman"/>
          <w:color w:val="auto"/>
          <w:lang w:val="en-US" w:eastAsia="zh-CN"/>
        </w:rPr>
        <w:t>区域评估报告书</w:t>
      </w:r>
      <w:r>
        <w:rPr>
          <w:rFonts w:ascii="Times New Roman" w:eastAsia="仿宋_GB2312" w:cs="Times New Roman"/>
          <w:color w:val="auto"/>
        </w:rPr>
        <w:t>的编制工作。</w:t>
      </w:r>
      <w:r>
        <w:rPr>
          <w:rFonts w:ascii="Times New Roman" w:hAnsi="Times New Roman" w:eastAsia="仿宋_GB2312" w:cs="Times New Roman"/>
          <w:color w:val="auto"/>
          <w:szCs w:val="24"/>
        </w:rPr>
        <w:t>接到任务后，我公司即派相关技术人员收集相关主体</w:t>
      </w:r>
      <w:r>
        <w:rPr>
          <w:rFonts w:hint="eastAsia" w:ascii="Times New Roman" w:hAnsi="Times New Roman" w:eastAsia="仿宋_GB2312" w:cs="Times New Roman"/>
          <w:color w:val="auto"/>
          <w:szCs w:val="24"/>
          <w:lang w:val="en-US" w:eastAsia="zh-CN"/>
        </w:rPr>
        <w:t>及规划</w:t>
      </w:r>
      <w:r>
        <w:rPr>
          <w:rFonts w:ascii="Times New Roman" w:hAnsi="Times New Roman" w:eastAsia="仿宋_GB2312" w:cs="Times New Roman"/>
          <w:color w:val="auto"/>
          <w:szCs w:val="24"/>
        </w:rPr>
        <w:t>资料，对项目区的自然环境和场地内现状进行了调查，并收集了相关的水土保持资料，在此基础上于202</w:t>
      </w:r>
      <w:r>
        <w:rPr>
          <w:rFonts w:hint="eastAsia" w:ascii="Times New Roman" w:hAnsi="Times New Roman" w:eastAsia="仿宋_GB2312" w:cs="Times New Roman"/>
          <w:color w:val="auto"/>
          <w:szCs w:val="24"/>
        </w:rPr>
        <w:t>2</w:t>
      </w:r>
      <w:r>
        <w:rPr>
          <w:rFonts w:ascii="Times New Roman" w:hAnsi="Times New Roman" w:eastAsia="仿宋_GB2312" w:cs="Times New Roman"/>
          <w:color w:val="auto"/>
          <w:szCs w:val="24"/>
        </w:rPr>
        <w:t>年</w:t>
      </w:r>
      <w:r>
        <w:rPr>
          <w:rFonts w:hint="eastAsia" w:ascii="Times New Roman" w:hAnsi="Times New Roman" w:eastAsia="仿宋_GB2312" w:cs="Times New Roman"/>
          <w:color w:val="auto"/>
          <w:szCs w:val="24"/>
        </w:rPr>
        <w:t>9</w:t>
      </w:r>
      <w:r>
        <w:rPr>
          <w:rFonts w:ascii="Times New Roman" w:hAnsi="Times New Roman" w:eastAsia="仿宋_GB2312" w:cs="Times New Roman"/>
          <w:color w:val="auto"/>
          <w:szCs w:val="24"/>
        </w:rPr>
        <w:t>月编制完成了《青山湖高新技术产业园部分区域水土保持区域评估报告书》。</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rPr>
      </w:pPr>
      <w:r>
        <w:rPr>
          <w:rFonts w:hint="default" w:ascii="Times New Roman" w:hAnsi="Times New Roman" w:eastAsia="仿宋_GB2312" w:cs="Times New Roman"/>
          <w:color w:val="auto"/>
        </w:rPr>
        <w:t>202</w:t>
      </w:r>
      <w:r>
        <w:rPr>
          <w:rFonts w:hint="default" w:ascii="Times New Roman" w:hAnsi="Times New Roman" w:eastAsia="仿宋_GB2312" w:cs="Times New Roman"/>
          <w:color w:val="auto"/>
          <w:lang w:val="en-US" w:eastAsia="zh-CN"/>
        </w:rPr>
        <w:t>2</w:t>
      </w:r>
      <w:r>
        <w:rPr>
          <w:rFonts w:hint="default" w:ascii="Times New Roman" w:hAnsi="Times New Roman" w:eastAsia="仿宋_GB2312" w:cs="Times New Roman"/>
          <w:color w:val="auto"/>
        </w:rPr>
        <w:t>年</w:t>
      </w:r>
      <w:r>
        <w:rPr>
          <w:rFonts w:hint="default" w:ascii="Times New Roman" w:hAnsi="Times New Roman" w:eastAsia="仿宋_GB2312" w:cs="Times New Roman"/>
          <w:color w:val="auto"/>
          <w:lang w:val="en-US" w:eastAsia="zh-CN"/>
        </w:rPr>
        <w:t>9</w:t>
      </w:r>
      <w:r>
        <w:rPr>
          <w:rFonts w:hint="default" w:ascii="Times New Roman" w:hAnsi="Times New Roman" w:eastAsia="仿宋_GB2312" w:cs="Times New Roman"/>
          <w:color w:val="auto"/>
        </w:rPr>
        <w:t>月</w:t>
      </w:r>
      <w:r>
        <w:rPr>
          <w:rFonts w:hint="default" w:ascii="Times New Roman" w:hAnsi="Times New Roman" w:eastAsia="仿宋_GB2312" w:cs="Times New Roman"/>
          <w:color w:val="auto"/>
          <w:lang w:val="en-US" w:eastAsia="zh-CN"/>
        </w:rPr>
        <w:t>29</w:t>
      </w:r>
      <w:r>
        <w:rPr>
          <w:rFonts w:hint="default" w:ascii="Times New Roman" w:hAnsi="Times New Roman" w:eastAsia="仿宋_GB2312" w:cs="Times New Roman"/>
          <w:color w:val="auto"/>
        </w:rPr>
        <w:t>日，南昌市青山湖区农业农村局在青山湖区主持召开了《青山湖高新技术产业园部分区域水土保持区域评估报告书》</w:t>
      </w:r>
      <w:r>
        <w:rPr>
          <w:rFonts w:hint="default" w:ascii="Times New Roman" w:hAnsi="Times New Roman" w:eastAsia="仿宋_GB2312" w:cs="Times New Roman"/>
          <w:color w:val="auto"/>
          <w:lang w:val="en-US" w:eastAsia="zh-CN"/>
        </w:rPr>
        <w:t>技术</w:t>
      </w:r>
      <w:r>
        <w:rPr>
          <w:rFonts w:hint="default" w:ascii="Times New Roman" w:hAnsi="Times New Roman" w:eastAsia="仿宋_GB2312" w:cs="Times New Roman"/>
          <w:color w:val="auto"/>
        </w:rPr>
        <w:t>审查会，并形成了技术审查意见。根据技术审查意见，我公司对本项目有关情况做了进一步调查核实并且对</w:t>
      </w:r>
      <w:r>
        <w:rPr>
          <w:rFonts w:hint="eastAsia" w:ascii="Times New Roman" w:hAnsi="Times New Roman" w:eastAsia="仿宋_GB2312" w:cs="Times New Roman"/>
          <w:color w:val="auto"/>
          <w:lang w:val="en-US" w:eastAsia="zh-CN"/>
        </w:rPr>
        <w:t>评估报告</w:t>
      </w:r>
      <w:r>
        <w:rPr>
          <w:rFonts w:hint="default" w:ascii="Times New Roman" w:hAnsi="Times New Roman" w:eastAsia="仿宋_GB2312" w:cs="Times New Roman"/>
          <w:color w:val="auto"/>
        </w:rPr>
        <w:t>进行了修改完善，于202</w:t>
      </w:r>
      <w:r>
        <w:rPr>
          <w:rFonts w:hint="default" w:ascii="Times New Roman" w:hAnsi="Times New Roman" w:eastAsia="仿宋_GB2312" w:cs="Times New Roman"/>
          <w:color w:val="auto"/>
          <w:lang w:val="en-US" w:eastAsia="zh-CN"/>
        </w:rPr>
        <w:t>2</w:t>
      </w:r>
      <w:r>
        <w:rPr>
          <w:rFonts w:hint="default" w:ascii="Times New Roman" w:hAnsi="Times New Roman" w:eastAsia="仿宋_GB2312" w:cs="Times New Roman"/>
          <w:color w:val="auto"/>
        </w:rPr>
        <w:t>年</w:t>
      </w:r>
      <w:r>
        <w:rPr>
          <w:rFonts w:hint="default" w:ascii="Times New Roman" w:hAnsi="Times New Roman" w:eastAsia="仿宋_GB2312" w:cs="Times New Roman"/>
          <w:color w:val="auto"/>
          <w:lang w:val="en-US" w:eastAsia="zh-CN"/>
        </w:rPr>
        <w:t>10</w:t>
      </w:r>
      <w:r>
        <w:rPr>
          <w:rFonts w:hint="default" w:ascii="Times New Roman" w:hAnsi="Times New Roman" w:eastAsia="仿宋_GB2312" w:cs="Times New Roman"/>
          <w:color w:val="auto"/>
        </w:rPr>
        <w:t>月编制完成了《青山湖高新技术产业园部分区域水土保持区域评估报告书》。</w:t>
      </w:r>
    </w:p>
    <w:p>
      <w:pPr>
        <w:adjustRightInd w:val="0"/>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区域于2021年1月建设，规划前已出让E08、E09、E11、E17、E19和E21共计6个地块，区域内已建有经十八路（谢佛路至杨家山路段）和杨家山路（西总干渠至南嵩路段）。截止</w:t>
      </w:r>
      <w:r>
        <w:rPr>
          <w:rFonts w:hint="eastAsia" w:ascii="Times New Roman" w:hAnsi="Times New Roman" w:eastAsia="仿宋_GB2312" w:cs="Times New Roman"/>
          <w:color w:val="auto"/>
          <w:szCs w:val="24"/>
          <w:lang w:val="en-US" w:eastAsia="zh-CN"/>
        </w:rPr>
        <w:t>评估报告</w:t>
      </w:r>
      <w:r>
        <w:rPr>
          <w:rFonts w:hint="eastAsia" w:ascii="Times New Roman" w:hAnsi="Times New Roman" w:eastAsia="仿宋_GB2312" w:cs="Times New Roman"/>
          <w:color w:val="auto"/>
          <w:szCs w:val="24"/>
        </w:rPr>
        <w:t>介入时，E08地块暂未扰动；E09和E19已于区域规划前完成平整，后续不再扰动；E11地块已建有4栋8~10层厂房，地下车库8000m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，基本建设完成；E17和和E21地块部分区域共计26.34hm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，正在进行建设，计划于2026年8月完工。</w:t>
      </w:r>
    </w:p>
    <w:p>
      <w:pPr>
        <w:adjustRightInd w:val="0"/>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根据调查，评估区域内工程施工至今未发生水土流失危害事件。</w:t>
      </w:r>
    </w:p>
    <w:p>
      <w:pPr>
        <w:pStyle w:val="6"/>
        <w:rPr>
          <w:rFonts w:eastAsia="仿宋_GB2312"/>
          <w:bCs w:val="0"/>
          <w:color w:val="auto"/>
          <w:szCs w:val="30"/>
        </w:rPr>
      </w:pPr>
      <w:r>
        <w:rPr>
          <w:rFonts w:eastAsia="仿宋_GB2312"/>
          <w:bCs w:val="0"/>
          <w:color w:val="auto"/>
          <w:szCs w:val="30"/>
        </w:rPr>
        <w:t>1.1.3自然简况</w:t>
      </w:r>
    </w:p>
    <w:p>
      <w:pPr>
        <w:widowControl/>
        <w:snapToGrid w:val="0"/>
        <w:spacing w:line="360" w:lineRule="auto"/>
        <w:ind w:firstLine="480" w:firstLineChars="200"/>
        <w:textAlignment w:val="bottom"/>
        <w:rPr>
          <w:rFonts w:ascii="Times New Roman" w:hAnsi="Times New Roman" w:eastAsia="仿宋_GB2312" w:cs="Times New Roman"/>
          <w:color w:val="auto"/>
          <w:szCs w:val="24"/>
        </w:rPr>
      </w:pPr>
      <w:r>
        <w:rPr>
          <w:rFonts w:ascii="Times New Roman" w:hAnsi="Times New Roman" w:eastAsia="仿宋_GB2312" w:cs="Times New Roman"/>
          <w:color w:val="auto"/>
          <w:szCs w:val="24"/>
        </w:rPr>
        <w:t>评估区域地处</w:t>
      </w:r>
      <w:r>
        <w:rPr>
          <w:rFonts w:hint="eastAsia" w:ascii="Times New Roman" w:hAnsi="Times New Roman" w:eastAsia="仿宋_GB2312" w:cs="Times New Roman"/>
          <w:color w:val="auto"/>
          <w:szCs w:val="24"/>
        </w:rPr>
        <w:t>江西省南昌</w:t>
      </w:r>
      <w:r>
        <w:rPr>
          <w:rFonts w:ascii="Times New Roman" w:hAnsi="Times New Roman" w:eastAsia="仿宋_GB2312" w:cs="Times New Roman"/>
          <w:color w:val="auto"/>
          <w:szCs w:val="24"/>
        </w:rPr>
        <w:t>市青山湖区罗家镇，属赣抚冲积平原</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属</w:t>
      </w:r>
      <w:r>
        <w:rPr>
          <w:rFonts w:ascii="Times New Roman" w:hAnsi="Times New Roman" w:eastAsia="仿宋_GB2312" w:cs="Times New Roman"/>
          <w:color w:val="auto"/>
          <w:kern w:val="0"/>
          <w:szCs w:val="24"/>
          <w:lang w:val="zh-CN"/>
        </w:rPr>
        <w:t>亚热带季风气候区，多年平均气温17.8</w:t>
      </w:r>
      <w:r>
        <w:rPr>
          <w:rFonts w:ascii="Times New Roman" w:hAnsi="宋体" w:cs="Times New Roman"/>
          <w:color w:val="auto"/>
          <w:kern w:val="0"/>
          <w:szCs w:val="24"/>
          <w:lang w:val="zh-CN"/>
        </w:rPr>
        <w:t>℃</w:t>
      </w:r>
      <w:r>
        <w:rPr>
          <w:rFonts w:ascii="Times New Roman" w:hAnsi="Times New Roman" w:eastAsia="仿宋_GB2312" w:cs="Times New Roman"/>
          <w:color w:val="auto"/>
          <w:kern w:val="0"/>
          <w:szCs w:val="24"/>
          <w:lang w:val="zh-CN"/>
        </w:rPr>
        <w:t>，≥10</w:t>
      </w:r>
      <w:r>
        <w:rPr>
          <w:rFonts w:ascii="Times New Roman" w:hAnsi="宋体" w:cs="Times New Roman"/>
          <w:color w:val="auto"/>
          <w:kern w:val="0"/>
          <w:szCs w:val="24"/>
          <w:lang w:val="zh-CN"/>
        </w:rPr>
        <w:t>℃</w:t>
      </w:r>
      <w:r>
        <w:rPr>
          <w:rFonts w:ascii="Times New Roman" w:hAnsi="Times New Roman" w:eastAsia="仿宋_GB2312" w:cs="Times New Roman"/>
          <w:color w:val="auto"/>
          <w:kern w:val="0"/>
          <w:szCs w:val="24"/>
          <w:lang w:val="zh-CN"/>
        </w:rPr>
        <w:t>积温5480</w:t>
      </w:r>
      <w:r>
        <w:rPr>
          <w:rFonts w:ascii="Times New Roman" w:hAnsi="宋体" w:cs="Times New Roman"/>
          <w:color w:val="auto"/>
          <w:kern w:val="0"/>
          <w:szCs w:val="24"/>
          <w:lang w:val="zh-CN"/>
        </w:rPr>
        <w:t>℃</w:t>
      </w:r>
      <w:r>
        <w:rPr>
          <w:rFonts w:ascii="Times New Roman" w:hAnsi="Times New Roman" w:eastAsia="仿宋_GB2312" w:cs="Times New Roman"/>
          <w:color w:val="auto"/>
          <w:kern w:val="0"/>
          <w:szCs w:val="24"/>
          <w:lang w:val="zh-CN"/>
        </w:rPr>
        <w:t>，年蒸发量1263.7mm，多年平均降雨量1589mm，平均风速2.3m/s，主导风向为北北东，雨季时段为4~6月。</w:t>
      </w:r>
      <w:r>
        <w:rPr>
          <w:rFonts w:ascii="Times New Roman" w:hAnsi="Times New Roman" w:eastAsia="仿宋_GB2312" w:cs="Times New Roman"/>
          <w:color w:val="auto"/>
          <w:szCs w:val="24"/>
        </w:rPr>
        <w:t>土壤类型主要为红壤。项目区地带性植被类型为亚热带常绿阔叶林，项目区及周边现状植被主要以乔灌木为主。项目区周边水系主要</w:t>
      </w:r>
      <w:r>
        <w:rPr>
          <w:rFonts w:hint="eastAsia" w:ascii="Times New Roman" w:hAnsi="Times New Roman" w:eastAsia="仿宋_GB2312" w:cs="Times New Roman"/>
          <w:color w:val="auto"/>
          <w:szCs w:val="24"/>
        </w:rPr>
        <w:t>为</w:t>
      </w:r>
      <w:r>
        <w:rPr>
          <w:rFonts w:hint="eastAsia" w:ascii="Times New Roman" w:hAnsi="Times New Roman" w:eastAsia="仿宋_GB2312" w:cs="Times New Roman"/>
          <w:color w:val="auto"/>
          <w:kern w:val="0"/>
          <w:szCs w:val="24"/>
          <w:lang w:val="zh-CN"/>
        </w:rPr>
        <w:t>赣江、抚河、艾溪湖、瑶湖和西总干渠。</w:t>
      </w:r>
      <w:r>
        <w:rPr>
          <w:rFonts w:hint="eastAsia" w:ascii="Times New Roman" w:hAnsi="Times New Roman" w:eastAsia="仿宋_GB2312" w:cs="Times New Roman"/>
          <w:color w:val="auto"/>
          <w:szCs w:val="24"/>
        </w:rPr>
        <w:t>项目区属南方红壤区，</w:t>
      </w:r>
      <w:r>
        <w:rPr>
          <w:rFonts w:ascii="Times New Roman" w:hAnsi="Times New Roman" w:eastAsia="仿宋_GB2312" w:cs="Times New Roman"/>
          <w:color w:val="auto"/>
          <w:szCs w:val="24"/>
        </w:rPr>
        <w:t>土壤侵蚀类型以水力侵蚀为主</w:t>
      </w:r>
      <w:r>
        <w:rPr>
          <w:rFonts w:hint="eastAsia" w:ascii="Times New Roman" w:hAnsi="Times New Roman" w:eastAsia="仿宋_GB2312" w:cs="Times New Roman"/>
          <w:color w:val="auto"/>
          <w:szCs w:val="24"/>
        </w:rPr>
        <w:t>，容许</w:t>
      </w:r>
      <w:r>
        <w:rPr>
          <w:rFonts w:ascii="Times New Roman" w:hAnsi="Times New Roman" w:eastAsia="仿宋_GB2312" w:cs="Times New Roman"/>
          <w:color w:val="auto"/>
          <w:szCs w:val="24"/>
        </w:rPr>
        <w:t>土壤流失量为500t/km</w:t>
      </w:r>
      <w:r>
        <w:rPr>
          <w:rFonts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·a。</w:t>
      </w:r>
      <w:r>
        <w:rPr>
          <w:rFonts w:hint="eastAsia" w:ascii="Times New Roman" w:hAnsi="Times New Roman" w:eastAsia="仿宋_GB2312" w:cs="Times New Roman"/>
          <w:color w:val="auto"/>
          <w:szCs w:val="24"/>
        </w:rPr>
        <w:t>评估区域所在的</w:t>
      </w:r>
      <w:r>
        <w:rPr>
          <w:rFonts w:ascii="Times New Roman" w:hAnsi="Times New Roman" w:eastAsia="仿宋_GB2312" w:cs="Times New Roman"/>
          <w:color w:val="auto"/>
          <w:szCs w:val="24"/>
        </w:rPr>
        <w:t>罗家镇</w:t>
      </w:r>
      <w:r>
        <w:rPr>
          <w:rFonts w:hint="eastAsia" w:ascii="Times New Roman" w:hAnsi="Times New Roman" w:eastAsia="仿宋_GB2312" w:cs="Times New Roman"/>
          <w:color w:val="auto"/>
          <w:szCs w:val="24"/>
        </w:rPr>
        <w:t>属青山湖区水土流失重点预防区，</w:t>
      </w:r>
      <w:r>
        <w:rPr>
          <w:rFonts w:ascii="Times New Roman" w:hAnsi="Times New Roman" w:eastAsia="仿宋_GB2312" w:cs="Times New Roman"/>
          <w:color w:val="auto"/>
          <w:szCs w:val="24"/>
        </w:rPr>
        <w:t>不涉及各类水土保持敏感区。</w:t>
      </w:r>
    </w:p>
    <w:p>
      <w:pPr>
        <w:pStyle w:val="5"/>
        <w:rPr>
          <w:rFonts w:eastAsia="仿宋_GB2312"/>
          <w:color w:val="auto"/>
        </w:rPr>
      </w:pPr>
      <w:bookmarkStart w:id="30" w:name="_Toc26098"/>
      <w:bookmarkStart w:id="31" w:name="_Toc44410090"/>
      <w:bookmarkStart w:id="32" w:name="_Toc301594338"/>
      <w:bookmarkStart w:id="33" w:name="_Toc499039847"/>
      <w:bookmarkStart w:id="34" w:name="_Toc514430819"/>
      <w:bookmarkStart w:id="35" w:name="_Toc451799185"/>
      <w:bookmarkStart w:id="36" w:name="_Toc514431429"/>
      <w:bookmarkStart w:id="37" w:name="_Toc514432573"/>
      <w:bookmarkStart w:id="38" w:name="_Toc30939"/>
      <w:r>
        <w:rPr>
          <w:rFonts w:eastAsia="仿宋_GB2312"/>
          <w:color w:val="auto"/>
        </w:rPr>
        <w:t>1.2编制依据</w:t>
      </w:r>
      <w:bookmarkEnd w:id="30"/>
      <w:bookmarkEnd w:id="31"/>
    </w:p>
    <w:p>
      <w:pPr>
        <w:pStyle w:val="6"/>
        <w:rPr>
          <w:rFonts w:eastAsia="仿宋_GB2312"/>
          <w:bCs w:val="0"/>
          <w:color w:val="auto"/>
          <w:szCs w:val="30"/>
        </w:rPr>
      </w:pPr>
      <w:r>
        <w:rPr>
          <w:rFonts w:eastAsia="仿宋_GB2312"/>
          <w:bCs w:val="0"/>
          <w:color w:val="auto"/>
          <w:szCs w:val="30"/>
        </w:rPr>
        <w:t>1.2.1 法律法规</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（1）《中华人民共和国水土保持法》（1991年6月29日全国人民代表大会常务委员会第二十次会议颁布，2010年12月25日第十一届全国人民代表大会常务委员会第十八次会议修订，2011年3月1日施行）；</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2</w:t>
      </w:r>
      <w:r>
        <w:rPr>
          <w:rFonts w:ascii="Times New Roman" w:hAnsi="Times New Roman" w:eastAsia="仿宋_GB2312" w:cs="Times New Roman"/>
          <w:color w:val="auto"/>
          <w:szCs w:val="24"/>
        </w:rPr>
        <w:t>）《中华人民共和国水土保持法实施条例》（1993年8月1日中华人民共和国国务院令第120号发布，根据2011年1月8日《国务院关于废止和修改部分行政法规的决定》修订，自公布之日起施行）；</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3</w:t>
      </w:r>
      <w:r>
        <w:rPr>
          <w:rFonts w:ascii="Times New Roman" w:hAnsi="Times New Roman" w:eastAsia="仿宋_GB2312" w:cs="Times New Roman"/>
          <w:color w:val="auto"/>
          <w:szCs w:val="24"/>
        </w:rPr>
        <w:t>）《江西省实施〈中华人民共和国水土保持法〉办法》（江西省人大常委会，1994年4月16日颁布，201</w:t>
      </w:r>
      <w:r>
        <w:rPr>
          <w:rFonts w:hint="eastAsia" w:ascii="Times New Roman" w:hAnsi="Times New Roman" w:eastAsia="仿宋_GB2312" w:cs="Times New Roman"/>
          <w:color w:val="auto"/>
          <w:szCs w:val="24"/>
        </w:rPr>
        <w:t>9</w:t>
      </w:r>
      <w:r>
        <w:rPr>
          <w:rFonts w:ascii="Times New Roman" w:hAnsi="Times New Roman" w:eastAsia="仿宋_GB2312" w:cs="Times New Roman"/>
          <w:color w:val="auto"/>
          <w:szCs w:val="24"/>
        </w:rPr>
        <w:t>年</w:t>
      </w:r>
      <w:r>
        <w:rPr>
          <w:rFonts w:hint="eastAsia" w:ascii="Times New Roman" w:hAnsi="Times New Roman" w:eastAsia="仿宋_GB2312" w:cs="Times New Roman"/>
          <w:color w:val="auto"/>
          <w:szCs w:val="24"/>
        </w:rPr>
        <w:t>9</w:t>
      </w:r>
      <w:r>
        <w:rPr>
          <w:rFonts w:ascii="Times New Roman" w:hAnsi="Times New Roman" w:eastAsia="仿宋_GB2312" w:cs="Times New Roman"/>
          <w:color w:val="auto"/>
          <w:szCs w:val="24"/>
        </w:rPr>
        <w:t>月</w:t>
      </w:r>
      <w:r>
        <w:rPr>
          <w:rFonts w:hint="eastAsia" w:ascii="Times New Roman" w:hAnsi="Times New Roman" w:eastAsia="仿宋_GB2312" w:cs="Times New Roman"/>
          <w:color w:val="auto"/>
          <w:szCs w:val="24"/>
        </w:rPr>
        <w:t>28</w:t>
      </w:r>
      <w:r>
        <w:rPr>
          <w:rFonts w:ascii="Times New Roman" w:hAnsi="Times New Roman" w:eastAsia="仿宋_GB2312" w:cs="Times New Roman"/>
          <w:color w:val="auto"/>
          <w:szCs w:val="24"/>
        </w:rPr>
        <w:t>日江西省第十三届人民代表大会常务委员会第</w:t>
      </w:r>
      <w:r>
        <w:rPr>
          <w:rFonts w:hint="eastAsia" w:ascii="Times New Roman" w:hAnsi="Times New Roman" w:eastAsia="仿宋_GB2312" w:cs="Times New Roman"/>
          <w:color w:val="auto"/>
          <w:szCs w:val="24"/>
        </w:rPr>
        <w:t>十五</w:t>
      </w:r>
      <w:r>
        <w:rPr>
          <w:rFonts w:ascii="Times New Roman" w:hAnsi="Times New Roman" w:eastAsia="仿宋_GB2312" w:cs="Times New Roman"/>
          <w:color w:val="auto"/>
          <w:szCs w:val="24"/>
        </w:rPr>
        <w:t>次会议第</w:t>
      </w:r>
      <w:r>
        <w:rPr>
          <w:rFonts w:hint="eastAsia" w:ascii="Times New Roman" w:hAnsi="Times New Roman" w:eastAsia="仿宋_GB2312" w:cs="Times New Roman"/>
          <w:color w:val="auto"/>
          <w:szCs w:val="24"/>
        </w:rPr>
        <w:t>四</w:t>
      </w:r>
      <w:r>
        <w:rPr>
          <w:rFonts w:ascii="Times New Roman" w:hAnsi="Times New Roman" w:eastAsia="仿宋_GB2312" w:cs="Times New Roman"/>
          <w:color w:val="auto"/>
          <w:szCs w:val="24"/>
        </w:rPr>
        <w:t>次修正）；</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4</w:t>
      </w:r>
      <w:r>
        <w:rPr>
          <w:rFonts w:ascii="Times New Roman" w:hAnsi="Times New Roman" w:eastAsia="仿宋_GB2312" w:cs="Times New Roman"/>
          <w:color w:val="auto"/>
          <w:szCs w:val="24"/>
        </w:rPr>
        <w:t>）《建设项目环境保护管理条例》（国务院第253号令，2017年修订，2017年10月1日施行）</w:t>
      </w:r>
      <w:r>
        <w:rPr>
          <w:rFonts w:hint="eastAsia" w:ascii="Times New Roman" w:hAnsi="Times New Roman" w:eastAsia="仿宋_GB2312" w:cs="Times New Roman"/>
          <w:color w:val="auto"/>
          <w:szCs w:val="24"/>
        </w:rPr>
        <w:t>；</w:t>
      </w:r>
    </w:p>
    <w:p>
      <w:pPr>
        <w:adjustRightIn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（5）《南昌市城市水土保持条例》（南昌市人民代表大会常务委员会，公告第40号，2005年4月6日颁布，2005年7月1日实施）；</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6</w:t>
      </w:r>
      <w:r>
        <w:rPr>
          <w:rFonts w:ascii="Times New Roman" w:hAnsi="Times New Roman" w:eastAsia="仿宋_GB2312" w:cs="Times New Roman"/>
          <w:color w:val="auto"/>
          <w:szCs w:val="24"/>
        </w:rPr>
        <w:t>）《开发建设项目水土保持方案编报审批管理规定》（1995年5月30日水利部令第5号发布，根据2017年12月22日《水利部关于废止和修改部分规章的决定》第二次修正）。</w:t>
      </w:r>
    </w:p>
    <w:p>
      <w:pPr>
        <w:pStyle w:val="6"/>
        <w:rPr>
          <w:rFonts w:eastAsia="仿宋_GB2312"/>
          <w:bCs w:val="0"/>
          <w:color w:val="auto"/>
          <w:szCs w:val="30"/>
        </w:rPr>
      </w:pPr>
      <w:r>
        <w:rPr>
          <w:rFonts w:eastAsia="仿宋_GB2312"/>
          <w:bCs w:val="0"/>
          <w:color w:val="auto"/>
          <w:szCs w:val="30"/>
        </w:rPr>
        <w:t>1.2.</w:t>
      </w:r>
      <w:r>
        <w:rPr>
          <w:rFonts w:hint="eastAsia" w:eastAsia="仿宋_GB2312"/>
          <w:bCs w:val="0"/>
          <w:color w:val="auto"/>
          <w:szCs w:val="30"/>
        </w:rPr>
        <w:t>2</w:t>
      </w:r>
      <w:r>
        <w:rPr>
          <w:rFonts w:eastAsia="仿宋_GB2312"/>
          <w:bCs w:val="0"/>
          <w:color w:val="auto"/>
          <w:szCs w:val="30"/>
        </w:rPr>
        <w:t>规范性文件</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（1）《国务院办公厅关于清理规范国务院部门行政审批中介服务的通知》（国务院办公厅国办发〔2015〕31号）；</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（2）《关于第一批清理规范89项国务院部门行政审批中介服务事项的决定》（国务院国发〔2015〕58号）；</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（3）《水利部办公厅关于印发〈生产建设项目水土保持问题分类和责任追究标准〉的通知》（办水保函〔2020〕564号）；</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（4）《水利部办公厅关于进一步加强生产建设项目水土保持监测工作的通知》（办水保函〔2020〕161号）；</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（5）《水利部办公厅关于实施生产建设项目水土保持信用监管“两单”制度的通知》（办水保〔2020〕157号）；</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（6）《水利部水土保持监测中心关于印发&lt;</w:t>
      </w:r>
      <w:bookmarkStart w:id="39" w:name="OLE_LINK1"/>
      <w:r>
        <w:rPr>
          <w:rFonts w:ascii="Times New Roman" w:hAnsi="Times New Roman" w:eastAsia="仿宋_GB2312" w:cs="Times New Roman"/>
          <w:color w:val="auto"/>
          <w:szCs w:val="24"/>
        </w:rPr>
        <w:t>生产建设项目水土保持方案技术审查要点</w:t>
      </w:r>
      <w:bookmarkEnd w:id="39"/>
      <w:r>
        <w:rPr>
          <w:rFonts w:ascii="Times New Roman" w:hAnsi="Times New Roman" w:eastAsia="仿宋_GB2312" w:cs="Times New Roman"/>
          <w:color w:val="auto"/>
          <w:szCs w:val="24"/>
        </w:rPr>
        <w:t>&gt;的通知》（水保监〔2020〕63号）；</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7）</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水利部办公厅关于进一步优化开发区内生产建设项目水土保持管理工作的意见</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（办水保</w:t>
      </w:r>
      <w:r>
        <w:rPr>
          <w:rFonts w:ascii="Times New Roman" w:hAnsi="Times New Roman" w:eastAsia="仿宋_GB2312" w:cs="Times New Roman"/>
          <w:color w:val="auto"/>
          <w:szCs w:val="24"/>
        </w:rPr>
        <w:t>[2020]235</w:t>
      </w:r>
      <w:r>
        <w:rPr>
          <w:rFonts w:hint="eastAsia" w:ascii="Times New Roman" w:hAnsi="Times New Roman" w:eastAsia="仿宋_GB2312" w:cs="Times New Roman"/>
          <w:color w:val="auto"/>
          <w:szCs w:val="24"/>
        </w:rPr>
        <w:t>号）；</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8</w:t>
      </w:r>
      <w:r>
        <w:rPr>
          <w:rFonts w:ascii="Times New Roman" w:hAnsi="Times New Roman" w:eastAsia="仿宋_GB2312" w:cs="Times New Roman"/>
          <w:color w:val="auto"/>
          <w:szCs w:val="24"/>
        </w:rPr>
        <w:t>）《水利部办公厅关于印发生产建设项目水土保持监督管理办法的通知》（办水保〔2019〕172号）；</w:t>
      </w:r>
    </w:p>
    <w:p>
      <w:pPr>
        <w:adjustRightIn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（9）水利部关于进一步深化“放管服”改革全面加强水土保持监管的意见（水保〔2019〕160号）；</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10</w:t>
      </w:r>
      <w:r>
        <w:rPr>
          <w:rFonts w:ascii="Times New Roman" w:hAnsi="Times New Roman" w:eastAsia="仿宋_GB2312" w:cs="Times New Roman"/>
          <w:color w:val="auto"/>
          <w:szCs w:val="24"/>
        </w:rPr>
        <w:t>）《水利部办公厅关于印发生产建设项目水土保持技术文件编写和印制格式规定（试行）的通知》（办水保</w:t>
      </w:r>
      <w:r>
        <w:rPr>
          <w:rFonts w:hint="eastAsia" w:ascii="宋体" w:hAnsi="宋体" w:cs="宋体"/>
          <w:color w:val="auto"/>
          <w:szCs w:val="24"/>
        </w:rPr>
        <w:t>﹝</w:t>
      </w:r>
      <w:r>
        <w:rPr>
          <w:rFonts w:ascii="Times New Roman" w:hAnsi="Times New Roman" w:eastAsia="仿宋_GB2312" w:cs="Times New Roman"/>
          <w:color w:val="auto"/>
          <w:szCs w:val="24"/>
        </w:rPr>
        <w:t>2018</w:t>
      </w:r>
      <w:r>
        <w:rPr>
          <w:rFonts w:hint="eastAsia" w:ascii="宋体" w:hAnsi="宋体" w:cs="宋体"/>
          <w:color w:val="auto"/>
          <w:szCs w:val="24"/>
        </w:rPr>
        <w:t>﹞</w:t>
      </w:r>
      <w:r>
        <w:rPr>
          <w:rFonts w:ascii="Times New Roman" w:hAnsi="Times New Roman" w:eastAsia="仿宋_GB2312" w:cs="Times New Roman"/>
          <w:color w:val="auto"/>
          <w:szCs w:val="24"/>
        </w:rPr>
        <w:t>135号）；</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11</w:t>
      </w:r>
      <w:r>
        <w:rPr>
          <w:rFonts w:ascii="Times New Roman" w:hAnsi="Times New Roman" w:eastAsia="仿宋_GB2312" w:cs="Times New Roman"/>
          <w:color w:val="auto"/>
          <w:szCs w:val="24"/>
        </w:rPr>
        <w:t>）《水利部办公厅关于印发生产建设项目水土保持设施自主验收规程（试行）的通知》（办水保〔2018〕133号）；</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（1</w:t>
      </w:r>
      <w:r>
        <w:rPr>
          <w:rFonts w:hint="eastAsia" w:ascii="Times New Roman" w:hAnsi="Times New Roman" w:eastAsia="仿宋_GB2312" w:cs="Times New Roman"/>
          <w:color w:val="auto"/>
          <w:szCs w:val="24"/>
        </w:rPr>
        <w:t>2</w:t>
      </w:r>
      <w:r>
        <w:rPr>
          <w:rFonts w:ascii="Times New Roman" w:hAnsi="Times New Roman" w:eastAsia="仿宋_GB2312" w:cs="Times New Roman"/>
          <w:color w:val="auto"/>
          <w:szCs w:val="24"/>
        </w:rPr>
        <w:t>）《水利部关于加强事中事后监管规范生产建设项目水土保持设施自主验收的通知》（水保〔2017〕365号）；</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（1</w:t>
      </w:r>
      <w:r>
        <w:rPr>
          <w:rFonts w:hint="eastAsia" w:ascii="Times New Roman" w:hAnsi="Times New Roman" w:eastAsia="仿宋_GB2312" w:cs="Times New Roman"/>
          <w:color w:val="auto"/>
          <w:szCs w:val="24"/>
        </w:rPr>
        <w:t>3</w:t>
      </w:r>
      <w:r>
        <w:rPr>
          <w:rFonts w:ascii="Times New Roman" w:hAnsi="Times New Roman" w:eastAsia="仿宋_GB2312" w:cs="Times New Roman"/>
          <w:color w:val="auto"/>
          <w:szCs w:val="24"/>
        </w:rPr>
        <w:t>）《水利部生产建设项目水土保持方案变更管理规定（试行）》（办水保〔2016〕65号）；</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（1</w:t>
      </w:r>
      <w:r>
        <w:rPr>
          <w:rFonts w:hint="eastAsia" w:ascii="Times New Roman" w:hAnsi="Times New Roman" w:eastAsia="仿宋_GB2312" w:cs="Times New Roman"/>
          <w:color w:val="auto"/>
          <w:szCs w:val="24"/>
        </w:rPr>
        <w:t>4</w:t>
      </w:r>
      <w:r>
        <w:rPr>
          <w:rFonts w:ascii="Times New Roman" w:hAnsi="Times New Roman" w:eastAsia="仿宋_GB2312" w:cs="Times New Roman"/>
          <w:color w:val="auto"/>
          <w:szCs w:val="24"/>
        </w:rPr>
        <w:t>）《江西省人民政府关于发布〈江西省生态保护红线〉的通知》（赣府发〔2018〕21号）</w:t>
      </w:r>
      <w:r>
        <w:rPr>
          <w:rFonts w:hint="eastAsia" w:ascii="Times New Roman" w:hAnsi="Times New Roman" w:eastAsia="仿宋_GB2312" w:cs="Times New Roman"/>
          <w:color w:val="auto"/>
          <w:szCs w:val="24"/>
        </w:rPr>
        <w:t>；</w:t>
      </w:r>
    </w:p>
    <w:p>
      <w:pPr>
        <w:adjustRightIn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（15）《江西省水利厅关于印发〈江西省水土保持区域评估办法（试行）〉〈江西省洪水影响区域评估办法（试行）〉〈江西省水资源论证区域评估办法（试行）〉</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（赣水规范文〔2020〕10号）</w:t>
      </w:r>
      <w:r>
        <w:rPr>
          <w:rFonts w:ascii="Times New Roman" w:hAnsi="Times New Roman" w:eastAsia="仿宋_GB2312" w:cs="Times New Roman"/>
          <w:color w:val="auto"/>
          <w:szCs w:val="24"/>
        </w:rPr>
        <w:t>。</w:t>
      </w:r>
    </w:p>
    <w:p>
      <w:pPr>
        <w:pStyle w:val="6"/>
        <w:rPr>
          <w:rFonts w:eastAsia="仿宋_GB2312"/>
          <w:bCs w:val="0"/>
          <w:color w:val="auto"/>
          <w:szCs w:val="30"/>
        </w:rPr>
      </w:pPr>
      <w:r>
        <w:rPr>
          <w:rFonts w:eastAsia="仿宋_GB2312"/>
          <w:bCs w:val="0"/>
          <w:color w:val="auto"/>
          <w:szCs w:val="30"/>
        </w:rPr>
        <w:t>1.2.</w:t>
      </w:r>
      <w:r>
        <w:rPr>
          <w:rFonts w:hint="eastAsia" w:eastAsia="仿宋_GB2312"/>
          <w:bCs w:val="0"/>
          <w:color w:val="auto"/>
          <w:szCs w:val="30"/>
        </w:rPr>
        <w:t>3</w:t>
      </w:r>
      <w:r>
        <w:rPr>
          <w:rFonts w:eastAsia="仿宋_GB2312"/>
          <w:bCs w:val="0"/>
          <w:color w:val="auto"/>
          <w:szCs w:val="30"/>
        </w:rPr>
        <w:t xml:space="preserve"> 技术标准</w:t>
      </w:r>
    </w:p>
    <w:p>
      <w:pPr>
        <w:adjustRightInd w:val="0"/>
        <w:spacing w:line="360" w:lineRule="auto"/>
        <w:ind w:firstLine="480" w:firstLineChars="200"/>
        <w:rPr>
          <w:rFonts w:ascii="Times New Roman" w:hAnsi="Times New Roman" w:eastAsia="仿宋_GB2312" w:cs="Times New Roman"/>
          <w:color w:val="auto"/>
          <w:szCs w:val="32"/>
        </w:rPr>
      </w:pPr>
      <w:r>
        <w:rPr>
          <w:rFonts w:hint="eastAsia" w:ascii="Times New Roman" w:hAnsi="Times New Roman" w:eastAsia="仿宋_GB2312" w:cs="Times New Roman"/>
          <w:color w:val="auto"/>
          <w:szCs w:val="32"/>
        </w:rPr>
        <w:t>（1）</w:t>
      </w:r>
      <w:r>
        <w:rPr>
          <w:rFonts w:ascii="Times New Roman" w:hAnsi="Times New Roman" w:eastAsia="仿宋_GB2312" w:cs="Times New Roman"/>
          <w:color w:val="auto"/>
          <w:szCs w:val="32"/>
        </w:rPr>
        <w:t>《生产建设项目水土保持技术标准》（GB 50433-2018）；</w:t>
      </w:r>
    </w:p>
    <w:p>
      <w:pPr>
        <w:adjustRightInd w:val="0"/>
        <w:spacing w:line="360" w:lineRule="auto"/>
        <w:ind w:firstLine="480" w:firstLineChars="200"/>
        <w:rPr>
          <w:rFonts w:ascii="Times New Roman" w:hAnsi="Times New Roman" w:eastAsia="仿宋_GB2312" w:cs="Times New Roman"/>
          <w:color w:val="auto"/>
          <w:szCs w:val="32"/>
        </w:rPr>
      </w:pPr>
      <w:r>
        <w:rPr>
          <w:rFonts w:ascii="Times New Roman" w:hAnsi="Times New Roman" w:eastAsia="仿宋_GB2312" w:cs="Times New Roman"/>
          <w:color w:val="auto"/>
          <w:szCs w:val="32"/>
        </w:rPr>
        <w:t>（</w:t>
      </w:r>
      <w:r>
        <w:rPr>
          <w:rFonts w:hint="eastAsia" w:ascii="Times New Roman" w:hAnsi="Times New Roman" w:eastAsia="仿宋_GB2312" w:cs="Times New Roman"/>
          <w:color w:val="auto"/>
          <w:szCs w:val="32"/>
        </w:rPr>
        <w:t>2</w:t>
      </w:r>
      <w:r>
        <w:rPr>
          <w:rFonts w:ascii="Times New Roman" w:hAnsi="Times New Roman" w:eastAsia="仿宋_GB2312" w:cs="Times New Roman"/>
          <w:color w:val="auto"/>
          <w:szCs w:val="32"/>
        </w:rPr>
        <w:t>）《生产建设项目水土流失防治标准》（GB/T50434-2018）；</w:t>
      </w:r>
    </w:p>
    <w:p>
      <w:pPr>
        <w:adjustRightInd w:val="0"/>
        <w:spacing w:line="360" w:lineRule="auto"/>
        <w:ind w:firstLine="480" w:firstLineChars="200"/>
        <w:rPr>
          <w:rFonts w:ascii="Times New Roman" w:hAnsi="Times New Roman" w:eastAsia="仿宋_GB2312" w:cs="Times New Roman"/>
          <w:color w:val="auto"/>
          <w:szCs w:val="32"/>
        </w:rPr>
      </w:pPr>
      <w:r>
        <w:rPr>
          <w:rFonts w:ascii="Times New Roman" w:hAnsi="Times New Roman" w:eastAsia="仿宋_GB2312" w:cs="Times New Roman"/>
          <w:color w:val="auto"/>
          <w:szCs w:val="32"/>
        </w:rPr>
        <w:t>（</w:t>
      </w:r>
      <w:r>
        <w:rPr>
          <w:rFonts w:hint="eastAsia" w:ascii="Times New Roman" w:hAnsi="Times New Roman" w:eastAsia="仿宋_GB2312" w:cs="Times New Roman"/>
          <w:color w:val="auto"/>
          <w:szCs w:val="32"/>
        </w:rPr>
        <w:t>3</w:t>
      </w:r>
      <w:r>
        <w:rPr>
          <w:rFonts w:ascii="Times New Roman" w:hAnsi="Times New Roman" w:eastAsia="仿宋_GB2312" w:cs="Times New Roman"/>
          <w:color w:val="auto"/>
          <w:szCs w:val="32"/>
        </w:rPr>
        <w:t>）《生产建设项目水土保持监测与评价标准》（GB</w:t>
      </w:r>
      <w:r>
        <w:rPr>
          <w:rFonts w:hint="eastAsia" w:ascii="Times New Roman" w:hAnsi="Times New Roman" w:eastAsia="仿宋_GB2312" w:cs="Times New Roman"/>
          <w:color w:val="auto"/>
          <w:szCs w:val="32"/>
        </w:rPr>
        <w:t xml:space="preserve">/T </w:t>
      </w:r>
      <w:r>
        <w:rPr>
          <w:rFonts w:ascii="Times New Roman" w:hAnsi="Times New Roman" w:eastAsia="仿宋_GB2312" w:cs="Times New Roman"/>
          <w:color w:val="auto"/>
          <w:szCs w:val="32"/>
        </w:rPr>
        <w:t>51240-2018）；</w:t>
      </w:r>
    </w:p>
    <w:p>
      <w:pPr>
        <w:adjustRightInd w:val="0"/>
        <w:spacing w:line="360" w:lineRule="auto"/>
        <w:ind w:firstLine="480" w:firstLineChars="200"/>
        <w:rPr>
          <w:rFonts w:ascii="Times New Roman" w:hAnsi="Times New Roman" w:eastAsia="仿宋_GB2312" w:cs="Times New Roman"/>
          <w:color w:val="auto"/>
          <w:szCs w:val="32"/>
        </w:rPr>
      </w:pPr>
      <w:r>
        <w:rPr>
          <w:rFonts w:ascii="Times New Roman" w:hAnsi="Times New Roman" w:eastAsia="仿宋_GB2312" w:cs="Times New Roman"/>
          <w:color w:val="auto"/>
          <w:szCs w:val="32"/>
        </w:rPr>
        <w:t>（</w:t>
      </w:r>
      <w:r>
        <w:rPr>
          <w:rFonts w:hint="eastAsia" w:ascii="Times New Roman" w:hAnsi="Times New Roman" w:eastAsia="仿宋_GB2312" w:cs="Times New Roman"/>
          <w:color w:val="auto"/>
          <w:szCs w:val="32"/>
        </w:rPr>
        <w:t>4</w:t>
      </w:r>
      <w:r>
        <w:rPr>
          <w:rFonts w:ascii="Times New Roman" w:hAnsi="Times New Roman" w:eastAsia="仿宋_GB2312" w:cs="Times New Roman"/>
          <w:color w:val="auto"/>
          <w:szCs w:val="32"/>
        </w:rPr>
        <w:t>）《水土保持工程调查与勘测标准》（GB</w:t>
      </w:r>
      <w:r>
        <w:rPr>
          <w:rFonts w:hint="eastAsia" w:ascii="Times New Roman" w:hAnsi="Times New Roman" w:eastAsia="仿宋_GB2312" w:cs="Times New Roman"/>
          <w:color w:val="auto"/>
          <w:szCs w:val="32"/>
        </w:rPr>
        <w:t xml:space="preserve">/T </w:t>
      </w:r>
      <w:r>
        <w:rPr>
          <w:rFonts w:ascii="Times New Roman" w:hAnsi="Times New Roman" w:eastAsia="仿宋_GB2312" w:cs="Times New Roman"/>
          <w:color w:val="auto"/>
          <w:szCs w:val="32"/>
        </w:rPr>
        <w:t>51297-2018）；</w:t>
      </w:r>
    </w:p>
    <w:p>
      <w:pPr>
        <w:adjustRightInd w:val="0"/>
        <w:spacing w:line="360" w:lineRule="auto"/>
        <w:ind w:firstLine="480" w:firstLineChars="200"/>
        <w:rPr>
          <w:rFonts w:ascii="Times New Roman" w:hAnsi="Times New Roman" w:eastAsia="仿宋_GB2312" w:cs="Times New Roman"/>
          <w:color w:val="auto"/>
          <w:szCs w:val="32"/>
        </w:rPr>
      </w:pPr>
      <w:r>
        <w:rPr>
          <w:rFonts w:ascii="Times New Roman" w:hAnsi="Times New Roman" w:eastAsia="仿宋_GB2312" w:cs="Times New Roman"/>
          <w:color w:val="auto"/>
          <w:szCs w:val="32"/>
        </w:rPr>
        <w:t>（</w:t>
      </w:r>
      <w:r>
        <w:rPr>
          <w:rFonts w:hint="eastAsia" w:ascii="Times New Roman" w:hAnsi="Times New Roman" w:eastAsia="仿宋_GB2312" w:cs="Times New Roman"/>
          <w:color w:val="auto"/>
          <w:szCs w:val="32"/>
        </w:rPr>
        <w:t>5</w:t>
      </w:r>
      <w:r>
        <w:rPr>
          <w:rFonts w:ascii="Times New Roman" w:hAnsi="Times New Roman" w:eastAsia="仿宋_GB2312" w:cs="Times New Roman"/>
          <w:color w:val="auto"/>
          <w:szCs w:val="32"/>
        </w:rPr>
        <w:t>）《生产建设项目土壤流失量测算导则》（SL 773-2018）；</w:t>
      </w:r>
    </w:p>
    <w:p>
      <w:pPr>
        <w:adjustRightInd w:val="0"/>
        <w:spacing w:line="360" w:lineRule="auto"/>
        <w:ind w:firstLine="480" w:firstLineChars="200"/>
        <w:rPr>
          <w:rFonts w:ascii="Times New Roman" w:hAnsi="Times New Roman" w:eastAsia="仿宋_GB2312" w:cs="Times New Roman"/>
          <w:color w:val="auto"/>
          <w:szCs w:val="32"/>
        </w:rPr>
      </w:pPr>
      <w:r>
        <w:rPr>
          <w:rFonts w:ascii="Times New Roman" w:hAnsi="Times New Roman" w:eastAsia="仿宋_GB2312" w:cs="Times New Roman"/>
          <w:color w:val="auto"/>
          <w:szCs w:val="32"/>
        </w:rPr>
        <w:t>（</w:t>
      </w:r>
      <w:r>
        <w:rPr>
          <w:rFonts w:hint="eastAsia" w:ascii="Times New Roman" w:hAnsi="Times New Roman" w:eastAsia="仿宋_GB2312" w:cs="Times New Roman"/>
          <w:color w:val="auto"/>
          <w:szCs w:val="32"/>
        </w:rPr>
        <w:t>6</w:t>
      </w:r>
      <w:r>
        <w:rPr>
          <w:rFonts w:ascii="Times New Roman" w:hAnsi="Times New Roman" w:eastAsia="仿宋_GB2312" w:cs="Times New Roman"/>
          <w:color w:val="auto"/>
          <w:szCs w:val="32"/>
        </w:rPr>
        <w:t>）《水利水电工程制图标准—水土保持图》（SL73.6-2015）；</w:t>
      </w:r>
    </w:p>
    <w:p>
      <w:pPr>
        <w:adjustRightInd w:val="0"/>
        <w:spacing w:line="360" w:lineRule="auto"/>
        <w:ind w:firstLine="480" w:firstLineChars="200"/>
        <w:rPr>
          <w:rFonts w:ascii="Times New Roman" w:hAnsi="Times New Roman" w:eastAsia="仿宋_GB2312" w:cs="Times New Roman"/>
          <w:color w:val="auto"/>
          <w:szCs w:val="32"/>
        </w:rPr>
      </w:pPr>
      <w:r>
        <w:rPr>
          <w:rFonts w:ascii="Times New Roman" w:hAnsi="Times New Roman" w:eastAsia="仿宋_GB2312" w:cs="Times New Roman"/>
          <w:color w:val="auto"/>
          <w:szCs w:val="32"/>
        </w:rPr>
        <w:t>（</w:t>
      </w:r>
      <w:r>
        <w:rPr>
          <w:rFonts w:hint="eastAsia" w:ascii="Times New Roman" w:hAnsi="Times New Roman" w:eastAsia="仿宋_GB2312" w:cs="Times New Roman"/>
          <w:color w:val="auto"/>
          <w:szCs w:val="32"/>
        </w:rPr>
        <w:t>7</w:t>
      </w:r>
      <w:r>
        <w:rPr>
          <w:rFonts w:ascii="Times New Roman" w:hAnsi="Times New Roman" w:eastAsia="仿宋_GB2312" w:cs="Times New Roman"/>
          <w:color w:val="auto"/>
          <w:szCs w:val="32"/>
        </w:rPr>
        <w:t>）《水土保持工程设计规范》（GB51018-2014）；</w:t>
      </w:r>
    </w:p>
    <w:p>
      <w:pPr>
        <w:adjustRightInd w:val="0"/>
        <w:spacing w:line="360" w:lineRule="auto"/>
        <w:ind w:firstLine="480" w:firstLineChars="200"/>
        <w:rPr>
          <w:rFonts w:ascii="Times New Roman" w:hAnsi="Times New Roman" w:eastAsia="仿宋_GB2312" w:cs="Times New Roman"/>
          <w:color w:val="auto"/>
          <w:szCs w:val="32"/>
        </w:rPr>
      </w:pPr>
      <w:r>
        <w:rPr>
          <w:rFonts w:ascii="Times New Roman" w:hAnsi="Times New Roman" w:eastAsia="仿宋_GB2312" w:cs="Times New Roman"/>
          <w:color w:val="auto"/>
          <w:szCs w:val="32"/>
        </w:rPr>
        <w:t>（</w:t>
      </w:r>
      <w:r>
        <w:rPr>
          <w:rFonts w:hint="eastAsia" w:ascii="Times New Roman" w:hAnsi="Times New Roman" w:eastAsia="仿宋_GB2312" w:cs="Times New Roman"/>
          <w:color w:val="auto"/>
          <w:szCs w:val="32"/>
        </w:rPr>
        <w:t>8</w:t>
      </w:r>
      <w:r>
        <w:rPr>
          <w:rFonts w:ascii="Times New Roman" w:hAnsi="Times New Roman" w:eastAsia="仿宋_GB2312" w:cs="Times New Roman"/>
          <w:color w:val="auto"/>
          <w:szCs w:val="32"/>
        </w:rPr>
        <w:t>）《水土保持工程概算定额》（水利部水总[2003]67号）；</w:t>
      </w:r>
    </w:p>
    <w:p>
      <w:pPr>
        <w:spacing w:line="360" w:lineRule="auto"/>
        <w:ind w:firstLine="480" w:firstLineChars="200"/>
        <w:rPr>
          <w:rFonts w:ascii="Times New Roman" w:hAnsi="Times New Roman" w:eastAsia="仿宋_GB2312" w:cs="Times New Roman"/>
          <w:color w:val="auto"/>
          <w:szCs w:val="32"/>
        </w:rPr>
      </w:pPr>
      <w:r>
        <w:rPr>
          <w:rFonts w:ascii="Times New Roman" w:hAnsi="Times New Roman" w:eastAsia="仿宋_GB2312" w:cs="Times New Roman"/>
          <w:color w:val="auto"/>
          <w:szCs w:val="32"/>
        </w:rPr>
        <w:t>（</w:t>
      </w:r>
      <w:r>
        <w:rPr>
          <w:rFonts w:hint="eastAsia" w:ascii="Times New Roman" w:hAnsi="Times New Roman" w:eastAsia="仿宋_GB2312" w:cs="Times New Roman"/>
          <w:color w:val="auto"/>
          <w:szCs w:val="32"/>
        </w:rPr>
        <w:t>9</w:t>
      </w:r>
      <w:r>
        <w:rPr>
          <w:rFonts w:ascii="Times New Roman" w:hAnsi="Times New Roman" w:eastAsia="仿宋_GB2312" w:cs="Times New Roman"/>
          <w:color w:val="auto"/>
          <w:szCs w:val="32"/>
        </w:rPr>
        <w:t>）《土地利用现状分类》（GB/T21010-2017）；</w:t>
      </w:r>
    </w:p>
    <w:p>
      <w:pPr>
        <w:spacing w:line="360" w:lineRule="auto"/>
        <w:ind w:firstLine="480" w:firstLineChars="200"/>
        <w:rPr>
          <w:rFonts w:ascii="Times New Roman" w:hAnsi="Times New Roman" w:eastAsia="仿宋_GB2312" w:cs="Times New Roman"/>
          <w:color w:val="auto"/>
          <w:szCs w:val="32"/>
        </w:rPr>
      </w:pPr>
      <w:r>
        <w:rPr>
          <w:rFonts w:ascii="Times New Roman" w:hAnsi="Times New Roman" w:eastAsia="仿宋_GB2312" w:cs="Times New Roman"/>
          <w:color w:val="auto"/>
          <w:szCs w:val="32"/>
        </w:rPr>
        <w:t>（</w:t>
      </w:r>
      <w:r>
        <w:rPr>
          <w:rFonts w:hint="eastAsia" w:ascii="Times New Roman" w:hAnsi="Times New Roman" w:eastAsia="仿宋_GB2312" w:cs="Times New Roman"/>
          <w:color w:val="auto"/>
          <w:szCs w:val="32"/>
        </w:rPr>
        <w:t>10</w:t>
      </w:r>
      <w:r>
        <w:rPr>
          <w:rFonts w:ascii="Times New Roman" w:hAnsi="Times New Roman" w:eastAsia="仿宋_GB2312" w:cs="Times New Roman"/>
          <w:color w:val="auto"/>
          <w:szCs w:val="32"/>
        </w:rPr>
        <w:t>）《水土保持监测技术规程》（SL 277-2002）；</w:t>
      </w:r>
    </w:p>
    <w:p>
      <w:pPr>
        <w:spacing w:line="360" w:lineRule="auto"/>
        <w:ind w:firstLine="480" w:firstLineChars="200"/>
        <w:rPr>
          <w:rFonts w:ascii="Times New Roman" w:hAnsi="Times New Roman" w:eastAsia="仿宋_GB2312" w:cs="Times New Roman"/>
          <w:color w:val="auto"/>
          <w:szCs w:val="32"/>
        </w:rPr>
      </w:pPr>
      <w:r>
        <w:rPr>
          <w:rFonts w:ascii="Times New Roman" w:hAnsi="Times New Roman" w:eastAsia="仿宋_GB2312" w:cs="Times New Roman"/>
          <w:color w:val="auto"/>
          <w:szCs w:val="32"/>
        </w:rPr>
        <w:t>（</w:t>
      </w:r>
      <w:r>
        <w:rPr>
          <w:rFonts w:hint="eastAsia" w:ascii="Times New Roman" w:hAnsi="Times New Roman" w:eastAsia="仿宋_GB2312" w:cs="Times New Roman"/>
          <w:color w:val="auto"/>
          <w:szCs w:val="32"/>
        </w:rPr>
        <w:t>11</w:t>
      </w:r>
      <w:r>
        <w:rPr>
          <w:rFonts w:ascii="Times New Roman" w:hAnsi="Times New Roman" w:eastAsia="仿宋_GB2312" w:cs="Times New Roman"/>
          <w:color w:val="auto"/>
          <w:szCs w:val="32"/>
        </w:rPr>
        <w:t>）《水土保持遥感监测技术规范》（SL592-2012）；</w:t>
      </w:r>
    </w:p>
    <w:p>
      <w:pPr>
        <w:spacing w:line="360" w:lineRule="auto"/>
        <w:ind w:firstLine="480" w:firstLineChars="200"/>
        <w:rPr>
          <w:rFonts w:ascii="Times New Roman" w:hAnsi="Times New Roman" w:eastAsia="仿宋_GB2312" w:cs="Times New Roman"/>
          <w:color w:val="auto"/>
          <w:szCs w:val="32"/>
        </w:rPr>
      </w:pPr>
      <w:r>
        <w:rPr>
          <w:rFonts w:hint="eastAsia" w:ascii="Times New Roman" w:hAnsi="Times New Roman" w:eastAsia="仿宋_GB2312" w:cs="Times New Roman"/>
          <w:color w:val="auto"/>
          <w:szCs w:val="32"/>
        </w:rPr>
        <w:t>（12）</w:t>
      </w:r>
      <w:r>
        <w:rPr>
          <w:rFonts w:ascii="Times New Roman" w:hAnsi="Times New Roman" w:eastAsia="仿宋_GB2312" w:cs="Times New Roman"/>
          <w:color w:val="auto"/>
          <w:szCs w:val="32"/>
        </w:rPr>
        <w:t>《</w:t>
      </w:r>
      <w:r>
        <w:rPr>
          <w:rFonts w:hint="eastAsia" w:ascii="Times New Roman" w:hAnsi="Times New Roman" w:eastAsia="仿宋_GB2312" w:cs="Times New Roman"/>
          <w:color w:val="auto"/>
          <w:szCs w:val="32"/>
        </w:rPr>
        <w:t>防洪标准</w:t>
      </w:r>
      <w:r>
        <w:rPr>
          <w:rFonts w:ascii="Times New Roman" w:hAnsi="Times New Roman" w:eastAsia="仿宋_GB2312" w:cs="Times New Roman"/>
          <w:color w:val="auto"/>
          <w:szCs w:val="32"/>
        </w:rPr>
        <w:t>》（</w:t>
      </w:r>
      <w:r>
        <w:rPr>
          <w:rFonts w:hint="eastAsia" w:ascii="Times New Roman" w:hAnsi="Times New Roman" w:eastAsia="仿宋_GB2312" w:cs="Times New Roman"/>
          <w:color w:val="auto"/>
          <w:szCs w:val="32"/>
        </w:rPr>
        <w:t>GB50</w:t>
      </w:r>
      <w:r>
        <w:rPr>
          <w:rFonts w:ascii="Times New Roman" w:hAnsi="Times New Roman" w:eastAsia="仿宋_GB2312" w:cs="Times New Roman"/>
          <w:color w:val="auto"/>
          <w:szCs w:val="32"/>
        </w:rPr>
        <w:t>2</w:t>
      </w:r>
      <w:r>
        <w:rPr>
          <w:rFonts w:hint="eastAsia" w:ascii="Times New Roman" w:hAnsi="Times New Roman" w:eastAsia="仿宋_GB2312" w:cs="Times New Roman"/>
          <w:color w:val="auto"/>
          <w:szCs w:val="32"/>
        </w:rPr>
        <w:t>01-2014</w:t>
      </w:r>
      <w:r>
        <w:rPr>
          <w:rFonts w:ascii="Times New Roman" w:hAnsi="Times New Roman" w:eastAsia="仿宋_GB2312" w:cs="Times New Roman"/>
          <w:color w:val="auto"/>
          <w:szCs w:val="32"/>
        </w:rPr>
        <w:t>）</w:t>
      </w:r>
      <w:r>
        <w:rPr>
          <w:rFonts w:hint="eastAsia" w:ascii="Times New Roman" w:hAnsi="Times New Roman" w:eastAsia="仿宋_GB2312" w:cs="Times New Roman"/>
          <w:color w:val="auto"/>
          <w:szCs w:val="32"/>
        </w:rPr>
        <w:t>；</w:t>
      </w:r>
    </w:p>
    <w:p>
      <w:pPr>
        <w:adjustRightIn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32"/>
        </w:rPr>
        <w:t>（13）</w:t>
      </w:r>
      <w:r>
        <w:rPr>
          <w:rFonts w:ascii="Times New Roman" w:hAnsi="Times New Roman" w:eastAsia="仿宋_GB2312" w:cs="Times New Roman"/>
          <w:color w:val="auto"/>
          <w:szCs w:val="32"/>
        </w:rPr>
        <w:t>《室外排水设计规范》（GB50014-20</w:t>
      </w:r>
      <w:r>
        <w:rPr>
          <w:rFonts w:hint="eastAsia" w:ascii="Times New Roman" w:hAnsi="Times New Roman" w:eastAsia="仿宋_GB2312" w:cs="Times New Roman"/>
          <w:color w:val="auto"/>
          <w:szCs w:val="32"/>
        </w:rPr>
        <w:t>21</w:t>
      </w:r>
      <w:r>
        <w:rPr>
          <w:rFonts w:ascii="Times New Roman" w:hAnsi="Times New Roman" w:eastAsia="仿宋_GB2312" w:cs="Times New Roman"/>
          <w:color w:val="auto"/>
          <w:szCs w:val="32"/>
        </w:rPr>
        <w:t>）。</w:t>
      </w:r>
    </w:p>
    <w:p>
      <w:pPr>
        <w:pStyle w:val="6"/>
        <w:rPr>
          <w:rFonts w:eastAsia="仿宋_GB2312"/>
          <w:bCs w:val="0"/>
          <w:color w:val="auto"/>
          <w:szCs w:val="30"/>
        </w:rPr>
      </w:pPr>
      <w:r>
        <w:rPr>
          <w:rFonts w:eastAsia="仿宋_GB2312"/>
          <w:bCs w:val="0"/>
          <w:color w:val="auto"/>
          <w:szCs w:val="30"/>
        </w:rPr>
        <w:t>1.2.</w:t>
      </w:r>
      <w:r>
        <w:rPr>
          <w:rFonts w:hint="eastAsia" w:eastAsia="仿宋_GB2312"/>
          <w:bCs w:val="0"/>
          <w:color w:val="auto"/>
          <w:szCs w:val="30"/>
        </w:rPr>
        <w:t>4</w:t>
      </w:r>
      <w:r>
        <w:rPr>
          <w:rFonts w:eastAsia="仿宋_GB2312"/>
          <w:bCs w:val="0"/>
          <w:color w:val="auto"/>
          <w:szCs w:val="30"/>
        </w:rPr>
        <w:t>技术资料</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（1）《江西省暴雨洪水查算手册》(2010年版)；</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（2）《江西省水土保持公报》（20</w:t>
      </w:r>
      <w:r>
        <w:rPr>
          <w:rFonts w:hint="eastAsia" w:ascii="Times New Roman" w:hAnsi="Times New Roman" w:eastAsia="仿宋_GB2312" w:cs="Times New Roman"/>
          <w:color w:val="auto"/>
          <w:szCs w:val="24"/>
        </w:rPr>
        <w:t>20</w:t>
      </w:r>
      <w:r>
        <w:rPr>
          <w:rFonts w:ascii="Times New Roman" w:hAnsi="Times New Roman" w:eastAsia="仿宋_GB2312" w:cs="Times New Roman"/>
          <w:color w:val="auto"/>
          <w:szCs w:val="24"/>
        </w:rPr>
        <w:t>年）；</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3</w:t>
      </w:r>
      <w:r>
        <w:rPr>
          <w:rFonts w:ascii="Times New Roman" w:hAnsi="Times New Roman" w:eastAsia="仿宋_GB2312" w:cs="Times New Roman"/>
          <w:color w:val="auto"/>
          <w:szCs w:val="24"/>
        </w:rPr>
        <w:t>）《江西省水土保持规划（2016-2030年）》；</w:t>
      </w:r>
    </w:p>
    <w:p>
      <w:pPr>
        <w:adjustRightIn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（4）《南昌市水土保持规划（</w:t>
      </w:r>
      <w:r>
        <w:rPr>
          <w:rFonts w:ascii="Times New Roman" w:hAnsi="Times New Roman" w:eastAsia="仿宋_GB2312" w:cs="Times New Roman"/>
          <w:color w:val="auto"/>
          <w:szCs w:val="24"/>
        </w:rPr>
        <w:t>2016-2030年</w:t>
      </w:r>
      <w:r>
        <w:rPr>
          <w:rFonts w:hint="eastAsia" w:ascii="Times New Roman" w:hAnsi="Times New Roman" w:eastAsia="仿宋_GB2312" w:cs="Times New Roman"/>
          <w:color w:val="auto"/>
          <w:szCs w:val="24"/>
        </w:rPr>
        <w:t>）》；</w:t>
      </w:r>
    </w:p>
    <w:p>
      <w:pPr>
        <w:adjustRightIn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（5）《青山湖区水土保持规划（2016-2030年）》；</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6</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其他</w:t>
      </w:r>
      <w:r>
        <w:rPr>
          <w:rFonts w:ascii="Times New Roman" w:hAnsi="Times New Roman" w:eastAsia="仿宋_GB2312" w:cs="Times New Roman"/>
          <w:color w:val="auto"/>
          <w:szCs w:val="24"/>
        </w:rPr>
        <w:t>相关资料。</w:t>
      </w:r>
    </w:p>
    <w:p>
      <w:pPr>
        <w:pStyle w:val="5"/>
        <w:rPr>
          <w:rFonts w:eastAsia="仿宋_GB2312"/>
          <w:color w:val="auto"/>
        </w:rPr>
      </w:pPr>
      <w:bookmarkStart w:id="40" w:name="_Toc22169"/>
      <w:r>
        <w:rPr>
          <w:color w:val="auto"/>
        </w:rPr>
        <w:t>1.3</w:t>
      </w:r>
      <w:bookmarkEnd w:id="32"/>
      <w:bookmarkEnd w:id="33"/>
      <w:bookmarkEnd w:id="34"/>
      <w:bookmarkEnd w:id="35"/>
      <w:bookmarkEnd w:id="36"/>
      <w:bookmarkEnd w:id="37"/>
      <w:bookmarkEnd w:id="38"/>
      <w:r>
        <w:rPr>
          <w:rFonts w:eastAsia="仿宋_GB2312"/>
          <w:color w:val="auto"/>
        </w:rPr>
        <w:t>设计水平年</w:t>
      </w:r>
      <w:bookmarkEnd w:id="40"/>
    </w:p>
    <w:p>
      <w:pPr>
        <w:topLinePunct/>
        <w:adjustRightInd w:val="0"/>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本评估区域于</w:t>
      </w:r>
      <w:r>
        <w:rPr>
          <w:rFonts w:ascii="Times New Roman" w:hAnsi="Times New Roman" w:eastAsia="仿宋_GB2312" w:cs="Times New Roman"/>
          <w:color w:val="auto"/>
          <w:szCs w:val="24"/>
        </w:rPr>
        <w:t>20</w:t>
      </w:r>
      <w:r>
        <w:rPr>
          <w:rFonts w:hint="eastAsia" w:ascii="Times New Roman" w:hAnsi="Times New Roman" w:eastAsia="仿宋_GB2312" w:cs="Times New Roman"/>
          <w:color w:val="auto"/>
          <w:szCs w:val="24"/>
        </w:rPr>
        <w:t>21</w:t>
      </w:r>
      <w:r>
        <w:rPr>
          <w:rFonts w:ascii="Times New Roman" w:hAnsi="Times New Roman" w:eastAsia="仿宋_GB2312" w:cs="Times New Roman"/>
          <w:color w:val="auto"/>
          <w:szCs w:val="24"/>
        </w:rPr>
        <w:t>年</w:t>
      </w:r>
      <w:r>
        <w:rPr>
          <w:rFonts w:hint="eastAsia" w:ascii="Times New Roman" w:hAnsi="Times New Roman" w:eastAsia="仿宋_GB2312" w:cs="Times New Roman"/>
          <w:color w:val="auto"/>
          <w:szCs w:val="24"/>
        </w:rPr>
        <w:t>1</w:t>
      </w:r>
      <w:r>
        <w:rPr>
          <w:rFonts w:ascii="Times New Roman" w:hAnsi="Times New Roman" w:eastAsia="仿宋_GB2312" w:cs="Times New Roman"/>
          <w:color w:val="auto"/>
          <w:szCs w:val="24"/>
        </w:rPr>
        <w:t>月开工建设，计划于202</w:t>
      </w:r>
      <w:r>
        <w:rPr>
          <w:rFonts w:hint="eastAsia" w:ascii="Times New Roman" w:hAnsi="Times New Roman" w:eastAsia="仿宋_GB2312" w:cs="Times New Roman"/>
          <w:color w:val="auto"/>
          <w:szCs w:val="24"/>
        </w:rPr>
        <w:t>5</w:t>
      </w:r>
      <w:r>
        <w:rPr>
          <w:rFonts w:ascii="Times New Roman" w:hAnsi="Times New Roman" w:eastAsia="仿宋_GB2312" w:cs="Times New Roman"/>
          <w:color w:val="auto"/>
          <w:szCs w:val="24"/>
        </w:rPr>
        <w:t>年</w:t>
      </w:r>
      <w:r>
        <w:rPr>
          <w:rFonts w:hint="eastAsia" w:ascii="Times New Roman" w:hAnsi="Times New Roman" w:eastAsia="仿宋_GB2312" w:cs="Times New Roman"/>
          <w:color w:val="auto"/>
          <w:szCs w:val="24"/>
        </w:rPr>
        <w:t>12</w:t>
      </w:r>
      <w:r>
        <w:rPr>
          <w:rFonts w:ascii="Times New Roman" w:hAnsi="Times New Roman" w:eastAsia="仿宋_GB2312" w:cs="Times New Roman"/>
          <w:color w:val="auto"/>
          <w:szCs w:val="24"/>
        </w:rPr>
        <w:t>月完工。根据《生产建设项目水土保持技术标准》（GB50433-2018）中关于设计水平年的规定“建设类项目为主体工程完工后的当年或完工后的第一年”，确定本</w:t>
      </w:r>
      <w:r>
        <w:rPr>
          <w:rFonts w:hint="eastAsia" w:ascii="Times New Roman" w:hAnsi="Times New Roman" w:eastAsia="仿宋_GB2312" w:cs="Times New Roman"/>
          <w:color w:val="auto"/>
          <w:szCs w:val="24"/>
          <w:lang w:val="en-US" w:eastAsia="zh-CN"/>
        </w:rPr>
        <w:t>区域评估报告</w:t>
      </w:r>
      <w:r>
        <w:rPr>
          <w:rFonts w:ascii="Times New Roman" w:hAnsi="Times New Roman" w:eastAsia="仿宋_GB2312" w:cs="Times New Roman"/>
          <w:color w:val="auto"/>
          <w:szCs w:val="24"/>
        </w:rPr>
        <w:t>的设计水平年为完工的后</w:t>
      </w:r>
      <w:r>
        <w:rPr>
          <w:rFonts w:hint="eastAsia" w:ascii="Times New Roman" w:hAnsi="Times New Roman" w:eastAsia="仿宋_GB2312" w:cs="Times New Roman"/>
          <w:color w:val="auto"/>
          <w:szCs w:val="24"/>
          <w:lang w:val="en-US" w:eastAsia="zh-CN"/>
        </w:rPr>
        <w:t>第</w:t>
      </w:r>
      <w:r>
        <w:rPr>
          <w:rFonts w:hint="eastAsia" w:ascii="Times New Roman" w:hAnsi="Times New Roman" w:eastAsia="仿宋_GB2312" w:cs="Times New Roman"/>
          <w:color w:val="auto"/>
          <w:szCs w:val="24"/>
        </w:rPr>
        <w:t>一</w:t>
      </w:r>
      <w:r>
        <w:rPr>
          <w:rFonts w:ascii="Times New Roman" w:hAnsi="Times New Roman" w:eastAsia="仿宋_GB2312" w:cs="Times New Roman"/>
          <w:color w:val="auto"/>
          <w:szCs w:val="24"/>
        </w:rPr>
        <w:t>年，即202</w:t>
      </w:r>
      <w:r>
        <w:rPr>
          <w:rFonts w:hint="eastAsia" w:ascii="Times New Roman" w:hAnsi="Times New Roman" w:eastAsia="仿宋_GB2312" w:cs="Times New Roman"/>
          <w:color w:val="auto"/>
          <w:szCs w:val="24"/>
        </w:rPr>
        <w:t>6</w:t>
      </w:r>
      <w:r>
        <w:rPr>
          <w:rFonts w:ascii="Times New Roman" w:hAnsi="Times New Roman" w:eastAsia="仿宋_GB2312" w:cs="Times New Roman"/>
          <w:color w:val="auto"/>
          <w:szCs w:val="24"/>
        </w:rPr>
        <w:t>年。</w:t>
      </w:r>
    </w:p>
    <w:p>
      <w:pPr>
        <w:pStyle w:val="5"/>
        <w:rPr>
          <w:rFonts w:eastAsia="仿宋_GB2312"/>
          <w:color w:val="auto"/>
        </w:rPr>
      </w:pPr>
      <w:bookmarkStart w:id="41" w:name="_Toc17423"/>
      <w:r>
        <w:rPr>
          <w:color w:val="auto"/>
        </w:rPr>
        <w:t>1.4</w:t>
      </w:r>
      <w:r>
        <w:rPr>
          <w:rFonts w:eastAsia="仿宋_GB2312"/>
          <w:color w:val="auto"/>
        </w:rPr>
        <w:t>水土流失防治责任范围</w:t>
      </w:r>
      <w:bookmarkEnd w:id="41"/>
    </w:p>
    <w:p>
      <w:pPr>
        <w:widowControl/>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根据</w:t>
      </w:r>
      <w:r>
        <w:rPr>
          <w:rFonts w:ascii="Times New Roman" w:hAnsi="Times New Roman" w:eastAsia="仿宋_GB2312" w:cs="Times New Roman"/>
          <w:color w:val="auto"/>
          <w:szCs w:val="24"/>
        </w:rPr>
        <w:t>《生产建设项目水土保持技术标准》（GB50433-2018）</w:t>
      </w:r>
      <w:r>
        <w:rPr>
          <w:rFonts w:hint="eastAsia" w:ascii="Times New Roman" w:hAnsi="Times New Roman" w:eastAsia="仿宋_GB2312" w:cs="Times New Roman"/>
          <w:color w:val="auto"/>
          <w:szCs w:val="24"/>
        </w:rPr>
        <w:t>的要求，水土流失防治责任范围一般为纳入评估范围的区域全部规划用地范围。规划区本次纳入评估范围的规划用地面积总计为100hm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，即本次评估范围的水土流失防治责任范围，均</w:t>
      </w:r>
      <w:r>
        <w:rPr>
          <w:rFonts w:hint="eastAsia" w:ascii="Times New Roman" w:hAnsi="Times New Roman" w:eastAsia="仿宋_GB2312" w:cs="Times New Roman"/>
          <w:color w:val="auto"/>
          <w:szCs w:val="24"/>
          <w:lang w:val="en-US" w:eastAsia="zh-CN"/>
        </w:rPr>
        <w:t>位</w:t>
      </w:r>
      <w:r>
        <w:rPr>
          <w:rFonts w:hint="eastAsia" w:ascii="Times New Roman" w:hAnsi="Times New Roman" w:eastAsia="仿宋_GB2312" w:cs="Times New Roman"/>
          <w:color w:val="auto"/>
          <w:szCs w:val="24"/>
        </w:rPr>
        <w:t>于南昌市青山湖区境内。</w:t>
      </w:r>
    </w:p>
    <w:p>
      <w:pPr>
        <w:pStyle w:val="5"/>
        <w:rPr>
          <w:rFonts w:eastAsia="仿宋_GB2312"/>
          <w:color w:val="auto"/>
        </w:rPr>
      </w:pPr>
      <w:bookmarkStart w:id="42" w:name="_Toc7960"/>
      <w:r>
        <w:rPr>
          <w:color w:val="auto"/>
        </w:rPr>
        <w:t>1.5</w:t>
      </w:r>
      <w:r>
        <w:rPr>
          <w:rFonts w:eastAsia="仿宋_GB2312"/>
          <w:color w:val="auto"/>
        </w:rPr>
        <w:t>水土流失防治目标</w:t>
      </w:r>
      <w:bookmarkEnd w:id="42"/>
    </w:p>
    <w:p>
      <w:pPr>
        <w:pStyle w:val="6"/>
        <w:rPr>
          <w:rFonts w:eastAsia="仿宋_GB2312"/>
          <w:bCs w:val="0"/>
          <w:color w:val="auto"/>
          <w:szCs w:val="30"/>
        </w:rPr>
      </w:pPr>
      <w:r>
        <w:rPr>
          <w:rFonts w:eastAsia="仿宋_GB2312"/>
          <w:bCs w:val="0"/>
          <w:color w:val="auto"/>
          <w:szCs w:val="30"/>
        </w:rPr>
        <w:t>1.5.1执行目标等级</w:t>
      </w:r>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根据《生产建设项目水土保持技术标准》（GB50433-2018）、《生产建设项目水土流失防治标准》（GB</w:t>
      </w:r>
      <w:r>
        <w:rPr>
          <w:rFonts w:hint="eastAsia" w:ascii="Times New Roman" w:hAnsi="Times New Roman" w:eastAsia="仿宋_GB2312" w:cs="Times New Roman"/>
          <w:color w:val="auto"/>
          <w:szCs w:val="24"/>
          <w:lang w:val="en-US" w:eastAsia="zh-CN"/>
        </w:rPr>
        <w:t>/T</w:t>
      </w:r>
      <w:r>
        <w:rPr>
          <w:rFonts w:ascii="Times New Roman" w:hAnsi="Times New Roman" w:eastAsia="仿宋_GB2312" w:cs="Times New Roman"/>
          <w:color w:val="auto"/>
          <w:szCs w:val="24"/>
        </w:rPr>
        <w:t>50434-2018）、《江西省水土保持规划（2016-2030年）》</w:t>
      </w:r>
      <w:r>
        <w:rPr>
          <w:rFonts w:hint="eastAsia" w:ascii="Times New Roman" w:hAnsi="Times New Roman" w:eastAsia="仿宋_GB2312" w:cs="Times New Roman"/>
          <w:color w:val="auto"/>
          <w:szCs w:val="24"/>
        </w:rPr>
        <w:t>、《南昌市水土保持规划</w:t>
      </w:r>
      <w:r>
        <w:rPr>
          <w:rFonts w:ascii="Times New Roman" w:hAnsi="Times New Roman" w:eastAsia="仿宋_GB2312" w:cs="Times New Roman"/>
          <w:color w:val="auto"/>
          <w:szCs w:val="24"/>
        </w:rPr>
        <w:t>（2016-2030年）</w:t>
      </w:r>
      <w:r>
        <w:rPr>
          <w:rFonts w:hint="eastAsia" w:ascii="Times New Roman" w:hAnsi="Times New Roman" w:eastAsia="仿宋_GB2312" w:cs="Times New Roman"/>
          <w:color w:val="auto"/>
          <w:szCs w:val="24"/>
        </w:rPr>
        <w:t>》</w:t>
      </w:r>
      <w:r>
        <w:rPr>
          <w:rFonts w:hint="eastAsia" w:ascii="Times New Roman" w:hAnsi="Times New Roman" w:eastAsia="仿宋_GB2312" w:cs="Times New Roman"/>
          <w:color w:val="auto"/>
          <w:szCs w:val="24"/>
          <w:lang w:eastAsia="zh-CN"/>
        </w:rPr>
        <w:t>、</w:t>
      </w:r>
      <w:r>
        <w:rPr>
          <w:rFonts w:hint="eastAsia" w:ascii="Times New Roman" w:hAnsi="Times New Roman" w:eastAsia="仿宋_GB2312" w:cs="Times New Roman"/>
          <w:color w:val="auto"/>
          <w:szCs w:val="24"/>
        </w:rPr>
        <w:t>《青山湖区水土保持规划（2016-2030年）》等</w:t>
      </w:r>
      <w:r>
        <w:rPr>
          <w:rFonts w:ascii="Times New Roman" w:hAnsi="Times New Roman" w:eastAsia="仿宋_GB2312" w:cs="Times New Roman"/>
          <w:color w:val="auto"/>
          <w:szCs w:val="24"/>
        </w:rPr>
        <w:t>相关规范要求</w:t>
      </w:r>
      <w:r>
        <w:rPr>
          <w:rFonts w:hint="eastAsia" w:ascii="Times New Roman" w:hAnsi="Times New Roman" w:eastAsia="仿宋_GB2312" w:cs="Times New Roman"/>
          <w:color w:val="auto"/>
          <w:szCs w:val="24"/>
          <w:lang w:eastAsia="zh-CN"/>
        </w:rPr>
        <w:t>，</w:t>
      </w:r>
      <w:r>
        <w:rPr>
          <w:rFonts w:hint="eastAsia" w:ascii="Times New Roman" w:hAnsi="Times New Roman" w:eastAsia="仿宋_GB2312" w:cs="Times New Roman"/>
          <w:color w:val="auto"/>
          <w:szCs w:val="24"/>
        </w:rPr>
        <w:t>评估区域</w:t>
      </w:r>
      <w:r>
        <w:rPr>
          <w:rFonts w:ascii="Times New Roman" w:hAnsi="Times New Roman" w:eastAsia="仿宋_GB2312" w:cs="Times New Roman"/>
          <w:color w:val="auto"/>
          <w:szCs w:val="24"/>
        </w:rPr>
        <w:t>所在地</w:t>
      </w:r>
      <w:r>
        <w:rPr>
          <w:rFonts w:hint="eastAsia" w:ascii="Times New Roman" w:hAnsi="Times New Roman" w:eastAsia="仿宋_GB2312" w:cs="Times New Roman"/>
          <w:color w:val="auto"/>
          <w:szCs w:val="24"/>
        </w:rPr>
        <w:t>江西省南昌市青山湖区罗家镇</w:t>
      </w:r>
      <w:r>
        <w:rPr>
          <w:rFonts w:ascii="Times New Roman" w:hAnsi="Times New Roman" w:eastAsia="仿宋_GB2312" w:cs="Times New Roman"/>
          <w:color w:val="auto"/>
          <w:szCs w:val="24"/>
        </w:rPr>
        <w:t>位于南方红壤区，</w:t>
      </w:r>
      <w:r>
        <w:rPr>
          <w:rFonts w:hint="eastAsia" w:ascii="Times New Roman" w:hAnsi="Times New Roman" w:eastAsia="仿宋_GB2312" w:cs="Times New Roman"/>
          <w:color w:val="auto"/>
          <w:szCs w:val="24"/>
        </w:rPr>
        <w:t>属青山湖区水土流失重点预防区</w:t>
      </w:r>
      <w:r>
        <w:rPr>
          <w:rFonts w:hint="eastAsia" w:ascii="Times New Roman" w:hAnsi="Times New Roman" w:eastAsia="仿宋_GB2312" w:cs="Times New Roman"/>
          <w:color w:val="auto"/>
          <w:szCs w:val="24"/>
          <w:lang w:val="en-US" w:eastAsia="zh-CN"/>
        </w:rPr>
        <w:t>和县级及以上</w:t>
      </w:r>
      <w:r>
        <w:rPr>
          <w:rFonts w:hint="eastAsia" w:ascii="Times New Roman" w:hAnsi="Times New Roman" w:eastAsia="仿宋_GB2312" w:cs="Times New Roman"/>
          <w:color w:val="auto"/>
          <w:szCs w:val="24"/>
        </w:rPr>
        <w:t>城市区域</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lang w:val="en-US" w:eastAsia="zh-CN"/>
        </w:rPr>
        <w:t>因此，</w:t>
      </w:r>
      <w:r>
        <w:rPr>
          <w:rFonts w:ascii="Times New Roman" w:hAnsi="Times New Roman" w:eastAsia="仿宋_GB2312" w:cs="Times New Roman"/>
          <w:color w:val="auto"/>
          <w:szCs w:val="24"/>
        </w:rPr>
        <w:t>执行南方红壤区水土流失防治一级标准。</w:t>
      </w:r>
    </w:p>
    <w:p>
      <w:pPr>
        <w:pStyle w:val="6"/>
        <w:rPr>
          <w:rFonts w:eastAsia="仿宋_GB2312"/>
          <w:bCs w:val="0"/>
          <w:color w:val="auto"/>
          <w:szCs w:val="30"/>
        </w:rPr>
      </w:pPr>
      <w:r>
        <w:rPr>
          <w:rFonts w:eastAsia="仿宋_GB2312"/>
          <w:bCs w:val="0"/>
          <w:color w:val="auto"/>
          <w:szCs w:val="30"/>
        </w:rPr>
        <w:t>1.5.2防治目标</w:t>
      </w:r>
    </w:p>
    <w:p>
      <w:pPr>
        <w:pStyle w:val="168"/>
        <w:spacing w:line="360" w:lineRule="auto"/>
        <w:ind w:firstLine="480" w:firstLineChars="200"/>
        <w:rPr>
          <w:rFonts w:eastAsia="仿宋_GB2312" w:cs="Times New Roman"/>
          <w:color w:val="auto"/>
          <w:sz w:val="24"/>
          <w:szCs w:val="24"/>
          <w:lang w:val="en-US"/>
        </w:rPr>
      </w:pPr>
      <w:r>
        <w:rPr>
          <w:rFonts w:eastAsia="仿宋_GB2312" w:cs="Times New Roman"/>
          <w:color w:val="auto"/>
          <w:sz w:val="24"/>
          <w:szCs w:val="24"/>
        </w:rPr>
        <w:t>（1）评估</w:t>
      </w:r>
      <w:r>
        <w:rPr>
          <w:rFonts w:eastAsia="仿宋_GB2312" w:cs="Times New Roman"/>
          <w:color w:val="auto"/>
          <w:sz w:val="24"/>
          <w:szCs w:val="24"/>
          <w:lang w:val="en-US"/>
        </w:rPr>
        <w:t>区域的土壤侵蚀模数被背景值为</w:t>
      </w:r>
      <w:r>
        <w:rPr>
          <w:rFonts w:hint="eastAsia" w:eastAsia="仿宋_GB2312" w:cs="Times New Roman"/>
          <w:color w:val="auto"/>
          <w:sz w:val="24"/>
          <w:szCs w:val="24"/>
          <w:lang w:val="en-US"/>
        </w:rPr>
        <w:t>3</w:t>
      </w:r>
      <w:r>
        <w:rPr>
          <w:rFonts w:hint="eastAsia" w:eastAsia="仿宋_GB2312" w:cs="Times New Roman"/>
          <w:color w:val="auto"/>
          <w:sz w:val="24"/>
          <w:szCs w:val="24"/>
          <w:lang w:val="en-US" w:eastAsia="zh-CN"/>
        </w:rPr>
        <w:t>89</w:t>
      </w:r>
      <w:r>
        <w:rPr>
          <w:rFonts w:eastAsia="仿宋_GB2312" w:cs="Times New Roman"/>
          <w:color w:val="auto"/>
          <w:sz w:val="24"/>
          <w:szCs w:val="24"/>
          <w:lang w:val="en-US"/>
        </w:rPr>
        <w:t>t/km</w:t>
      </w:r>
      <w:r>
        <w:rPr>
          <w:rFonts w:eastAsia="仿宋_GB2312" w:cs="Times New Roman"/>
          <w:color w:val="auto"/>
          <w:sz w:val="24"/>
          <w:szCs w:val="24"/>
          <w:vertAlign w:val="superscript"/>
          <w:lang w:val="en-US"/>
        </w:rPr>
        <w:t>2</w:t>
      </w:r>
      <w:r>
        <w:rPr>
          <w:rFonts w:eastAsia="仿宋_GB2312" w:cs="Times New Roman"/>
          <w:color w:val="auto"/>
          <w:sz w:val="24"/>
          <w:szCs w:val="24"/>
          <w:lang w:val="en-US"/>
        </w:rPr>
        <w:t>·a，土壤侵蚀强度以微度</w:t>
      </w:r>
      <w:r>
        <w:rPr>
          <w:rFonts w:hint="eastAsia" w:eastAsia="仿宋_GB2312" w:cs="Times New Roman"/>
          <w:color w:val="auto"/>
          <w:sz w:val="24"/>
          <w:szCs w:val="24"/>
          <w:lang w:val="en-US" w:eastAsia="zh-CN"/>
        </w:rPr>
        <w:t>侵蚀</w:t>
      </w:r>
      <w:r>
        <w:rPr>
          <w:rFonts w:eastAsia="仿宋_GB2312" w:cs="Times New Roman"/>
          <w:color w:val="auto"/>
          <w:sz w:val="24"/>
          <w:szCs w:val="24"/>
          <w:lang w:val="en-US"/>
        </w:rPr>
        <w:t>为主</w:t>
      </w:r>
      <w:r>
        <w:rPr>
          <w:rFonts w:hint="eastAsia" w:eastAsia="仿宋_GB2312" w:cs="Times New Roman"/>
          <w:color w:val="auto"/>
          <w:sz w:val="24"/>
          <w:szCs w:val="24"/>
          <w:lang w:val="en-US" w:eastAsia="zh-CN"/>
        </w:rPr>
        <w:t>，</w:t>
      </w:r>
      <w:r>
        <w:rPr>
          <w:rFonts w:eastAsia="仿宋_GB2312" w:cs="Times New Roman"/>
          <w:color w:val="auto"/>
          <w:sz w:val="24"/>
          <w:szCs w:val="24"/>
          <w:lang w:val="en-US"/>
        </w:rPr>
        <w:t>土壤流失控制比应提高至1.0。</w:t>
      </w:r>
    </w:p>
    <w:p>
      <w:pPr>
        <w:pStyle w:val="168"/>
        <w:spacing w:line="360" w:lineRule="auto"/>
        <w:ind w:firstLine="480" w:firstLineChars="200"/>
        <w:rPr>
          <w:rFonts w:eastAsia="仿宋_GB2312" w:cs="Times New Roman"/>
          <w:color w:val="auto"/>
          <w:sz w:val="24"/>
          <w:szCs w:val="24"/>
          <w:lang w:val="en-US"/>
        </w:rPr>
      </w:pPr>
      <w:r>
        <w:rPr>
          <w:rFonts w:eastAsia="仿宋_GB2312" w:cs="Times New Roman"/>
          <w:color w:val="auto"/>
          <w:sz w:val="24"/>
          <w:szCs w:val="24"/>
          <w:lang w:val="en-US"/>
        </w:rPr>
        <w:t>（2）</w:t>
      </w:r>
      <w:r>
        <w:rPr>
          <w:rFonts w:hint="eastAsia" w:eastAsia="仿宋_GB2312" w:cs="Times New Roman"/>
          <w:color w:val="auto"/>
          <w:sz w:val="24"/>
          <w:szCs w:val="24"/>
          <w:lang w:val="en-US"/>
        </w:rPr>
        <w:t>评估区域</w:t>
      </w:r>
      <w:r>
        <w:rPr>
          <w:rFonts w:eastAsia="仿宋_GB2312" w:cs="Times New Roman"/>
          <w:color w:val="auto"/>
          <w:sz w:val="24"/>
          <w:szCs w:val="24"/>
          <w:lang w:val="en-US"/>
        </w:rPr>
        <w:t>所在地为南昌市</w:t>
      </w:r>
      <w:r>
        <w:rPr>
          <w:rFonts w:hint="eastAsia" w:eastAsia="仿宋_GB2312" w:cs="Times New Roman"/>
          <w:color w:val="auto"/>
          <w:sz w:val="24"/>
          <w:szCs w:val="24"/>
          <w:lang w:val="en-US"/>
        </w:rPr>
        <w:t>青山湖区</w:t>
      </w:r>
      <w:r>
        <w:rPr>
          <w:rFonts w:eastAsia="仿宋_GB2312" w:cs="Times New Roman"/>
          <w:color w:val="auto"/>
          <w:sz w:val="24"/>
          <w:szCs w:val="24"/>
          <w:lang w:val="en-US"/>
        </w:rPr>
        <w:t>，属县级</w:t>
      </w:r>
      <w:r>
        <w:rPr>
          <w:rFonts w:hint="eastAsia" w:eastAsia="仿宋_GB2312" w:cs="Times New Roman"/>
          <w:color w:val="auto"/>
          <w:sz w:val="24"/>
          <w:szCs w:val="24"/>
          <w:lang w:val="en-US" w:eastAsia="zh-CN"/>
        </w:rPr>
        <w:t>及</w:t>
      </w:r>
      <w:r>
        <w:rPr>
          <w:rFonts w:eastAsia="仿宋_GB2312" w:cs="Times New Roman"/>
          <w:color w:val="auto"/>
          <w:sz w:val="24"/>
          <w:szCs w:val="24"/>
          <w:lang w:val="en-US"/>
        </w:rPr>
        <w:t>以上城市</w:t>
      </w:r>
      <w:r>
        <w:rPr>
          <w:rFonts w:hint="eastAsia" w:eastAsia="仿宋_GB2312" w:cs="Times New Roman"/>
          <w:color w:val="auto"/>
          <w:sz w:val="24"/>
          <w:szCs w:val="24"/>
          <w:lang w:val="en-US" w:eastAsia="zh-CN"/>
        </w:rPr>
        <w:t>区域</w:t>
      </w:r>
      <w:r>
        <w:rPr>
          <w:rFonts w:eastAsia="仿宋_GB2312" w:cs="Times New Roman"/>
          <w:color w:val="auto"/>
          <w:sz w:val="24"/>
          <w:szCs w:val="24"/>
          <w:lang w:val="en-US"/>
        </w:rPr>
        <w:t>，渣土防护率提高2%和林草覆盖率提高</w:t>
      </w:r>
      <w:r>
        <w:rPr>
          <w:rFonts w:hint="eastAsia" w:eastAsia="仿宋_GB2312" w:cs="Times New Roman"/>
          <w:color w:val="auto"/>
          <w:sz w:val="24"/>
          <w:szCs w:val="24"/>
          <w:lang w:val="en-US"/>
        </w:rPr>
        <w:t>1</w:t>
      </w:r>
      <w:r>
        <w:rPr>
          <w:rFonts w:eastAsia="仿宋_GB2312" w:cs="Times New Roman"/>
          <w:color w:val="auto"/>
          <w:sz w:val="24"/>
          <w:szCs w:val="24"/>
          <w:lang w:val="en-US"/>
        </w:rPr>
        <w:t>%。</w:t>
      </w:r>
    </w:p>
    <w:p>
      <w:pPr>
        <w:pStyle w:val="168"/>
        <w:spacing w:line="360" w:lineRule="auto"/>
        <w:ind w:firstLine="480" w:firstLineChars="200"/>
        <w:rPr>
          <w:rFonts w:eastAsia="仿宋_GB2312" w:cs="Times New Roman"/>
          <w:color w:val="auto"/>
          <w:sz w:val="24"/>
          <w:szCs w:val="24"/>
          <w:lang w:val="en-US"/>
        </w:rPr>
      </w:pPr>
      <w:r>
        <w:rPr>
          <w:rFonts w:eastAsia="仿宋_GB2312" w:cs="Times New Roman"/>
          <w:color w:val="auto"/>
          <w:sz w:val="24"/>
          <w:szCs w:val="24"/>
          <w:lang w:val="en-US"/>
        </w:rPr>
        <w:t>（</w:t>
      </w:r>
      <w:r>
        <w:rPr>
          <w:rFonts w:hint="eastAsia" w:eastAsia="仿宋_GB2312" w:cs="Times New Roman"/>
          <w:color w:val="auto"/>
          <w:sz w:val="24"/>
          <w:szCs w:val="24"/>
          <w:lang w:val="en-US"/>
        </w:rPr>
        <w:t>3</w:t>
      </w:r>
      <w:r>
        <w:rPr>
          <w:rFonts w:eastAsia="仿宋_GB2312" w:cs="Times New Roman"/>
          <w:color w:val="auto"/>
          <w:sz w:val="24"/>
          <w:szCs w:val="24"/>
          <w:lang w:val="en-US"/>
        </w:rPr>
        <w:t>）</w:t>
      </w:r>
      <w:r>
        <w:rPr>
          <w:rFonts w:hint="eastAsia" w:eastAsia="仿宋_GB2312" w:cs="Times New Roman"/>
          <w:color w:val="auto"/>
          <w:sz w:val="24"/>
          <w:szCs w:val="24"/>
          <w:lang w:val="en-US"/>
        </w:rPr>
        <w:t>评估区域</w:t>
      </w:r>
      <w:r>
        <w:rPr>
          <w:rFonts w:eastAsia="仿宋_GB2312" w:cs="Times New Roman"/>
          <w:color w:val="auto"/>
          <w:sz w:val="24"/>
          <w:szCs w:val="24"/>
          <w:lang w:val="en-US"/>
        </w:rPr>
        <w:t>所在地南昌市</w:t>
      </w:r>
      <w:r>
        <w:rPr>
          <w:rFonts w:hint="eastAsia" w:eastAsia="仿宋_GB2312" w:cs="Times New Roman"/>
          <w:color w:val="auto"/>
          <w:sz w:val="24"/>
          <w:szCs w:val="24"/>
          <w:lang w:val="en-US"/>
        </w:rPr>
        <w:t>青山湖区</w:t>
      </w:r>
      <w:r>
        <w:rPr>
          <w:rFonts w:hint="eastAsia" w:eastAsia="仿宋_GB2312" w:cs="Times New Roman"/>
          <w:color w:val="auto"/>
          <w:sz w:val="24"/>
          <w:szCs w:val="24"/>
          <w:lang w:val="en-US" w:eastAsia="zh-CN"/>
        </w:rPr>
        <w:t>罗家镇</w:t>
      </w:r>
      <w:r>
        <w:rPr>
          <w:rFonts w:eastAsia="仿宋_GB2312" w:cs="Times New Roman"/>
          <w:color w:val="auto"/>
          <w:sz w:val="24"/>
          <w:szCs w:val="24"/>
          <w:lang w:val="en-US"/>
        </w:rPr>
        <w:t>属</w:t>
      </w:r>
      <w:r>
        <w:rPr>
          <w:rFonts w:hint="eastAsia" w:eastAsia="仿宋_GB2312" w:cs="Times New Roman"/>
          <w:color w:val="auto"/>
          <w:sz w:val="24"/>
          <w:szCs w:val="24"/>
          <w:lang w:val="en-US"/>
        </w:rPr>
        <w:t>青山湖区水土流失重点预防区</w:t>
      </w:r>
      <w:r>
        <w:rPr>
          <w:rFonts w:eastAsia="仿宋_GB2312" w:cs="Times New Roman"/>
          <w:color w:val="auto"/>
          <w:sz w:val="24"/>
          <w:szCs w:val="24"/>
          <w:lang w:val="en-US"/>
        </w:rPr>
        <w:t>，林草覆盖率提高</w:t>
      </w:r>
      <w:r>
        <w:rPr>
          <w:rFonts w:hint="eastAsia" w:eastAsia="仿宋_GB2312" w:cs="Times New Roman"/>
          <w:color w:val="auto"/>
          <w:sz w:val="24"/>
          <w:szCs w:val="24"/>
          <w:lang w:val="en-US"/>
        </w:rPr>
        <w:t>1</w:t>
      </w:r>
      <w:r>
        <w:rPr>
          <w:rFonts w:eastAsia="仿宋_GB2312" w:cs="Times New Roman"/>
          <w:color w:val="auto"/>
          <w:sz w:val="24"/>
          <w:szCs w:val="24"/>
          <w:lang w:val="en-US"/>
        </w:rPr>
        <w:t>%。</w:t>
      </w:r>
    </w:p>
    <w:p>
      <w:pPr>
        <w:pStyle w:val="168"/>
        <w:spacing w:line="360" w:lineRule="auto"/>
        <w:rPr>
          <w:rFonts w:eastAsia="仿宋_GB2312" w:cs="Times New Roman"/>
          <w:color w:val="auto"/>
          <w:sz w:val="24"/>
          <w:szCs w:val="24"/>
        </w:rPr>
      </w:pPr>
      <w:r>
        <w:rPr>
          <w:rFonts w:eastAsia="仿宋_GB2312" w:cs="Times New Roman"/>
          <w:color w:val="auto"/>
          <w:sz w:val="24"/>
          <w:szCs w:val="24"/>
        </w:rPr>
        <w:t>设计水平年水土流失防治目标采用标准及调整计算详见表1</w:t>
      </w:r>
      <w:r>
        <w:rPr>
          <w:rFonts w:hint="eastAsia" w:eastAsia="仿宋_GB2312" w:cs="Times New Roman"/>
          <w:color w:val="auto"/>
          <w:sz w:val="24"/>
          <w:szCs w:val="24"/>
        </w:rPr>
        <w:t>.</w:t>
      </w:r>
      <w:r>
        <w:rPr>
          <w:rFonts w:eastAsia="仿宋_GB2312" w:cs="Times New Roman"/>
          <w:color w:val="auto"/>
          <w:sz w:val="24"/>
          <w:szCs w:val="24"/>
        </w:rPr>
        <w:t>5-</w:t>
      </w:r>
      <w:r>
        <w:rPr>
          <w:rFonts w:hint="eastAsia" w:eastAsia="仿宋_GB2312" w:cs="Times New Roman"/>
          <w:color w:val="auto"/>
          <w:sz w:val="24"/>
          <w:szCs w:val="24"/>
        </w:rPr>
        <w:t>2</w:t>
      </w:r>
      <w:r>
        <w:rPr>
          <w:rFonts w:eastAsia="仿宋_GB2312" w:cs="Times New Roman"/>
          <w:color w:val="auto"/>
          <w:sz w:val="24"/>
          <w:szCs w:val="24"/>
        </w:rPr>
        <w:t>。</w:t>
      </w:r>
    </w:p>
    <w:p>
      <w:pPr>
        <w:snapToGrid w:val="0"/>
        <w:spacing w:line="360" w:lineRule="auto"/>
        <w:jc w:val="center"/>
        <w:rPr>
          <w:rFonts w:ascii="Times New Roman" w:hAnsi="Times New Roman" w:eastAsia="仿宋_GB2312" w:cs="Times New Roman"/>
          <w:color w:val="auto"/>
          <w:sz w:val="28"/>
          <w:szCs w:val="28"/>
        </w:rPr>
      </w:pPr>
      <w:r>
        <w:rPr>
          <w:rFonts w:ascii="Times New Roman" w:hAnsi="Times New Roman" w:eastAsia="仿宋_GB2312" w:cs="Times New Roman"/>
          <w:b/>
          <w:bCs/>
          <w:color w:val="auto"/>
          <w:szCs w:val="24"/>
        </w:rPr>
        <w:t>表1</w:t>
      </w:r>
      <w:r>
        <w:rPr>
          <w:rFonts w:hint="eastAsia" w:ascii="Times New Roman" w:hAnsi="Times New Roman" w:eastAsia="仿宋_GB2312" w:cs="Times New Roman"/>
          <w:b/>
          <w:bCs/>
          <w:color w:val="auto"/>
          <w:szCs w:val="24"/>
        </w:rPr>
        <w:t>.</w:t>
      </w:r>
      <w:r>
        <w:rPr>
          <w:rFonts w:ascii="Times New Roman" w:hAnsi="Times New Roman" w:eastAsia="仿宋_GB2312" w:cs="Times New Roman"/>
          <w:b/>
          <w:bCs/>
          <w:color w:val="auto"/>
          <w:szCs w:val="24"/>
        </w:rPr>
        <w:t>5-</w:t>
      </w:r>
      <w:r>
        <w:rPr>
          <w:rFonts w:hint="eastAsia" w:ascii="Times New Roman" w:hAnsi="Times New Roman" w:eastAsia="仿宋_GB2312" w:cs="Times New Roman"/>
          <w:b/>
          <w:bCs/>
          <w:color w:val="auto"/>
          <w:szCs w:val="24"/>
        </w:rPr>
        <w:t>2</w:t>
      </w:r>
      <w:r>
        <w:rPr>
          <w:rFonts w:ascii="Times New Roman" w:hAnsi="Times New Roman" w:eastAsia="仿宋_GB2312" w:cs="Times New Roman"/>
          <w:b/>
          <w:bCs/>
          <w:color w:val="auto"/>
          <w:szCs w:val="24"/>
        </w:rPr>
        <w:t>：</w:t>
      </w:r>
      <w:r>
        <w:rPr>
          <w:rFonts w:hint="eastAsia" w:ascii="Times New Roman" w:hAnsi="Times New Roman" w:eastAsia="仿宋_GB2312" w:cs="Times New Roman"/>
          <w:b/>
          <w:bCs/>
          <w:color w:val="auto"/>
          <w:szCs w:val="24"/>
        </w:rPr>
        <w:t>水土流失</w:t>
      </w:r>
      <w:r>
        <w:rPr>
          <w:rFonts w:ascii="Times New Roman" w:hAnsi="Times New Roman" w:eastAsia="仿宋_GB2312" w:cs="Times New Roman"/>
          <w:b/>
          <w:bCs/>
          <w:color w:val="auto"/>
          <w:szCs w:val="24"/>
        </w:rPr>
        <w:t>防治目标计算表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26"/>
        <w:gridCol w:w="1917"/>
        <w:gridCol w:w="1091"/>
        <w:gridCol w:w="1091"/>
        <w:gridCol w:w="922"/>
        <w:gridCol w:w="920"/>
        <w:gridCol w:w="1132"/>
        <w:gridCol w:w="102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2" w:hRule="atLeast"/>
          <w:jc w:val="center"/>
        </w:trPr>
        <w:tc>
          <w:tcPr>
            <w:tcW w:w="1375" w:type="pct"/>
            <w:gridSpan w:val="2"/>
            <w:tcBorders>
              <w:top w:val="single" w:color="auto" w:sz="12" w:space="0"/>
              <w:bottom w:val="single" w:color="auto" w:sz="6" w:space="0"/>
            </w:tcBorders>
            <w:vAlign w:val="center"/>
          </w:tcPr>
          <w:p>
            <w:pPr>
              <w:spacing w:line="240" w:lineRule="exac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修正标准</w:t>
            </w:r>
          </w:p>
        </w:tc>
        <w:tc>
          <w:tcPr>
            <w:tcW w:w="640" w:type="pct"/>
            <w:tcBorders>
              <w:top w:val="single" w:color="auto" w:sz="12" w:space="0"/>
              <w:bottom w:val="single" w:color="auto" w:sz="6" w:space="0"/>
            </w:tcBorders>
            <w:vAlign w:val="center"/>
          </w:tcPr>
          <w:p>
            <w:pPr>
              <w:spacing w:line="240" w:lineRule="exac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水土流失治理度（%）</w:t>
            </w:r>
          </w:p>
        </w:tc>
        <w:tc>
          <w:tcPr>
            <w:tcW w:w="640" w:type="pct"/>
            <w:tcBorders>
              <w:top w:val="single" w:color="auto" w:sz="12" w:space="0"/>
              <w:bottom w:val="single" w:color="auto" w:sz="6" w:space="0"/>
            </w:tcBorders>
            <w:vAlign w:val="center"/>
          </w:tcPr>
          <w:p>
            <w:pPr>
              <w:spacing w:line="240" w:lineRule="exac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土壤流失控制比</w:t>
            </w:r>
          </w:p>
        </w:tc>
        <w:tc>
          <w:tcPr>
            <w:tcW w:w="541" w:type="pct"/>
            <w:tcBorders>
              <w:top w:val="single" w:color="auto" w:sz="12" w:space="0"/>
              <w:bottom w:val="single" w:color="auto" w:sz="6" w:space="0"/>
            </w:tcBorders>
            <w:vAlign w:val="center"/>
          </w:tcPr>
          <w:p>
            <w:pPr>
              <w:spacing w:line="240" w:lineRule="exac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渣土防护率（%）</w:t>
            </w:r>
          </w:p>
        </w:tc>
        <w:tc>
          <w:tcPr>
            <w:tcW w:w="540" w:type="pct"/>
            <w:tcBorders>
              <w:top w:val="single" w:color="auto" w:sz="12" w:space="0"/>
              <w:bottom w:val="single" w:color="auto" w:sz="6" w:space="0"/>
            </w:tcBorders>
            <w:vAlign w:val="center"/>
          </w:tcPr>
          <w:p>
            <w:pPr>
              <w:spacing w:line="240" w:lineRule="exac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表土保护率（%）</w:t>
            </w:r>
          </w:p>
        </w:tc>
        <w:tc>
          <w:tcPr>
            <w:tcW w:w="664" w:type="pct"/>
            <w:tcBorders>
              <w:top w:val="single" w:color="auto" w:sz="12" w:space="0"/>
              <w:bottom w:val="single" w:color="auto" w:sz="6" w:space="0"/>
            </w:tcBorders>
            <w:vAlign w:val="center"/>
          </w:tcPr>
          <w:p>
            <w:pPr>
              <w:spacing w:line="240" w:lineRule="exac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林草植被恢复率（%）</w:t>
            </w:r>
          </w:p>
        </w:tc>
        <w:tc>
          <w:tcPr>
            <w:tcW w:w="600" w:type="pct"/>
            <w:tcBorders>
              <w:top w:val="single" w:color="auto" w:sz="12" w:space="0"/>
              <w:bottom w:val="single" w:color="auto" w:sz="6" w:space="0"/>
            </w:tcBorders>
            <w:vAlign w:val="center"/>
          </w:tcPr>
          <w:p>
            <w:pPr>
              <w:spacing w:line="240" w:lineRule="exac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林草覆盖率（%）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42" w:hRule="atLeast"/>
          <w:jc w:val="center"/>
        </w:trPr>
        <w:tc>
          <w:tcPr>
            <w:tcW w:w="250" w:type="pct"/>
            <w:vMerge w:val="restar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施工期</w:t>
            </w:r>
          </w:p>
        </w:tc>
        <w:tc>
          <w:tcPr>
            <w:tcW w:w="1125" w:type="pct"/>
            <w:tcBorders>
              <w:top w:val="single" w:color="auto" w:sz="6" w:space="0"/>
              <w:bottom w:val="single" w:color="auto" w:sz="6" w:space="0"/>
            </w:tcBorders>
            <w:vAlign w:val="center"/>
          </w:tcPr>
          <w:p>
            <w:pPr>
              <w:spacing w:beforeLines="25" w:afterLines="25"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标准规定</w:t>
            </w:r>
          </w:p>
        </w:tc>
        <w:tc>
          <w:tcPr>
            <w:tcW w:w="640"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w:t>
            </w:r>
          </w:p>
        </w:tc>
        <w:tc>
          <w:tcPr>
            <w:tcW w:w="640"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w:t>
            </w:r>
          </w:p>
        </w:tc>
        <w:tc>
          <w:tcPr>
            <w:tcW w:w="541"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95</w:t>
            </w:r>
          </w:p>
        </w:tc>
        <w:tc>
          <w:tcPr>
            <w:tcW w:w="540"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92</w:t>
            </w:r>
          </w:p>
        </w:tc>
        <w:tc>
          <w:tcPr>
            <w:tcW w:w="664"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w:t>
            </w:r>
          </w:p>
        </w:tc>
        <w:tc>
          <w:tcPr>
            <w:tcW w:w="600"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50" w:type="pct"/>
            <w:vMerge w:val="continue"/>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p>
        </w:tc>
        <w:tc>
          <w:tcPr>
            <w:tcW w:w="1125" w:type="pct"/>
            <w:tcBorders>
              <w:top w:val="single" w:color="auto" w:sz="6" w:space="0"/>
              <w:bottom w:val="single" w:color="auto" w:sz="6" w:space="0"/>
            </w:tcBorders>
            <w:vAlign w:val="center"/>
          </w:tcPr>
          <w:p>
            <w:pPr>
              <w:spacing w:beforeLines="25" w:afterLines="25"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目标修正</w:t>
            </w:r>
          </w:p>
        </w:tc>
        <w:tc>
          <w:tcPr>
            <w:tcW w:w="640"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w:t>
            </w:r>
          </w:p>
        </w:tc>
        <w:tc>
          <w:tcPr>
            <w:tcW w:w="640"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w:t>
            </w:r>
          </w:p>
        </w:tc>
        <w:tc>
          <w:tcPr>
            <w:tcW w:w="541"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w:t>
            </w:r>
          </w:p>
        </w:tc>
        <w:tc>
          <w:tcPr>
            <w:tcW w:w="540"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w:t>
            </w:r>
          </w:p>
        </w:tc>
        <w:tc>
          <w:tcPr>
            <w:tcW w:w="664"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w:t>
            </w:r>
          </w:p>
        </w:tc>
        <w:tc>
          <w:tcPr>
            <w:tcW w:w="600"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6" w:hRule="atLeast"/>
          <w:jc w:val="center"/>
        </w:trPr>
        <w:tc>
          <w:tcPr>
            <w:tcW w:w="250" w:type="pct"/>
            <w:vMerge w:val="continue"/>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p>
        </w:tc>
        <w:tc>
          <w:tcPr>
            <w:tcW w:w="1125" w:type="pct"/>
            <w:tcBorders>
              <w:top w:val="single" w:color="auto" w:sz="6" w:space="0"/>
              <w:bottom w:val="single" w:color="auto" w:sz="6" w:space="0"/>
            </w:tcBorders>
            <w:vAlign w:val="center"/>
          </w:tcPr>
          <w:p>
            <w:pPr>
              <w:spacing w:beforeLines="25" w:afterLines="25"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采用标准</w:t>
            </w:r>
          </w:p>
        </w:tc>
        <w:tc>
          <w:tcPr>
            <w:tcW w:w="640"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w:t>
            </w:r>
          </w:p>
        </w:tc>
        <w:tc>
          <w:tcPr>
            <w:tcW w:w="640"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w:t>
            </w:r>
          </w:p>
        </w:tc>
        <w:tc>
          <w:tcPr>
            <w:tcW w:w="541"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95</w:t>
            </w:r>
          </w:p>
        </w:tc>
        <w:tc>
          <w:tcPr>
            <w:tcW w:w="540"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92</w:t>
            </w:r>
          </w:p>
        </w:tc>
        <w:tc>
          <w:tcPr>
            <w:tcW w:w="664"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w:t>
            </w:r>
          </w:p>
        </w:tc>
        <w:tc>
          <w:tcPr>
            <w:tcW w:w="600"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0" w:hRule="atLeast"/>
          <w:jc w:val="center"/>
        </w:trPr>
        <w:tc>
          <w:tcPr>
            <w:tcW w:w="250" w:type="pct"/>
            <w:vMerge w:val="restart"/>
            <w:tcBorders>
              <w:top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设计水平年</w:t>
            </w:r>
          </w:p>
        </w:tc>
        <w:tc>
          <w:tcPr>
            <w:tcW w:w="1125" w:type="pct"/>
            <w:tcBorders>
              <w:top w:val="single" w:color="auto" w:sz="6" w:space="0"/>
              <w:bottom w:val="single" w:color="auto" w:sz="6" w:space="0"/>
            </w:tcBorders>
            <w:vAlign w:val="center"/>
          </w:tcPr>
          <w:p>
            <w:pPr>
              <w:spacing w:beforeLines="25" w:afterLines="25"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标准规定</w:t>
            </w:r>
          </w:p>
        </w:tc>
        <w:tc>
          <w:tcPr>
            <w:tcW w:w="640"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98</w:t>
            </w:r>
          </w:p>
        </w:tc>
        <w:tc>
          <w:tcPr>
            <w:tcW w:w="640"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0.90</w:t>
            </w:r>
          </w:p>
        </w:tc>
        <w:tc>
          <w:tcPr>
            <w:tcW w:w="541"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97</w:t>
            </w:r>
          </w:p>
        </w:tc>
        <w:tc>
          <w:tcPr>
            <w:tcW w:w="540"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92</w:t>
            </w:r>
          </w:p>
        </w:tc>
        <w:tc>
          <w:tcPr>
            <w:tcW w:w="664"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98</w:t>
            </w:r>
          </w:p>
        </w:tc>
        <w:tc>
          <w:tcPr>
            <w:tcW w:w="600"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jc w:val="center"/>
        </w:trPr>
        <w:tc>
          <w:tcPr>
            <w:tcW w:w="250" w:type="pct"/>
            <w:vMerge w:val="continue"/>
            <w:vAlign w:val="center"/>
          </w:tcPr>
          <w:p>
            <w:pPr>
              <w:spacing w:line="240" w:lineRule="exact"/>
              <w:jc w:val="center"/>
              <w:rPr>
                <w:rFonts w:ascii="Times New Roman" w:hAnsi="Times New Roman" w:eastAsia="仿宋_GB2312" w:cs="Times New Roman"/>
                <w:color w:val="auto"/>
                <w:sz w:val="21"/>
                <w:szCs w:val="21"/>
              </w:rPr>
            </w:pPr>
          </w:p>
        </w:tc>
        <w:tc>
          <w:tcPr>
            <w:tcW w:w="1125" w:type="pct"/>
            <w:tcBorders>
              <w:top w:val="single" w:color="auto" w:sz="6" w:space="0"/>
              <w:bottom w:val="single" w:color="auto" w:sz="6" w:space="0"/>
            </w:tcBorders>
            <w:vAlign w:val="center"/>
          </w:tcPr>
          <w:p>
            <w:pPr>
              <w:spacing w:beforeLines="25" w:afterLines="25"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目标修正</w:t>
            </w:r>
          </w:p>
        </w:tc>
        <w:tc>
          <w:tcPr>
            <w:tcW w:w="640"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w:t>
            </w:r>
          </w:p>
        </w:tc>
        <w:tc>
          <w:tcPr>
            <w:tcW w:w="640"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+0.1</w:t>
            </w:r>
          </w:p>
        </w:tc>
        <w:tc>
          <w:tcPr>
            <w:tcW w:w="541"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540"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w:t>
            </w:r>
          </w:p>
        </w:tc>
        <w:tc>
          <w:tcPr>
            <w:tcW w:w="664"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w:t>
            </w:r>
          </w:p>
        </w:tc>
        <w:tc>
          <w:tcPr>
            <w:tcW w:w="600" w:type="pct"/>
            <w:tcBorders>
              <w:top w:val="single" w:color="auto" w:sz="6" w:space="0"/>
              <w:bottom w:val="single" w:color="auto" w:sz="6" w:space="0"/>
            </w:tcBorders>
            <w:vAlign w:val="center"/>
          </w:tcPr>
          <w:p>
            <w:pPr>
              <w:spacing w:line="240" w:lineRule="exac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250" w:type="pct"/>
            <w:vMerge w:val="continue"/>
            <w:tcBorders>
              <w:bottom w:val="single" w:color="auto" w:sz="12" w:space="0"/>
            </w:tcBorders>
            <w:vAlign w:val="center"/>
          </w:tcPr>
          <w:p>
            <w:pPr>
              <w:spacing w:line="240" w:lineRule="exact"/>
              <w:jc w:val="center"/>
              <w:rPr>
                <w:rFonts w:ascii="Times New Roman" w:hAnsi="Times New Roman" w:eastAsia="仿宋_GB2312" w:cs="Times New Roman"/>
                <w:color w:val="auto"/>
                <w:sz w:val="21"/>
                <w:szCs w:val="21"/>
              </w:rPr>
            </w:pPr>
          </w:p>
        </w:tc>
        <w:tc>
          <w:tcPr>
            <w:tcW w:w="1125" w:type="pct"/>
            <w:tcBorders>
              <w:top w:val="single" w:color="auto" w:sz="6" w:space="0"/>
              <w:bottom w:val="single" w:color="auto" w:sz="12" w:space="0"/>
            </w:tcBorders>
            <w:vAlign w:val="center"/>
          </w:tcPr>
          <w:p>
            <w:pPr>
              <w:spacing w:beforeLines="25" w:afterLines="25"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采用标准</w:t>
            </w:r>
          </w:p>
        </w:tc>
        <w:tc>
          <w:tcPr>
            <w:tcW w:w="640" w:type="pct"/>
            <w:tcBorders>
              <w:top w:val="single" w:color="auto" w:sz="6" w:space="0"/>
              <w:bottom w:val="single" w:color="auto" w:sz="12"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98</w:t>
            </w:r>
          </w:p>
        </w:tc>
        <w:tc>
          <w:tcPr>
            <w:tcW w:w="640" w:type="pct"/>
            <w:tcBorders>
              <w:top w:val="single" w:color="auto" w:sz="6" w:space="0"/>
              <w:bottom w:val="single" w:color="auto" w:sz="12"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1.0</w:t>
            </w:r>
          </w:p>
        </w:tc>
        <w:tc>
          <w:tcPr>
            <w:tcW w:w="541" w:type="pct"/>
            <w:tcBorders>
              <w:top w:val="single" w:color="auto" w:sz="6" w:space="0"/>
              <w:bottom w:val="single" w:color="auto" w:sz="12"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99</w:t>
            </w:r>
          </w:p>
        </w:tc>
        <w:tc>
          <w:tcPr>
            <w:tcW w:w="540" w:type="pct"/>
            <w:tcBorders>
              <w:top w:val="single" w:color="auto" w:sz="6" w:space="0"/>
              <w:bottom w:val="single" w:color="auto" w:sz="12"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92</w:t>
            </w:r>
          </w:p>
        </w:tc>
        <w:tc>
          <w:tcPr>
            <w:tcW w:w="664" w:type="pct"/>
            <w:tcBorders>
              <w:top w:val="single" w:color="auto" w:sz="6" w:space="0"/>
              <w:bottom w:val="single" w:color="auto" w:sz="12" w:space="0"/>
            </w:tcBorders>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98</w:t>
            </w:r>
          </w:p>
        </w:tc>
        <w:tc>
          <w:tcPr>
            <w:tcW w:w="600" w:type="pct"/>
            <w:tcBorders>
              <w:top w:val="single" w:color="auto" w:sz="6" w:space="0"/>
              <w:bottom w:val="single" w:color="auto" w:sz="12" w:space="0"/>
            </w:tcBorders>
            <w:vAlign w:val="center"/>
          </w:tcPr>
          <w:p>
            <w:pPr>
              <w:spacing w:line="240" w:lineRule="exac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27</w:t>
            </w:r>
          </w:p>
        </w:tc>
      </w:tr>
    </w:tbl>
    <w:p>
      <w:pPr>
        <w:widowControl/>
        <w:adjustRightInd w:val="0"/>
        <w:snapToGrid w:val="0"/>
        <w:spacing w:beforeLines="50" w:line="360" w:lineRule="auto"/>
        <w:ind w:firstLine="480" w:firstLineChars="200"/>
        <w:jc w:val="left"/>
        <w:rPr>
          <w:rFonts w:ascii="Times New Roman" w:hAnsi="Times New Roman" w:eastAsia="仿宋_GB2312" w:cs="Times New Roman"/>
          <w:color w:val="auto"/>
          <w:szCs w:val="24"/>
        </w:rPr>
      </w:pPr>
      <w:bookmarkStart w:id="43" w:name="_Toc292049963"/>
      <w:bookmarkStart w:id="44" w:name="_Toc301594340"/>
      <w:bookmarkStart w:id="45" w:name="_Toc327951855"/>
      <w:bookmarkStart w:id="46" w:name="_Toc15178"/>
      <w:bookmarkStart w:id="47" w:name="_Toc499039849"/>
      <w:bookmarkStart w:id="48" w:name="_Toc514431431"/>
      <w:bookmarkStart w:id="49" w:name="_Toc282434166"/>
      <w:bookmarkStart w:id="50" w:name="_Toc292149864"/>
      <w:bookmarkStart w:id="51" w:name="_Toc514430821"/>
      <w:bookmarkStart w:id="52" w:name="_Toc292050157"/>
      <w:bookmarkStart w:id="53" w:name="_Toc301169883"/>
      <w:bookmarkStart w:id="54" w:name="_Toc514432575"/>
      <w:bookmarkStart w:id="55" w:name="_Toc292149657"/>
      <w:bookmarkStart w:id="56" w:name="_Toc451799187"/>
      <w:r>
        <w:rPr>
          <w:rFonts w:ascii="Times New Roman" w:hAnsi="Times New Roman" w:eastAsia="仿宋_GB2312" w:cs="Times New Roman"/>
          <w:color w:val="auto"/>
          <w:szCs w:val="24"/>
        </w:rPr>
        <w:t>经修正调整后，至设计水平年结束，</w:t>
      </w: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区域六项防治目标为：水土流失治理度98%、土壤流失控制比1.0、渣土防护率99%、表土保护率92%、林草植被恢复率98%、林草覆盖率</w:t>
      </w:r>
      <w:r>
        <w:rPr>
          <w:rFonts w:hint="eastAsia" w:ascii="Times New Roman" w:hAnsi="Times New Roman" w:eastAsia="仿宋_GB2312" w:cs="Times New Roman"/>
          <w:color w:val="auto"/>
          <w:szCs w:val="24"/>
        </w:rPr>
        <w:t>27</w:t>
      </w:r>
      <w:r>
        <w:rPr>
          <w:rFonts w:ascii="Times New Roman" w:hAnsi="Times New Roman" w:eastAsia="仿宋_GB2312" w:cs="Times New Roman"/>
          <w:color w:val="auto"/>
          <w:szCs w:val="24"/>
        </w:rPr>
        <w:t>%。</w:t>
      </w:r>
    </w:p>
    <w:p>
      <w:pPr>
        <w:pStyle w:val="5"/>
        <w:rPr>
          <w:rFonts w:eastAsia="仿宋_GB2312"/>
          <w:color w:val="auto"/>
        </w:rPr>
      </w:pPr>
      <w:bookmarkStart w:id="57" w:name="_Toc16046"/>
      <w:r>
        <w:rPr>
          <w:color w:val="auto"/>
        </w:rPr>
        <w:t>1.6</w:t>
      </w:r>
      <w:bookmarkEnd w:id="43"/>
      <w:bookmarkEnd w:id="44"/>
      <w:bookmarkEnd w:id="45"/>
      <w:bookmarkEnd w:id="46"/>
      <w:bookmarkEnd w:id="47"/>
      <w:bookmarkEnd w:id="48"/>
      <w:bookmarkEnd w:id="49"/>
      <w:bookmarkEnd w:id="50"/>
      <w:bookmarkEnd w:id="51"/>
      <w:bookmarkEnd w:id="52"/>
      <w:bookmarkEnd w:id="53"/>
      <w:bookmarkEnd w:id="54"/>
      <w:bookmarkEnd w:id="55"/>
      <w:bookmarkEnd w:id="56"/>
      <w:r>
        <w:rPr>
          <w:rFonts w:hint="eastAsia" w:eastAsia="仿宋_GB2312"/>
          <w:color w:val="auto"/>
        </w:rPr>
        <w:t>区域</w:t>
      </w:r>
      <w:r>
        <w:rPr>
          <w:rFonts w:eastAsia="仿宋_GB2312"/>
          <w:color w:val="auto"/>
        </w:rPr>
        <w:t>水土保持评价结论</w:t>
      </w:r>
      <w:bookmarkEnd w:id="57"/>
    </w:p>
    <w:p>
      <w:pPr>
        <w:pStyle w:val="6"/>
        <w:rPr>
          <w:rFonts w:eastAsia="仿宋_GB2312"/>
          <w:bCs w:val="0"/>
          <w:color w:val="auto"/>
          <w:szCs w:val="30"/>
        </w:rPr>
      </w:pPr>
      <w:r>
        <w:rPr>
          <w:rFonts w:eastAsia="仿宋_GB2312"/>
          <w:bCs w:val="0"/>
          <w:color w:val="auto"/>
          <w:szCs w:val="30"/>
        </w:rPr>
        <w:t>1.6.1区域选址评价</w:t>
      </w:r>
    </w:p>
    <w:p>
      <w:pPr>
        <w:widowControl/>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根据对项目建设区的实地踏勘和资料调查，</w:t>
      </w:r>
      <w:r>
        <w:rPr>
          <w:rFonts w:ascii="Times New Roman" w:hAnsi="Times New Roman" w:eastAsia="仿宋_GB2312" w:cs="Times New Roman"/>
          <w:color w:val="auto"/>
          <w:szCs w:val="24"/>
        </w:rPr>
        <w:t>通过与《中华人民共和国水土保持法》、</w:t>
      </w:r>
      <w:r>
        <w:rPr>
          <w:rFonts w:ascii="Times New Roman" w:hAnsi="Times New Roman" w:eastAsia="仿宋_GB2312" w:cs="Times New Roman"/>
          <w:bCs/>
          <w:color w:val="auto"/>
          <w:szCs w:val="24"/>
        </w:rPr>
        <w:t>《</w:t>
      </w:r>
      <w:r>
        <w:rPr>
          <w:rFonts w:ascii="Times New Roman" w:hAnsi="Times New Roman" w:eastAsia="仿宋_GB2312" w:cs="Times New Roman"/>
          <w:color w:val="auto"/>
          <w:szCs w:val="24"/>
        </w:rPr>
        <w:t>生产建设项目水土保持技术标准》（GB50433-2018）和《江西省水土保持规划（2016-2030年）》</w:t>
      </w:r>
      <w:r>
        <w:rPr>
          <w:rFonts w:hint="eastAsia" w:ascii="Times New Roman" w:hAnsi="Times New Roman" w:eastAsia="仿宋_GB2312" w:cs="Times New Roman"/>
          <w:color w:val="auto"/>
          <w:szCs w:val="24"/>
        </w:rPr>
        <w:t>、《南昌市水土保持规划</w:t>
      </w:r>
      <w:r>
        <w:rPr>
          <w:rFonts w:ascii="Times New Roman" w:hAnsi="Times New Roman" w:eastAsia="仿宋_GB2312" w:cs="Times New Roman"/>
          <w:color w:val="auto"/>
          <w:szCs w:val="24"/>
        </w:rPr>
        <w:t>（2016-2030年）</w:t>
      </w:r>
      <w:r>
        <w:rPr>
          <w:rFonts w:hint="eastAsia" w:ascii="Times New Roman" w:hAnsi="Times New Roman" w:eastAsia="仿宋_GB2312" w:cs="Times New Roman"/>
          <w:color w:val="auto"/>
          <w:szCs w:val="24"/>
        </w:rPr>
        <w:t>》</w:t>
      </w:r>
      <w:r>
        <w:rPr>
          <w:rFonts w:hint="eastAsia" w:ascii="Times New Roman" w:hAnsi="Times New Roman" w:eastAsia="仿宋_GB2312" w:cs="Times New Roman"/>
          <w:color w:val="auto"/>
          <w:szCs w:val="24"/>
          <w:lang w:eastAsia="zh-CN"/>
        </w:rPr>
        <w:t>、</w:t>
      </w:r>
      <w:r>
        <w:rPr>
          <w:rFonts w:hint="eastAsia" w:ascii="Times New Roman" w:hAnsi="Times New Roman" w:eastAsia="仿宋_GB2312" w:cs="Times New Roman"/>
          <w:color w:val="auto"/>
          <w:szCs w:val="24"/>
        </w:rPr>
        <w:t>《青山湖区水土保持规划（2016-2030年）》</w:t>
      </w:r>
      <w:r>
        <w:rPr>
          <w:rFonts w:ascii="Times New Roman" w:hAnsi="Times New Roman" w:eastAsia="仿宋_GB2312" w:cs="Times New Roman"/>
          <w:color w:val="auto"/>
          <w:szCs w:val="24"/>
        </w:rPr>
        <w:t>等对照，</w:t>
      </w: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区域选址位于江西省南昌市青山湖区罗家镇</w:t>
      </w:r>
      <w:r>
        <w:rPr>
          <w:rFonts w:hint="eastAsia" w:ascii="Times New Roman" w:hAnsi="Times New Roman" w:eastAsia="仿宋_GB2312" w:cs="Times New Roman"/>
          <w:color w:val="auto"/>
          <w:szCs w:val="24"/>
        </w:rPr>
        <w:t>，不属于</w:t>
      </w:r>
      <w:r>
        <w:rPr>
          <w:rFonts w:ascii="Times New Roman" w:hAnsi="Times New Roman" w:eastAsia="仿宋_GB2312" w:cs="Times New Roman"/>
          <w:color w:val="auto"/>
          <w:szCs w:val="24"/>
        </w:rPr>
        <w:t>水土流失严重、生态脆弱的地区</w:t>
      </w:r>
      <w:r>
        <w:rPr>
          <w:rFonts w:hint="eastAsia" w:ascii="Times New Roman" w:hAnsi="Times New Roman" w:eastAsia="仿宋_GB2312" w:cs="Times New Roman"/>
          <w:color w:val="auto"/>
          <w:szCs w:val="24"/>
        </w:rPr>
        <w:t>；</w:t>
      </w:r>
      <w:r>
        <w:rPr>
          <w:rFonts w:eastAsia="仿宋_GB2312"/>
          <w:color w:val="auto"/>
        </w:rPr>
        <w:t>属于</w:t>
      </w:r>
      <w:r>
        <w:rPr>
          <w:rFonts w:hint="eastAsia" w:ascii="Times New Roman" w:hAnsi="Times New Roman" w:eastAsia="仿宋_GB2312" w:cs="Times New Roman"/>
          <w:color w:val="auto"/>
          <w:szCs w:val="24"/>
        </w:rPr>
        <w:t>青山湖区水土流失重点预防区；</w:t>
      </w:r>
      <w:r>
        <w:rPr>
          <w:rFonts w:eastAsia="仿宋_GB2312"/>
          <w:color w:val="auto"/>
        </w:rPr>
        <w:t>不占用全国水土保持监测网络中的水土保持监测站点、重点试验区和重点治理成果区</w:t>
      </w:r>
      <w:r>
        <w:rPr>
          <w:rFonts w:hint="eastAsia" w:eastAsia="仿宋_GB2312"/>
          <w:color w:val="auto"/>
        </w:rPr>
        <w:t>；不涉及</w:t>
      </w:r>
      <w:r>
        <w:rPr>
          <w:rFonts w:eastAsia="仿宋_GB2312"/>
          <w:color w:val="auto"/>
        </w:rPr>
        <w:t>自然保护区等环境敏感区域</w:t>
      </w:r>
      <w:r>
        <w:rPr>
          <w:rFonts w:hint="eastAsia" w:eastAsia="仿宋_GB2312"/>
          <w:color w:val="auto"/>
        </w:rPr>
        <w:t>；</w:t>
      </w:r>
      <w:r>
        <w:rPr>
          <w:rFonts w:eastAsia="仿宋_GB2312"/>
          <w:color w:val="auto"/>
        </w:rPr>
        <w:t>不占用江西省生态保护红线和基本农田</w:t>
      </w:r>
      <w:r>
        <w:rPr>
          <w:rFonts w:hint="eastAsia" w:eastAsia="仿宋_GB2312"/>
          <w:color w:val="auto"/>
        </w:rPr>
        <w:t>；</w:t>
      </w:r>
      <w:r>
        <w:rPr>
          <w:rFonts w:eastAsia="仿宋_GB2312"/>
          <w:color w:val="auto"/>
        </w:rPr>
        <w:t>工程建设</w:t>
      </w:r>
      <w:r>
        <w:rPr>
          <w:rFonts w:hint="eastAsia" w:eastAsia="仿宋_GB2312"/>
          <w:color w:val="auto"/>
        </w:rPr>
        <w:t>会</w:t>
      </w:r>
      <w:r>
        <w:rPr>
          <w:rFonts w:eastAsia="仿宋_GB2312"/>
          <w:color w:val="auto"/>
        </w:rPr>
        <w:t>扰动西总干渠河流东岸的植物保护带。</w:t>
      </w: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区域选址</w:t>
      </w:r>
      <w:r>
        <w:rPr>
          <w:rFonts w:hint="eastAsia" w:ascii="Times New Roman" w:hAnsi="Times New Roman" w:eastAsia="仿宋_GB2312" w:cs="Times New Roman"/>
          <w:color w:val="auto"/>
          <w:szCs w:val="24"/>
        </w:rPr>
        <w:t>存在无法避让青山湖区水土流失重点预防区和西总干渠东岸植物保护带的约束性因素，通过执行南方红壤区</w:t>
      </w:r>
      <w:r>
        <w:rPr>
          <w:rFonts w:ascii="Times New Roman" w:hAnsi="Times New Roman" w:eastAsia="仿宋_GB2312" w:cs="Times New Roman"/>
          <w:color w:val="auto"/>
          <w:szCs w:val="24"/>
        </w:rPr>
        <w:t>水土流失一级防治标准</w:t>
      </w:r>
      <w:r>
        <w:rPr>
          <w:rFonts w:hint="eastAsia" w:ascii="Times New Roman" w:hAnsi="Times New Roman" w:eastAsia="仿宋_GB2312" w:cs="Times New Roman"/>
          <w:color w:val="auto"/>
          <w:szCs w:val="24"/>
        </w:rPr>
        <w:t>，并提高林草覆盖率目标值，</w:t>
      </w:r>
      <w:r>
        <w:rPr>
          <w:rFonts w:ascii="Times New Roman" w:hAnsi="Times New Roman" w:eastAsia="仿宋_GB2312" w:cs="Times New Roman"/>
          <w:color w:val="auto"/>
          <w:szCs w:val="24"/>
        </w:rPr>
        <w:t>尽量减少施工过程中的水土流失</w:t>
      </w:r>
      <w:r>
        <w:rPr>
          <w:rFonts w:hint="eastAsia" w:ascii="Times New Roman" w:hAnsi="Times New Roman" w:eastAsia="仿宋_GB2312" w:cs="Times New Roman"/>
          <w:color w:val="auto"/>
          <w:szCs w:val="24"/>
        </w:rPr>
        <w:t>，扰动植物保护带后尽快建设该区域规划建设的绿化工程完善植物保护带，不存在其他水土保持约束性因素，项目选址可行。</w:t>
      </w:r>
    </w:p>
    <w:p>
      <w:pPr>
        <w:pStyle w:val="6"/>
        <w:rPr>
          <w:rFonts w:eastAsia="仿宋_GB2312"/>
          <w:bCs w:val="0"/>
          <w:color w:val="auto"/>
          <w:szCs w:val="30"/>
        </w:rPr>
      </w:pPr>
      <w:r>
        <w:rPr>
          <w:rFonts w:eastAsia="仿宋_GB2312"/>
          <w:bCs w:val="0"/>
          <w:color w:val="auto"/>
          <w:szCs w:val="30"/>
        </w:rPr>
        <w:t>1.6.2建设方案与布局评价</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（1）建设方案评价</w:t>
      </w:r>
    </w:p>
    <w:p>
      <w:pPr>
        <w:adjustRightInd w:val="0"/>
        <w:spacing w:line="360" w:lineRule="auto"/>
        <w:ind w:firstLine="480" w:firstLineChars="200"/>
        <w:rPr>
          <w:rFonts w:ascii="Times New Roman" w:eastAsia="仿宋_GB2312" w:cs="Times New Roman"/>
          <w:color w:val="auto"/>
        </w:rPr>
      </w:pP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区域建设方案设计中不设置取、弃土场</w:t>
      </w:r>
      <w:r>
        <w:rPr>
          <w:rFonts w:ascii="Times New Roman" w:eastAsia="仿宋_GB2312" w:cs="Times New Roman"/>
          <w:color w:val="auto"/>
        </w:rPr>
        <w:t>，不涉及崩塌、滑坡危险区和泥石流保护区等水土保持敏感区</w:t>
      </w:r>
      <w:r>
        <w:rPr>
          <w:rFonts w:ascii="Times New Roman" w:hAnsi="Times New Roman" w:eastAsia="仿宋_GB2312" w:cs="Times New Roman"/>
          <w:color w:val="auto"/>
          <w:szCs w:val="24"/>
        </w:rPr>
        <w:t>；</w:t>
      </w:r>
      <w:r>
        <w:rPr>
          <w:rFonts w:hint="eastAsia" w:ascii="Times New Roman" w:eastAsia="仿宋_GB2312" w:cs="Times New Roman"/>
          <w:color w:val="auto"/>
        </w:rPr>
        <w:t>涉及</w:t>
      </w:r>
      <w:r>
        <w:rPr>
          <w:rFonts w:ascii="Times New Roman" w:eastAsia="仿宋_GB2312" w:cs="Times New Roman"/>
          <w:color w:val="auto"/>
        </w:rPr>
        <w:t>青山湖区水土流失重点预防区，主体工程优化了工程设计</w:t>
      </w:r>
      <w:r>
        <w:rPr>
          <w:rFonts w:hint="eastAsia" w:ascii="Times New Roman" w:eastAsia="仿宋_GB2312" w:cs="Times New Roman"/>
          <w:color w:val="auto"/>
        </w:rPr>
        <w:t>，</w:t>
      </w:r>
      <w:r>
        <w:rPr>
          <w:rFonts w:ascii="Times New Roman" w:eastAsia="仿宋_GB2312" w:cs="Times New Roman"/>
          <w:color w:val="auto"/>
        </w:rPr>
        <w:t>依据城市规划</w:t>
      </w:r>
      <w:r>
        <w:rPr>
          <w:rFonts w:hint="eastAsia" w:ascii="Times New Roman" w:eastAsia="仿宋_GB2312" w:cs="Times New Roman"/>
          <w:color w:val="auto"/>
        </w:rPr>
        <w:t>、排涝要求和</w:t>
      </w:r>
      <w:r>
        <w:rPr>
          <w:rFonts w:ascii="Times New Roman" w:eastAsia="仿宋_GB2312" w:cs="Times New Roman"/>
          <w:color w:val="auto"/>
        </w:rPr>
        <w:t>原始地形地势，合理设计了区域内各条道路高程和地块高程，无高填深挖路段，道路设计标高与沿线两侧地坪高差较小，建成后会存在少量临时挖填边坡，待后期周边地块开发建设后会顺接</w:t>
      </w:r>
      <w:r>
        <w:rPr>
          <w:rFonts w:hint="eastAsia" w:ascii="Times New Roman" w:eastAsia="仿宋_GB2312" w:cs="Times New Roman"/>
          <w:color w:val="auto"/>
        </w:rPr>
        <w:t>区域</w:t>
      </w:r>
      <w:r>
        <w:rPr>
          <w:rFonts w:ascii="Times New Roman" w:eastAsia="仿宋_GB2312" w:cs="Times New Roman"/>
          <w:color w:val="auto"/>
        </w:rPr>
        <w:t>内道路路面，不存在道路永久性的挖填边坡，周边地块开发建设前边坡均采用</w:t>
      </w:r>
      <w:r>
        <w:rPr>
          <w:rFonts w:ascii="Times New Roman" w:hAnsi="Times New Roman" w:eastAsia="仿宋_GB2312" w:cs="Times New Roman"/>
          <w:color w:val="auto"/>
        </w:rPr>
        <w:t>1:1</w:t>
      </w:r>
      <w:r>
        <w:rPr>
          <w:rFonts w:ascii="Times New Roman" w:eastAsia="仿宋_GB2312" w:cs="Times New Roman"/>
          <w:color w:val="auto"/>
        </w:rPr>
        <w:t>的边坡坡率，边坡采用铺植草皮的方式进行防护。评估区域位于城市建成区，植被建设标准已采用高标准的园林景观设计</w:t>
      </w:r>
      <w:r>
        <w:rPr>
          <w:rFonts w:hint="eastAsia" w:ascii="Times New Roman" w:eastAsia="仿宋_GB2312" w:cs="Times New Roman"/>
          <w:color w:val="auto"/>
        </w:rPr>
        <w:t>，</w:t>
      </w:r>
      <w:r>
        <w:rPr>
          <w:rFonts w:ascii="Times New Roman" w:eastAsia="仿宋_GB2312" w:cs="Times New Roman"/>
          <w:color w:val="auto"/>
        </w:rPr>
        <w:t>周边道路配套有完善的市政雨污管线</w:t>
      </w:r>
      <w:r>
        <w:rPr>
          <w:rFonts w:hint="eastAsia" w:ascii="Times New Roman" w:eastAsia="仿宋_GB2312" w:cs="Times New Roman"/>
          <w:color w:val="auto"/>
        </w:rPr>
        <w:t>，</w:t>
      </w:r>
      <w:r>
        <w:rPr>
          <w:rFonts w:ascii="Times New Roman" w:eastAsia="仿宋_GB2312" w:cs="Times New Roman"/>
          <w:color w:val="auto"/>
        </w:rPr>
        <w:t>亦充分考虑有透水铺装</w:t>
      </w:r>
      <w:r>
        <w:rPr>
          <w:rFonts w:hint="eastAsia" w:ascii="Times New Roman" w:eastAsia="仿宋_GB2312" w:cs="Times New Roman"/>
          <w:color w:val="auto"/>
        </w:rPr>
        <w:t>、</w:t>
      </w:r>
      <w:r>
        <w:rPr>
          <w:rFonts w:ascii="Times New Roman" w:eastAsia="仿宋_GB2312" w:cs="Times New Roman"/>
          <w:color w:val="auto"/>
        </w:rPr>
        <w:t>下凹式绿地等海绵城市的雨水蓄渗措施</w:t>
      </w:r>
      <w:r>
        <w:rPr>
          <w:rFonts w:hint="eastAsia" w:ascii="Times New Roman" w:eastAsia="仿宋_GB2312" w:cs="Times New Roman"/>
          <w:color w:val="auto"/>
        </w:rPr>
        <w:t>。</w:t>
      </w:r>
      <w:r>
        <w:rPr>
          <w:rFonts w:ascii="Times New Roman" w:hAnsi="Times New Roman" w:eastAsia="仿宋_GB2312" w:cs="Times New Roman"/>
          <w:color w:val="auto"/>
          <w:szCs w:val="24"/>
        </w:rPr>
        <w:t>经综合分析，</w:t>
      </w: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区域内开发建设方案符合水土保持相关要求，</w:t>
      </w:r>
      <w:r>
        <w:rPr>
          <w:rFonts w:hint="eastAsia" w:ascii="Times New Roman" w:hAnsi="Times New Roman" w:eastAsia="仿宋_GB2312" w:cs="Times New Roman"/>
          <w:color w:val="auto"/>
          <w:szCs w:val="24"/>
        </w:rPr>
        <w:t>建设</w:t>
      </w:r>
      <w:r>
        <w:rPr>
          <w:rFonts w:ascii="Times New Roman" w:hAnsi="Times New Roman" w:eastAsia="仿宋_GB2312" w:cs="Times New Roman"/>
          <w:color w:val="auto"/>
          <w:szCs w:val="24"/>
        </w:rPr>
        <w:t>方案可行。</w:t>
      </w:r>
    </w:p>
    <w:p>
      <w:pPr>
        <w:adjustRightInd w:val="0"/>
        <w:spacing w:line="360" w:lineRule="auto"/>
        <w:ind w:firstLine="480" w:firstLineChars="200"/>
        <w:rPr>
          <w:rFonts w:ascii="Times New Roman" w:hAnsi="Times New Roman" w:eastAsia="仿宋_GB2312" w:cs="Times New Roman"/>
          <w:color w:val="auto"/>
          <w:szCs w:val="24"/>
        </w:rPr>
      </w:pPr>
      <w:bookmarkStart w:id="58" w:name="_Toc19443"/>
      <w:bookmarkStart w:id="59" w:name="_Toc31495"/>
      <w:r>
        <w:rPr>
          <w:rFonts w:ascii="Times New Roman" w:hAnsi="Times New Roman" w:eastAsia="仿宋_GB2312" w:cs="Times New Roman"/>
          <w:color w:val="auto"/>
          <w:szCs w:val="24"/>
        </w:rPr>
        <w:t>（2）</w:t>
      </w:r>
      <w:r>
        <w:rPr>
          <w:rFonts w:hint="eastAsia" w:ascii="Times New Roman" w:hAnsi="Times New Roman" w:eastAsia="仿宋_GB2312" w:cs="Times New Roman"/>
          <w:color w:val="auto"/>
          <w:szCs w:val="24"/>
        </w:rPr>
        <w:t>区域</w:t>
      </w:r>
      <w:r>
        <w:rPr>
          <w:rFonts w:ascii="Times New Roman" w:hAnsi="Times New Roman" w:eastAsia="仿宋_GB2312" w:cs="Times New Roman"/>
          <w:color w:val="auto"/>
          <w:szCs w:val="24"/>
        </w:rPr>
        <w:t>占地评价</w:t>
      </w:r>
      <w:bookmarkEnd w:id="58"/>
      <w:bookmarkEnd w:id="59"/>
    </w:p>
    <w:p>
      <w:pPr>
        <w:adjustRightInd w:val="0"/>
        <w:spacing w:line="360" w:lineRule="auto"/>
        <w:ind w:firstLine="480" w:firstLineChars="200"/>
        <w:rPr>
          <w:rFonts w:ascii="Times New Roman" w:hAnsi="Times New Roman" w:eastAsia="仿宋_GB2312" w:cs="Times New Roman"/>
          <w:color w:val="auto"/>
          <w:szCs w:val="24"/>
        </w:rPr>
      </w:pPr>
      <w:bookmarkStart w:id="60" w:name="_Toc27893"/>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区域总征占地面积</w:t>
      </w:r>
      <w:r>
        <w:rPr>
          <w:rFonts w:hint="eastAsia" w:ascii="Times New Roman" w:hAnsi="Times New Roman" w:eastAsia="仿宋_GB2312" w:cs="Times New Roman"/>
          <w:color w:val="auto"/>
          <w:szCs w:val="24"/>
        </w:rPr>
        <w:t>100</w:t>
      </w:r>
      <w:r>
        <w:rPr>
          <w:rFonts w:ascii="Times New Roman" w:hAnsi="Times New Roman" w:eastAsia="仿宋_GB2312" w:cs="Times New Roman"/>
          <w:color w:val="auto"/>
          <w:szCs w:val="24"/>
        </w:rPr>
        <w:t>hm</w:t>
      </w:r>
      <w:r>
        <w:rPr>
          <w:rFonts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均为</w:t>
      </w:r>
      <w:r>
        <w:rPr>
          <w:rFonts w:ascii="Times New Roman" w:hAnsi="Times New Roman" w:eastAsia="仿宋_GB2312" w:cs="Times New Roman"/>
          <w:color w:val="auto"/>
          <w:szCs w:val="24"/>
        </w:rPr>
        <w:t>永久占地。</w:t>
      </w:r>
      <w:r>
        <w:rPr>
          <w:rFonts w:hint="eastAsia" w:ascii="Times New Roman" w:hAnsi="Times New Roman" w:eastAsia="仿宋_GB2312" w:cs="Times New Roman"/>
          <w:color w:val="auto"/>
          <w:szCs w:val="24"/>
        </w:rPr>
        <w:t>从占地类型分析，本区域原始占地类型包括耕地、林地、草地、水域及水利设施用地、住宅用地、工矿仓储用地、交通运输用地和其他土地。永久占地已全部变更为建设用地，用地指标得到了相关部门的批准许可，区域内布局总体紧凑合理。土方中转区、临时表土堆场和苗木移植等施工临时设施区域均布置在规划区域征地范围内，无临时占地。评估区域内整体需要借土，场地内挖方全部就地利用，所需借土结合建设工期和后期实际情况，利用周边区域项目的余土进行回填，</w:t>
      </w:r>
      <w:r>
        <w:rPr>
          <w:rFonts w:ascii="Times New Roman" w:hAnsi="Times New Roman" w:eastAsia="仿宋_GB2312" w:cs="Times New Roman"/>
          <w:color w:val="auto"/>
          <w:szCs w:val="24"/>
        </w:rPr>
        <w:t>不设取土场和弃土场</w:t>
      </w: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区域开发建设及施工范围均严格控制在征地范围线内，符合水土保持要求。</w:t>
      </w:r>
    </w:p>
    <w:p>
      <w:pPr>
        <w:adjustRightInd w:val="0"/>
        <w:spacing w:line="360" w:lineRule="auto"/>
        <w:ind w:firstLine="480" w:firstLineChars="200"/>
        <w:rPr>
          <w:rFonts w:ascii="Times New Roman" w:hAnsi="Times New Roman" w:eastAsia="仿宋_GB2312" w:cs="Times New Roman"/>
          <w:color w:val="auto"/>
          <w:szCs w:val="24"/>
        </w:rPr>
      </w:pPr>
      <w:bookmarkStart w:id="61" w:name="_Toc11368"/>
      <w:r>
        <w:rPr>
          <w:rFonts w:ascii="Times New Roman" w:hAnsi="Times New Roman" w:eastAsia="仿宋_GB2312" w:cs="Times New Roman"/>
          <w:color w:val="auto"/>
          <w:szCs w:val="24"/>
        </w:rPr>
        <w:t>（3）土石方平衡</w:t>
      </w:r>
      <w:bookmarkEnd w:id="60"/>
      <w:bookmarkEnd w:id="61"/>
      <w:r>
        <w:rPr>
          <w:rFonts w:ascii="Times New Roman" w:hAnsi="Times New Roman" w:eastAsia="仿宋_GB2312" w:cs="Times New Roman"/>
          <w:color w:val="auto"/>
          <w:szCs w:val="24"/>
        </w:rPr>
        <w:t>评价</w:t>
      </w:r>
    </w:p>
    <w:p>
      <w:pPr>
        <w:adjustRightInd w:val="0"/>
        <w:spacing w:line="360" w:lineRule="auto"/>
        <w:ind w:firstLine="480" w:firstLineChars="200"/>
        <w:rPr>
          <w:rFonts w:eastAsia="仿宋_GB2312"/>
          <w:color w:val="auto"/>
        </w:rPr>
      </w:pP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区域共挖填</w:t>
      </w:r>
      <w:r>
        <w:rPr>
          <w:rFonts w:hint="eastAsia" w:ascii="Times New Roman" w:hAnsi="Times New Roman" w:eastAsia="仿宋_GB2312" w:cs="Times New Roman"/>
          <w:color w:val="auto"/>
          <w:szCs w:val="24"/>
          <w:lang w:val="en-US" w:eastAsia="zh-CN"/>
        </w:rPr>
        <w:t>土石方</w:t>
      </w:r>
      <w:r>
        <w:rPr>
          <w:rFonts w:ascii="Times New Roman" w:hAnsi="Times New Roman" w:eastAsia="仿宋_GB2312" w:cs="Times New Roman"/>
          <w:color w:val="auto"/>
          <w:szCs w:val="24"/>
        </w:rPr>
        <w:t>总量为</w:t>
      </w:r>
      <w:r>
        <w:rPr>
          <w:rFonts w:hint="eastAsia" w:ascii="Times New Roman" w:hAnsi="Times New Roman" w:eastAsia="仿宋_GB2312" w:cs="Times New Roman"/>
          <w:color w:val="auto"/>
          <w:szCs w:val="24"/>
        </w:rPr>
        <w:t>157.77</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lang w:eastAsia="zh-CN"/>
        </w:rPr>
        <w:t>；</w:t>
      </w:r>
      <w:r>
        <w:rPr>
          <w:rFonts w:ascii="Times New Roman" w:hAnsi="Times New Roman" w:eastAsia="仿宋_GB2312" w:cs="Times New Roman"/>
          <w:color w:val="auto"/>
          <w:szCs w:val="24"/>
        </w:rPr>
        <w:t>其中：开挖</w:t>
      </w:r>
      <w:r>
        <w:rPr>
          <w:rFonts w:hint="eastAsia" w:ascii="Times New Roman" w:hAnsi="Times New Roman" w:eastAsia="仿宋_GB2312" w:cs="Times New Roman"/>
          <w:color w:val="auto"/>
          <w:szCs w:val="24"/>
          <w:lang w:val="en-US" w:eastAsia="zh-CN"/>
        </w:rPr>
        <w:t>土石方</w:t>
      </w:r>
      <w:r>
        <w:rPr>
          <w:rFonts w:ascii="Times New Roman" w:hAnsi="Times New Roman" w:eastAsia="仿宋_GB2312" w:cs="Times New Roman"/>
          <w:color w:val="auto"/>
          <w:szCs w:val="24"/>
        </w:rPr>
        <w:t>量为</w:t>
      </w:r>
      <w:r>
        <w:rPr>
          <w:rFonts w:hint="eastAsia" w:ascii="Times New Roman" w:hAnsi="Times New Roman" w:eastAsia="仿宋_GB2312" w:cs="Times New Roman"/>
          <w:color w:val="auto"/>
          <w:szCs w:val="24"/>
        </w:rPr>
        <w:t>25.91</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（含剥离表土</w:t>
      </w:r>
      <w:r>
        <w:rPr>
          <w:rFonts w:hint="eastAsia" w:ascii="Times New Roman" w:hAnsi="Times New Roman" w:eastAsia="仿宋_GB2312" w:cs="Times New Roman"/>
          <w:color w:val="auto"/>
          <w:szCs w:val="24"/>
        </w:rPr>
        <w:t>4.91</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，淤泥4.73万m</w:t>
      </w:r>
      <w:r>
        <w:rPr>
          <w:rFonts w:hint="eastAsia"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）；回填</w:t>
      </w:r>
      <w:r>
        <w:rPr>
          <w:rFonts w:hint="eastAsia" w:ascii="Times New Roman" w:hAnsi="Times New Roman" w:eastAsia="仿宋_GB2312" w:cs="Times New Roman"/>
          <w:color w:val="auto"/>
          <w:szCs w:val="24"/>
          <w:lang w:val="en-US" w:eastAsia="zh-CN"/>
        </w:rPr>
        <w:t>土石方量</w:t>
      </w:r>
      <w:r>
        <w:rPr>
          <w:rFonts w:ascii="Times New Roman" w:hAnsi="Times New Roman" w:eastAsia="仿宋_GB2312" w:cs="Times New Roman"/>
          <w:color w:val="auto"/>
          <w:szCs w:val="24"/>
        </w:rPr>
        <w:t>为</w:t>
      </w:r>
      <w:r>
        <w:rPr>
          <w:rFonts w:hint="eastAsia" w:ascii="Times New Roman" w:hAnsi="Times New Roman" w:eastAsia="仿宋_GB2312" w:cs="Times New Roman"/>
          <w:color w:val="auto"/>
          <w:szCs w:val="24"/>
        </w:rPr>
        <w:t>131.86</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（含回覆表土</w:t>
      </w:r>
      <w:r>
        <w:rPr>
          <w:rFonts w:hint="eastAsia" w:ascii="Times New Roman" w:hAnsi="Times New Roman" w:eastAsia="仿宋_GB2312" w:cs="Times New Roman"/>
          <w:color w:val="auto"/>
          <w:szCs w:val="24"/>
        </w:rPr>
        <w:t>4.91</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，淤泥4.73万m</w:t>
      </w:r>
      <w:r>
        <w:rPr>
          <w:rFonts w:hint="eastAsia"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lang w:eastAsia="zh-CN"/>
        </w:rPr>
        <w:t>；</w:t>
      </w:r>
      <w:r>
        <w:rPr>
          <w:rFonts w:hint="eastAsia" w:ascii="Times New Roman" w:hAnsi="Times New Roman" w:eastAsia="仿宋_GB2312" w:cs="Times New Roman"/>
          <w:color w:val="auto"/>
          <w:szCs w:val="24"/>
          <w:lang w:val="en-US" w:eastAsia="zh-CN"/>
        </w:rPr>
        <w:t>土石方经</w:t>
      </w:r>
      <w:r>
        <w:rPr>
          <w:rFonts w:ascii="Times New Roman" w:hAnsi="Times New Roman" w:eastAsia="仿宋_GB2312" w:cs="Times New Roman"/>
          <w:color w:val="auto"/>
          <w:szCs w:val="24"/>
        </w:rPr>
        <w:t>内部调配平衡后</w:t>
      </w:r>
      <w:r>
        <w:rPr>
          <w:rFonts w:hint="eastAsia" w:ascii="Times New Roman" w:hAnsi="Times New Roman" w:eastAsia="仿宋_GB2312" w:cs="Times New Roman"/>
          <w:color w:val="auto"/>
          <w:szCs w:val="24"/>
          <w:lang w:eastAsia="zh-CN"/>
        </w:rPr>
        <w:t>，</w:t>
      </w:r>
      <w:r>
        <w:rPr>
          <w:rFonts w:hint="eastAsia" w:ascii="Times New Roman" w:hAnsi="Times New Roman" w:eastAsia="仿宋_GB2312" w:cs="Times New Roman"/>
          <w:color w:val="auto"/>
          <w:szCs w:val="24"/>
          <w:lang w:val="en-US" w:eastAsia="zh-CN"/>
        </w:rPr>
        <w:t>不产生</w:t>
      </w:r>
      <w:r>
        <w:rPr>
          <w:rFonts w:hint="eastAsia" w:ascii="Times New Roman" w:hAnsi="Times New Roman" w:eastAsia="仿宋_GB2312" w:cs="Times New Roman"/>
          <w:color w:val="auto"/>
          <w:szCs w:val="24"/>
        </w:rPr>
        <w:t>余方，需借方105.95</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lang w:eastAsia="zh-CN"/>
        </w:rPr>
        <w:t>；</w:t>
      </w:r>
      <w:r>
        <w:rPr>
          <w:rFonts w:hint="eastAsia" w:ascii="Times New Roman" w:hAnsi="Times New Roman" w:eastAsia="仿宋_GB2312" w:cs="Times New Roman"/>
          <w:color w:val="auto"/>
          <w:szCs w:val="24"/>
        </w:rPr>
        <w:t>借方结合建设工期和后期实际情况，</w:t>
      </w:r>
      <w:r>
        <w:rPr>
          <w:rFonts w:hint="eastAsia" w:ascii="Times New Roman" w:hAnsi="Times New Roman" w:eastAsia="仿宋_GB2312" w:cs="Times New Roman"/>
          <w:color w:val="auto"/>
          <w:szCs w:val="24"/>
        </w:rPr>
        <w:t>利用</w:t>
      </w:r>
      <w:r>
        <w:rPr>
          <w:rFonts w:hint="eastAsia" w:ascii="Times New Roman" w:hAnsi="Times New Roman" w:eastAsia="仿宋_GB2312" w:cs="Times New Roman"/>
          <w:color w:val="auto"/>
          <w:szCs w:val="24"/>
          <w:lang w:val="en-US" w:eastAsia="zh-CN"/>
        </w:rPr>
        <w:t>南昌市高铁东站周边区域建设</w:t>
      </w:r>
      <w:r>
        <w:rPr>
          <w:rFonts w:hint="eastAsia" w:ascii="Times New Roman" w:hAnsi="Times New Roman" w:eastAsia="仿宋_GB2312" w:cs="Times New Roman"/>
          <w:color w:val="auto"/>
          <w:szCs w:val="24"/>
        </w:rPr>
        <w:t>项目的余土进行回填</w:t>
      </w:r>
      <w:r>
        <w:rPr>
          <w:rFonts w:ascii="Times New Roman" w:hAnsi="Times New Roman" w:eastAsia="仿宋_GB2312" w:cs="Times New Roman"/>
          <w:color w:val="auto"/>
          <w:szCs w:val="24"/>
        </w:rPr>
        <w:t>。</w:t>
      </w:r>
      <w:r>
        <w:rPr>
          <w:rFonts w:hint="eastAsia" w:eastAsia="仿宋_GB2312"/>
          <w:color w:val="auto"/>
        </w:rPr>
        <w:t>评估区域内扰动前会剥离场地内表土集中堆存于各</w:t>
      </w:r>
      <w:r>
        <w:rPr>
          <w:rFonts w:eastAsia="仿宋_GB2312"/>
          <w:color w:val="auto"/>
        </w:rPr>
        <w:t>临时</w:t>
      </w:r>
      <w:r>
        <w:rPr>
          <w:rFonts w:hint="eastAsia" w:eastAsia="仿宋_GB2312"/>
          <w:color w:val="auto"/>
        </w:rPr>
        <w:t>表土</w:t>
      </w:r>
      <w:r>
        <w:rPr>
          <w:rFonts w:eastAsia="仿宋_GB2312"/>
          <w:color w:val="auto"/>
        </w:rPr>
        <w:t>堆场内</w:t>
      </w:r>
      <w:r>
        <w:rPr>
          <w:rFonts w:hint="eastAsia" w:eastAsia="仿宋_GB2312"/>
          <w:color w:val="auto"/>
        </w:rPr>
        <w:t>，作为后期绿化区域覆土利用。评估</w:t>
      </w:r>
      <w:r>
        <w:rPr>
          <w:rFonts w:eastAsia="仿宋_GB2312"/>
          <w:color w:val="auto"/>
        </w:rPr>
        <w:t>区域土石方平衡计算符合区域实际情况，施工组织设计充分考虑了土石方的平衡情况</w:t>
      </w:r>
      <w:r>
        <w:rPr>
          <w:rFonts w:hint="eastAsia" w:eastAsia="仿宋_GB2312"/>
          <w:color w:val="auto"/>
        </w:rPr>
        <w:t>，主体设计进行了区域表土剥离保护和土方中转情况</w:t>
      </w:r>
      <w:r>
        <w:rPr>
          <w:rFonts w:eastAsia="仿宋_GB2312"/>
          <w:color w:val="auto"/>
        </w:rPr>
        <w:t>。区域开发建设过程中土石方平衡以挖作填，区域内开挖土方全部利用用于抬高区域地势</w:t>
      </w:r>
      <w:r>
        <w:rPr>
          <w:rFonts w:hint="eastAsia" w:eastAsia="仿宋_GB2312"/>
          <w:color w:val="auto"/>
        </w:rPr>
        <w:t>，</w:t>
      </w:r>
      <w:r>
        <w:rPr>
          <w:rFonts w:eastAsia="仿宋_GB2312"/>
          <w:color w:val="auto"/>
        </w:rPr>
        <w:t>无余土产生</w:t>
      </w:r>
      <w:r>
        <w:rPr>
          <w:rFonts w:hint="eastAsia" w:eastAsia="仿宋_GB2312"/>
          <w:color w:val="auto"/>
        </w:rPr>
        <w:t>，</w:t>
      </w:r>
      <w:r>
        <w:rPr>
          <w:rFonts w:eastAsia="仿宋_GB2312"/>
          <w:color w:val="auto"/>
        </w:rPr>
        <w:t>需借土方</w:t>
      </w:r>
      <w:r>
        <w:rPr>
          <w:rFonts w:hint="eastAsia" w:eastAsia="仿宋_GB2312"/>
          <w:color w:val="auto"/>
        </w:rPr>
        <w:t>结合建设工期和后期实际情况，利用周边区域项目的余土进行回填</w:t>
      </w:r>
      <w:r>
        <w:rPr>
          <w:rFonts w:eastAsia="仿宋_GB2312"/>
          <w:color w:val="auto"/>
        </w:rPr>
        <w:t>，符合土石方平衡的水土保持约束性规定。</w:t>
      </w:r>
    </w:p>
    <w:p>
      <w:pPr>
        <w:adjustRightInd w:val="0"/>
        <w:spacing w:line="360" w:lineRule="auto"/>
        <w:ind w:firstLine="480" w:firstLineChars="200"/>
        <w:rPr>
          <w:rFonts w:ascii="Times New Roman" w:hAnsi="Times New Roman" w:eastAsia="仿宋_GB2312" w:cs="Times New Roman"/>
          <w:color w:val="auto"/>
          <w:szCs w:val="24"/>
        </w:rPr>
      </w:pPr>
      <w:bookmarkStart w:id="62" w:name="_Toc32574"/>
      <w:bookmarkStart w:id="63" w:name="_Toc3949"/>
      <w:r>
        <w:rPr>
          <w:rFonts w:ascii="Times New Roman" w:hAnsi="Times New Roman" w:eastAsia="仿宋_GB2312" w:cs="Times New Roman"/>
          <w:color w:val="auto"/>
          <w:szCs w:val="24"/>
        </w:rPr>
        <w:t>（4）施工方法与工艺评价</w:t>
      </w:r>
      <w:bookmarkEnd w:id="62"/>
      <w:bookmarkEnd w:id="63"/>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主体工程设计中对水土流失影响较大的施工内容主要包括：路基施工、临时堆土区域和</w:t>
      </w:r>
      <w:r>
        <w:rPr>
          <w:rFonts w:hint="eastAsia" w:ascii="Times New Roman" w:hAnsi="Times New Roman" w:eastAsia="仿宋_GB2312" w:cs="Times New Roman"/>
          <w:color w:val="auto"/>
          <w:szCs w:val="24"/>
        </w:rPr>
        <w:t>地块</w:t>
      </w:r>
      <w:r>
        <w:rPr>
          <w:rFonts w:ascii="Times New Roman" w:hAnsi="Times New Roman" w:eastAsia="仿宋_GB2312" w:cs="Times New Roman"/>
          <w:color w:val="auto"/>
          <w:szCs w:val="24"/>
        </w:rPr>
        <w:t>填高平整等。开挖主要采用挖掘机开挖、汽车运输、碾压设施压实等机械化施工，辅以人工施工，土石方工程尽量避开雨季进行。</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在施工过程中注重土石方开挖、填筑、堆置等活动造成的裸露面防护，及时布设临时拦挡、排水、沉沙和覆盖等措施。临时性堆土应进行集中堆放，并相应设置沉沙、拦挡等措施。遇暴雨或大风天气加强临时防护，雨季土方填筑应随挖、随运、随填、随压，避免产生水土流失。</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主体工程设计对可能引发水土流失的区域实施了一定的水土保持措施，在一定程度上避免了水土流失产生的危害。但是主体工程施工方法和工艺中对于项目水土保持方面考虑还是偏少，本</w:t>
      </w:r>
      <w:r>
        <w:rPr>
          <w:rFonts w:hint="eastAsia" w:ascii="Times New Roman" w:hAnsi="Times New Roman" w:eastAsia="仿宋_GB2312" w:cs="Times New Roman"/>
          <w:color w:val="auto"/>
          <w:szCs w:val="24"/>
          <w:lang w:val="en-US" w:eastAsia="zh-CN"/>
        </w:rPr>
        <w:t>区域评估报告</w:t>
      </w:r>
      <w:r>
        <w:rPr>
          <w:rFonts w:ascii="Times New Roman" w:hAnsi="Times New Roman" w:eastAsia="仿宋_GB2312" w:cs="Times New Roman"/>
          <w:color w:val="auto"/>
          <w:szCs w:val="24"/>
        </w:rPr>
        <w:t>将对其施工方法和工艺进行补充，并对其工程管理及施工中注意事项提出相关建议，对这部分内容进行完善，有效地减少水土流失的发生。</w:t>
      </w:r>
    </w:p>
    <w:p>
      <w:pPr>
        <w:adjustRightInd w:val="0"/>
        <w:spacing w:line="360" w:lineRule="auto"/>
        <w:ind w:firstLine="480" w:firstLineChars="200"/>
        <w:rPr>
          <w:rFonts w:ascii="Times New Roman" w:hAnsi="Times New Roman" w:eastAsia="仿宋_GB2312" w:cs="Times New Roman"/>
          <w:color w:val="auto"/>
          <w:szCs w:val="24"/>
        </w:rPr>
      </w:pPr>
      <w:bookmarkStart w:id="64" w:name="_Toc24024"/>
      <w:bookmarkStart w:id="65" w:name="_Toc32727"/>
      <w:r>
        <w:rPr>
          <w:rFonts w:ascii="Times New Roman" w:hAnsi="Times New Roman" w:eastAsia="仿宋_GB2312" w:cs="Times New Roman"/>
          <w:color w:val="auto"/>
          <w:szCs w:val="24"/>
        </w:rPr>
        <w:t>（5）</w:t>
      </w:r>
      <w:bookmarkEnd w:id="64"/>
      <w:bookmarkEnd w:id="65"/>
      <w:r>
        <w:rPr>
          <w:rFonts w:ascii="Times New Roman" w:hAnsi="Times New Roman" w:eastAsia="仿宋_GB2312" w:cs="Times New Roman"/>
          <w:color w:val="auto"/>
          <w:szCs w:val="24"/>
        </w:rPr>
        <w:t>具有水土保持功能工程评价</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主体工程设计中纳入水土保持</w:t>
      </w:r>
      <w:r>
        <w:rPr>
          <w:rFonts w:hint="eastAsia" w:ascii="Times New Roman" w:hAnsi="Times New Roman" w:eastAsia="仿宋_GB2312" w:cs="Times New Roman"/>
          <w:color w:val="auto"/>
          <w:szCs w:val="24"/>
          <w:lang w:val="en-US" w:eastAsia="zh-CN"/>
        </w:rPr>
        <w:t>区域评估报告</w:t>
      </w:r>
      <w:r>
        <w:rPr>
          <w:rFonts w:ascii="Times New Roman" w:hAnsi="Times New Roman" w:eastAsia="仿宋_GB2312" w:cs="Times New Roman"/>
          <w:color w:val="auto"/>
          <w:szCs w:val="24"/>
        </w:rPr>
        <w:t>的措施主要为场地内的土地整治工程、排水工程、绿化工程、护坡工程、透水铺装工程；缺少施工过程中的</w:t>
      </w:r>
      <w:r>
        <w:rPr>
          <w:rFonts w:hint="eastAsia" w:ascii="Times New Roman" w:hAnsi="Times New Roman" w:eastAsia="仿宋_GB2312" w:cs="Times New Roman"/>
          <w:color w:val="auto"/>
          <w:szCs w:val="24"/>
        </w:rPr>
        <w:t>场地</w:t>
      </w:r>
      <w:r>
        <w:rPr>
          <w:rFonts w:ascii="Times New Roman" w:hAnsi="Times New Roman" w:eastAsia="仿宋_GB2312" w:cs="Times New Roman"/>
          <w:color w:val="auto"/>
          <w:szCs w:val="24"/>
        </w:rPr>
        <w:t>临时排水措施</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临时堆土场的临时排水</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沉沙</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拦挡措施和</w:t>
      </w:r>
      <w:r>
        <w:rPr>
          <w:rFonts w:hint="eastAsia" w:ascii="Times New Roman" w:hAnsi="Times New Roman" w:eastAsia="仿宋_GB2312" w:cs="Times New Roman"/>
          <w:color w:val="auto"/>
          <w:szCs w:val="24"/>
        </w:rPr>
        <w:t>裸露</w:t>
      </w:r>
      <w:r>
        <w:rPr>
          <w:rFonts w:ascii="Times New Roman" w:hAnsi="Times New Roman" w:eastAsia="仿宋_GB2312" w:cs="Times New Roman"/>
          <w:color w:val="auto"/>
          <w:szCs w:val="24"/>
        </w:rPr>
        <w:t>地表的临时覆盖措施，未形成系统的水土流失防治措施体系，本</w:t>
      </w:r>
      <w:r>
        <w:rPr>
          <w:rFonts w:hint="eastAsia" w:ascii="Times New Roman" w:hAnsi="Times New Roman" w:eastAsia="仿宋_GB2312" w:cs="Times New Roman"/>
          <w:color w:val="auto"/>
          <w:szCs w:val="24"/>
          <w:lang w:val="en-US" w:eastAsia="zh-CN"/>
        </w:rPr>
        <w:t>区域评估报告</w:t>
      </w:r>
      <w:r>
        <w:rPr>
          <w:rFonts w:ascii="Times New Roman" w:hAnsi="Times New Roman" w:eastAsia="仿宋_GB2312" w:cs="Times New Roman"/>
          <w:color w:val="auto"/>
          <w:szCs w:val="24"/>
        </w:rPr>
        <w:t>将新增施工过程中的临时拦挡、排水、沉沙、覆盖等临时性措施，以形成完善的水土流失防治措施体系。</w:t>
      </w:r>
    </w:p>
    <w:p>
      <w:pPr>
        <w:pStyle w:val="5"/>
        <w:rPr>
          <w:rFonts w:eastAsia="仿宋_GB2312"/>
          <w:color w:val="auto"/>
        </w:rPr>
      </w:pPr>
      <w:bookmarkStart w:id="66" w:name="_Toc514432576"/>
      <w:bookmarkStart w:id="67" w:name="_Toc15624"/>
      <w:bookmarkStart w:id="68" w:name="_Toc292149865"/>
      <w:bookmarkStart w:id="69" w:name="_Toc292149658"/>
      <w:bookmarkStart w:id="70" w:name="_Toc292049964"/>
      <w:bookmarkStart w:id="71" w:name="_Toc301594341"/>
      <w:bookmarkStart w:id="72" w:name="_Toc514431432"/>
      <w:bookmarkStart w:id="73" w:name="_Toc451799188"/>
      <w:bookmarkStart w:id="74" w:name="_Toc292050158"/>
      <w:bookmarkStart w:id="75" w:name="_Toc327951856"/>
      <w:bookmarkStart w:id="76" w:name="_Toc514430822"/>
      <w:bookmarkStart w:id="77" w:name="_Toc5629"/>
      <w:bookmarkStart w:id="78" w:name="_Toc282434167"/>
      <w:bookmarkStart w:id="79" w:name="_Toc499039850"/>
      <w:bookmarkStart w:id="80" w:name="_Toc301169884"/>
      <w:r>
        <w:rPr>
          <w:rFonts w:eastAsia="仿宋_GB2312"/>
          <w:color w:val="auto"/>
        </w:rPr>
        <w:t>1.7水土流失预测结果</w:t>
      </w:r>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p>
    <w:p>
      <w:pPr>
        <w:widowControl/>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区域建设扰动原地貌面积</w:t>
      </w:r>
      <w:r>
        <w:rPr>
          <w:rFonts w:hint="eastAsia" w:ascii="Times New Roman" w:hAnsi="Times New Roman" w:eastAsia="仿宋_GB2312" w:cs="Times New Roman"/>
          <w:color w:val="auto"/>
          <w:szCs w:val="24"/>
          <w:lang w:val="en-US" w:eastAsia="zh-CN"/>
        </w:rPr>
        <w:t>100</w:t>
      </w:r>
      <w:r>
        <w:rPr>
          <w:rFonts w:hint="eastAsia" w:ascii="Times New Roman" w:hAnsi="Times New Roman" w:eastAsia="仿宋_GB2312" w:cs="Times New Roman"/>
          <w:color w:val="auto"/>
          <w:szCs w:val="24"/>
        </w:rPr>
        <w:t>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，损毁</w:t>
      </w:r>
      <w:r>
        <w:rPr>
          <w:rFonts w:ascii="Times New Roman" w:hAnsi="Times New Roman" w:eastAsia="仿宋_GB2312" w:cs="Times New Roman"/>
          <w:color w:val="auto"/>
          <w:szCs w:val="24"/>
        </w:rPr>
        <w:t>植被面积</w:t>
      </w:r>
      <w:r>
        <w:rPr>
          <w:rFonts w:hint="eastAsia" w:ascii="Times New Roman" w:hAnsi="Times New Roman" w:eastAsia="仿宋_GB2312" w:cs="Times New Roman"/>
          <w:color w:val="auto"/>
          <w:szCs w:val="24"/>
        </w:rPr>
        <w:t>16.96</w:t>
      </w:r>
      <w:r>
        <w:rPr>
          <w:rFonts w:ascii="Times New Roman" w:hAnsi="Times New Roman" w:eastAsia="仿宋_GB2312" w:cs="Times New Roman"/>
          <w:color w:val="auto"/>
          <w:szCs w:val="24"/>
        </w:rPr>
        <w:t>hm</w:t>
      </w:r>
      <w:r>
        <w:rPr>
          <w:rFonts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w:t>
      </w:r>
      <w:r>
        <w:rPr>
          <w:rFonts w:hint="eastAsia" w:eastAsia="仿宋_GB2312"/>
          <w:color w:val="auto"/>
        </w:rPr>
        <w:t>评估</w:t>
      </w:r>
      <w:r>
        <w:rPr>
          <w:rFonts w:eastAsia="仿宋_GB2312"/>
          <w:color w:val="auto"/>
        </w:rPr>
        <w:t>区域内土石方临时堆存和</w:t>
      </w:r>
      <w:r>
        <w:rPr>
          <w:rFonts w:hint="eastAsia" w:eastAsia="仿宋_GB2312"/>
          <w:color w:val="auto"/>
          <w:lang w:val="en-US" w:eastAsia="zh-CN"/>
        </w:rPr>
        <w:t>土石方</w:t>
      </w:r>
      <w:r>
        <w:rPr>
          <w:rFonts w:eastAsia="仿宋_GB2312"/>
          <w:color w:val="auto"/>
        </w:rPr>
        <w:t>中转</w:t>
      </w:r>
      <w:r>
        <w:rPr>
          <w:rFonts w:ascii="Times New Roman" w:hAnsi="Times New Roman" w:eastAsia="仿宋_GB2312" w:cs="Times New Roman"/>
          <w:color w:val="auto"/>
        </w:rPr>
        <w:t>量为9.64万m</w:t>
      </w:r>
      <w:r>
        <w:rPr>
          <w:rFonts w:ascii="Times New Roman" w:hAnsi="Times New Roman" w:eastAsia="仿宋_GB2312" w:cs="Times New Roman"/>
          <w:color w:val="auto"/>
          <w:vertAlign w:val="superscript"/>
        </w:rPr>
        <w:t>3</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经预测分析，如果在没有采取有效防治措施的情况下，整个施工过程中可能造成水土流失总量为</w:t>
      </w:r>
      <w:r>
        <w:rPr>
          <w:rFonts w:hint="eastAsia" w:ascii="Times New Roman" w:hAnsi="Times New Roman" w:eastAsia="仿宋_GB2312" w:cs="Times New Roman"/>
          <w:color w:val="auto"/>
          <w:szCs w:val="24"/>
          <w:lang w:val="en-US" w:eastAsia="zh-CN"/>
        </w:rPr>
        <w:t>12367</w:t>
      </w:r>
      <w:r>
        <w:rPr>
          <w:rFonts w:ascii="Times New Roman" w:hAnsi="Times New Roman" w:eastAsia="仿宋_GB2312" w:cs="Times New Roman"/>
          <w:color w:val="auto"/>
          <w:szCs w:val="24"/>
        </w:rPr>
        <w:t>t，其中新增水土流失量为</w:t>
      </w:r>
      <w:r>
        <w:rPr>
          <w:rFonts w:hint="eastAsia" w:ascii="Times New Roman" w:hAnsi="Times New Roman" w:eastAsia="仿宋_GB2312" w:cs="Times New Roman"/>
          <w:color w:val="auto"/>
          <w:szCs w:val="24"/>
          <w:lang w:val="en-US" w:eastAsia="zh-CN"/>
        </w:rPr>
        <w:t>11461</w:t>
      </w:r>
      <w:r>
        <w:rPr>
          <w:rFonts w:ascii="Times New Roman" w:hAnsi="Times New Roman" w:eastAsia="仿宋_GB2312" w:cs="Times New Roman"/>
          <w:color w:val="auto"/>
          <w:szCs w:val="24"/>
        </w:rPr>
        <w:t>t。施工期作为水土流失防治重点，产生水土流失重点区域是</w:t>
      </w:r>
      <w:r>
        <w:rPr>
          <w:rFonts w:hint="eastAsia" w:ascii="Times New Roman" w:hAnsi="Times New Roman" w:eastAsia="仿宋_GB2312" w:cs="Times New Roman"/>
          <w:color w:val="auto"/>
        </w:rPr>
        <w:t>公共基础设施区</w:t>
      </w:r>
      <w:r>
        <w:rPr>
          <w:rFonts w:ascii="Times New Roman" w:hAnsi="Times New Roman" w:eastAsia="仿宋_GB2312" w:cs="Times New Roman"/>
          <w:color w:val="auto"/>
          <w:szCs w:val="24"/>
        </w:rPr>
        <w:t>。水土流失主要危害是影响主体工程建设</w:t>
      </w:r>
      <w:r>
        <w:rPr>
          <w:rFonts w:hint="eastAsia" w:ascii="Times New Roman" w:hAnsi="Times New Roman" w:eastAsia="仿宋_GB2312" w:cs="Times New Roman"/>
          <w:color w:val="auto"/>
          <w:szCs w:val="24"/>
        </w:rPr>
        <w:t>、影响周边城市雨水管网</w:t>
      </w:r>
      <w:r>
        <w:rPr>
          <w:rFonts w:hint="eastAsia" w:ascii="Times New Roman" w:hAnsi="Times New Roman" w:eastAsia="仿宋_GB2312" w:cs="Times New Roman"/>
          <w:color w:val="auto"/>
          <w:szCs w:val="24"/>
          <w:lang w:eastAsia="zh-CN"/>
        </w:rPr>
        <w:t>、周边水系</w:t>
      </w:r>
      <w:r>
        <w:rPr>
          <w:rFonts w:hint="eastAsia" w:ascii="Times New Roman" w:hAnsi="Times New Roman" w:eastAsia="仿宋_GB2312" w:cs="Times New Roman"/>
          <w:color w:val="auto"/>
          <w:szCs w:val="24"/>
        </w:rPr>
        <w:t>和</w:t>
      </w:r>
      <w:r>
        <w:rPr>
          <w:rFonts w:ascii="Times New Roman" w:hAnsi="Times New Roman" w:eastAsia="仿宋_GB2312" w:cs="Times New Roman"/>
          <w:color w:val="auto"/>
          <w:szCs w:val="24"/>
        </w:rPr>
        <w:t>周边区域</w:t>
      </w:r>
      <w:r>
        <w:rPr>
          <w:rFonts w:hint="eastAsia" w:ascii="Times New Roman" w:hAnsi="Times New Roman" w:eastAsia="仿宋_GB2312" w:cs="Times New Roman"/>
          <w:color w:val="auto"/>
          <w:szCs w:val="24"/>
        </w:rPr>
        <w:t>生态</w:t>
      </w:r>
      <w:r>
        <w:rPr>
          <w:rFonts w:ascii="Times New Roman" w:hAnsi="Times New Roman" w:eastAsia="仿宋_GB2312" w:cs="Times New Roman"/>
          <w:color w:val="auto"/>
          <w:szCs w:val="24"/>
        </w:rPr>
        <w:t>环境。</w:t>
      </w:r>
    </w:p>
    <w:p>
      <w:pPr>
        <w:pStyle w:val="5"/>
        <w:rPr>
          <w:rFonts w:eastAsia="仿宋_GB2312"/>
          <w:color w:val="auto"/>
        </w:rPr>
      </w:pPr>
      <w:bookmarkStart w:id="81" w:name="_Toc4043"/>
      <w:bookmarkStart w:id="82" w:name="_Toc499039851"/>
      <w:bookmarkStart w:id="83" w:name="_Toc451799189"/>
      <w:bookmarkStart w:id="84" w:name="_Toc514430823"/>
      <w:bookmarkStart w:id="85" w:name="_Toc514431433"/>
      <w:bookmarkStart w:id="86" w:name="_Toc514432577"/>
      <w:bookmarkStart w:id="87" w:name="_Toc7453"/>
      <w:r>
        <w:rPr>
          <w:rFonts w:eastAsia="仿宋_GB2312"/>
          <w:color w:val="auto"/>
        </w:rPr>
        <w:t>1.8水土</w:t>
      </w:r>
      <w:bookmarkEnd w:id="19"/>
      <w:bookmarkEnd w:id="20"/>
      <w:bookmarkEnd w:id="21"/>
      <w:bookmarkEnd w:id="22"/>
      <w:bookmarkEnd w:id="23"/>
      <w:r>
        <w:rPr>
          <w:rFonts w:eastAsia="仿宋_GB2312"/>
          <w:color w:val="auto"/>
        </w:rPr>
        <w:t>保持措施</w:t>
      </w:r>
      <w:bookmarkEnd w:id="81"/>
      <w:bookmarkEnd w:id="82"/>
      <w:bookmarkEnd w:id="83"/>
      <w:bookmarkEnd w:id="84"/>
      <w:bookmarkEnd w:id="85"/>
      <w:bookmarkEnd w:id="86"/>
      <w:r>
        <w:rPr>
          <w:rFonts w:eastAsia="仿宋_GB2312"/>
          <w:color w:val="auto"/>
        </w:rPr>
        <w:t>布设成果</w:t>
      </w:r>
      <w:bookmarkEnd w:id="87"/>
    </w:p>
    <w:p>
      <w:pPr>
        <w:widowControl/>
        <w:snapToGrid w:val="0"/>
        <w:spacing w:line="360" w:lineRule="auto"/>
        <w:ind w:firstLine="480" w:firstLineChars="200"/>
        <w:jc w:val="left"/>
        <w:rPr>
          <w:rFonts w:ascii="Times New Roman" w:hAnsi="Times New Roman" w:eastAsia="仿宋_GB2312" w:cs="Times New Roman"/>
          <w:color w:val="auto"/>
          <w:szCs w:val="24"/>
        </w:rPr>
      </w:pPr>
      <w:bookmarkStart w:id="88" w:name="_Toc499039852"/>
      <w:bookmarkStart w:id="89" w:name="_Toc8942"/>
      <w:bookmarkStart w:id="90" w:name="_Toc514430824"/>
      <w:bookmarkStart w:id="91" w:name="_Toc514432578"/>
      <w:bookmarkStart w:id="92" w:name="_Toc451799190"/>
      <w:bookmarkStart w:id="93" w:name="_Toc6847"/>
      <w:bookmarkStart w:id="94" w:name="_Toc13807"/>
      <w:bookmarkStart w:id="95" w:name="_Toc31327"/>
      <w:bookmarkStart w:id="96" w:name="_Toc25349"/>
      <w:bookmarkStart w:id="97" w:name="_Toc514431434"/>
      <w:bookmarkStart w:id="98" w:name="_Toc2847"/>
      <w:r>
        <w:rPr>
          <w:rFonts w:ascii="Times New Roman" w:hAnsi="Times New Roman" w:eastAsia="仿宋_GB2312" w:cs="Times New Roman"/>
          <w:color w:val="auto"/>
          <w:szCs w:val="24"/>
        </w:rPr>
        <w:t>根据工程布局与施工特点，</w:t>
      </w: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区域的水土流失防治划分为</w:t>
      </w:r>
      <w:r>
        <w:rPr>
          <w:rFonts w:hint="eastAsia" w:ascii="Times New Roman" w:hAnsi="Times New Roman" w:eastAsia="仿宋_GB2312" w:cs="Times New Roman"/>
          <w:color w:val="auto"/>
          <w:szCs w:val="24"/>
        </w:rPr>
        <w:t>公共基础设施</w:t>
      </w:r>
      <w:r>
        <w:rPr>
          <w:rFonts w:ascii="Times New Roman" w:hAnsi="Times New Roman" w:eastAsia="仿宋_GB2312" w:cs="Times New Roman"/>
          <w:color w:val="auto"/>
          <w:szCs w:val="24"/>
        </w:rPr>
        <w:t>防治区</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区域规划功能防治区</w:t>
      </w:r>
      <w:r>
        <w:rPr>
          <w:rFonts w:hint="eastAsia" w:ascii="Times New Roman" w:hAnsi="Times New Roman" w:eastAsia="仿宋_GB2312" w:cs="Times New Roman"/>
          <w:color w:val="auto"/>
          <w:szCs w:val="24"/>
        </w:rPr>
        <w:t>和施工临时设施</w:t>
      </w:r>
      <w:r>
        <w:rPr>
          <w:rFonts w:ascii="Times New Roman" w:hAnsi="Times New Roman" w:eastAsia="仿宋_GB2312" w:cs="Times New Roman"/>
          <w:color w:val="auto"/>
          <w:szCs w:val="24"/>
        </w:rPr>
        <w:t>防治区</w:t>
      </w:r>
      <w:r>
        <w:rPr>
          <w:rFonts w:hint="eastAsia" w:ascii="Times New Roman" w:hAnsi="Times New Roman" w:eastAsia="仿宋_GB2312" w:cs="Times New Roman"/>
          <w:color w:val="auto"/>
          <w:szCs w:val="24"/>
        </w:rPr>
        <w:t>3</w:t>
      </w:r>
      <w:r>
        <w:rPr>
          <w:rFonts w:ascii="Times New Roman" w:hAnsi="Times New Roman" w:eastAsia="仿宋_GB2312" w:cs="Times New Roman"/>
          <w:color w:val="auto"/>
          <w:szCs w:val="24"/>
        </w:rPr>
        <w:t>个水土流失一级防治区</w:t>
      </w:r>
      <w:r>
        <w:rPr>
          <w:rFonts w:hint="eastAsia" w:ascii="Times New Roman" w:hAnsi="Times New Roman" w:eastAsia="仿宋_GB2312" w:cs="Times New Roman"/>
          <w:color w:val="auto"/>
          <w:szCs w:val="24"/>
          <w:lang w:eastAsia="zh-CN"/>
        </w:rPr>
        <w:t>；</w:t>
      </w:r>
      <w:r>
        <w:rPr>
          <w:rFonts w:hint="eastAsia" w:ascii="Times New Roman" w:hAnsi="Times New Roman" w:eastAsia="仿宋_GB2312" w:cs="Times New Roman"/>
          <w:color w:val="auto"/>
          <w:szCs w:val="24"/>
        </w:rPr>
        <w:t>其中公共基础设施防治区占地面积44.54hm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；区域规划功能防治区占地面积55.46hm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；施工临时设施防治区占地面积4.63hm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w:t>
      </w:r>
      <w:r>
        <w:rPr>
          <w:rFonts w:hint="eastAsia" w:ascii="Times New Roman" w:hAnsi="Times New Roman" w:eastAsia="仿宋_GB2312"/>
          <w:color w:val="auto"/>
        </w:rPr>
        <w:t>为项目建设过程中临时场地，其中临时表土堆场区位于区域规划功能区中E</w:t>
      </w:r>
      <w:r>
        <w:rPr>
          <w:rFonts w:hint="eastAsia" w:ascii="Times New Roman" w:hAnsi="Times New Roman" w:eastAsia="仿宋_GB2312"/>
          <w:color w:val="auto"/>
          <w:lang w:val="en-US" w:eastAsia="zh-CN"/>
        </w:rPr>
        <w:t>22</w:t>
      </w:r>
      <w:r>
        <w:rPr>
          <w:rFonts w:hint="eastAsia" w:ascii="Times New Roman" w:hAnsi="Times New Roman" w:eastAsia="仿宋_GB2312"/>
          <w:color w:val="auto"/>
        </w:rPr>
        <w:t>地块，</w:t>
      </w:r>
      <w:r>
        <w:rPr>
          <w:rFonts w:hint="eastAsia" w:ascii="Times New Roman" w:hAnsi="Times New Roman" w:eastAsia="仿宋_GB2312"/>
          <w:color w:val="auto"/>
          <w:lang w:eastAsia="zh-CN"/>
        </w:rPr>
        <w:t>淤泥晾干场</w:t>
      </w:r>
      <w:r>
        <w:rPr>
          <w:rFonts w:hint="eastAsia" w:ascii="Times New Roman" w:hAnsi="Times New Roman" w:eastAsia="仿宋_GB2312"/>
          <w:color w:val="auto"/>
        </w:rPr>
        <w:t>位于区域规划功能区中E</w:t>
      </w:r>
      <w:r>
        <w:rPr>
          <w:rFonts w:hint="eastAsia" w:ascii="Times New Roman" w:hAnsi="Times New Roman" w:eastAsia="仿宋_GB2312"/>
          <w:color w:val="auto"/>
          <w:lang w:val="en-US" w:eastAsia="zh-CN"/>
        </w:rPr>
        <w:t>20</w:t>
      </w:r>
      <w:r>
        <w:rPr>
          <w:rFonts w:hint="eastAsia" w:ascii="Times New Roman" w:hAnsi="Times New Roman" w:eastAsia="仿宋_GB2312"/>
          <w:color w:val="auto"/>
        </w:rPr>
        <w:t>地块，苗木移栽区位于公共基础设施区</w:t>
      </w:r>
      <w:r>
        <w:rPr>
          <w:rFonts w:hint="eastAsia" w:ascii="Times New Roman" w:hAnsi="Times New Roman" w:eastAsia="仿宋_GB2312" w:cs="Times New Roman"/>
          <w:color w:val="auto"/>
          <w:szCs w:val="24"/>
        </w:rPr>
        <w:t>F08地块，不额外占用区域外的临时占地。</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公共基础设施防治区划分为3个二级防治分区，即：道路与交通设施用地防治区、公共设施用地多防治区、绿地防治区；区域规划功能</w:t>
      </w:r>
      <w:r>
        <w:rPr>
          <w:rFonts w:hint="eastAsia" w:ascii="Times New Roman" w:hAnsi="Times New Roman" w:eastAsia="仿宋_GB2312" w:cs="Times New Roman"/>
          <w:color w:val="auto"/>
          <w:szCs w:val="24"/>
          <w:lang w:val="en-US" w:eastAsia="zh-CN"/>
        </w:rPr>
        <w:t>防治</w:t>
      </w:r>
      <w:r>
        <w:rPr>
          <w:rFonts w:hint="eastAsia" w:ascii="Times New Roman" w:hAnsi="Times New Roman" w:eastAsia="仿宋_GB2312" w:cs="Times New Roman"/>
          <w:color w:val="auto"/>
          <w:szCs w:val="24"/>
        </w:rPr>
        <w:t>区划分为</w:t>
      </w:r>
      <w:r>
        <w:rPr>
          <w:rFonts w:hint="eastAsia" w:ascii="Times New Roman" w:hAnsi="Times New Roman" w:eastAsia="仿宋_GB2312" w:cs="Times New Roman"/>
          <w:color w:val="auto"/>
          <w:szCs w:val="24"/>
          <w:lang w:val="en-US" w:eastAsia="zh-CN"/>
        </w:rPr>
        <w:t>3</w:t>
      </w:r>
      <w:r>
        <w:rPr>
          <w:rFonts w:hint="eastAsia" w:ascii="Times New Roman" w:hAnsi="Times New Roman" w:eastAsia="仿宋_GB2312" w:cs="Times New Roman"/>
          <w:color w:val="auto"/>
          <w:szCs w:val="24"/>
        </w:rPr>
        <w:t>个二级防治分区，即</w:t>
      </w:r>
      <w:r>
        <w:rPr>
          <w:rFonts w:hint="eastAsia" w:ascii="Times New Roman" w:hAnsi="Times New Roman" w:eastAsia="仿宋_GB2312" w:cs="Times New Roman"/>
          <w:color w:val="auto"/>
          <w:szCs w:val="24"/>
          <w:lang w:eastAsia="zh-CN"/>
        </w:rPr>
        <w:t>：已建工程</w:t>
      </w:r>
      <w:r>
        <w:rPr>
          <w:rFonts w:hint="eastAsia" w:ascii="Times New Roman" w:hAnsi="Times New Roman" w:eastAsia="仿宋_GB2312" w:cs="Times New Roman"/>
          <w:color w:val="auto"/>
          <w:szCs w:val="24"/>
        </w:rPr>
        <w:t>防治区、</w:t>
      </w:r>
      <w:r>
        <w:rPr>
          <w:rFonts w:hint="eastAsia" w:ascii="Times New Roman" w:hAnsi="Times New Roman" w:eastAsia="仿宋_GB2312" w:cs="Times New Roman"/>
          <w:color w:val="auto"/>
          <w:szCs w:val="24"/>
          <w:lang w:eastAsia="zh-CN"/>
        </w:rPr>
        <w:t>在建工程</w:t>
      </w:r>
      <w:r>
        <w:rPr>
          <w:rFonts w:hint="eastAsia" w:ascii="Times New Roman" w:hAnsi="Times New Roman" w:eastAsia="仿宋_GB2312" w:cs="Times New Roman"/>
          <w:color w:val="auto"/>
          <w:szCs w:val="24"/>
        </w:rPr>
        <w:t>防治区</w:t>
      </w:r>
      <w:r>
        <w:rPr>
          <w:rFonts w:hint="eastAsia" w:ascii="Times New Roman" w:hAnsi="Times New Roman" w:eastAsia="仿宋_GB2312" w:cs="Times New Roman"/>
          <w:color w:val="auto"/>
          <w:szCs w:val="24"/>
          <w:lang w:eastAsia="zh-CN"/>
        </w:rPr>
        <w:t>、待建工程防治区</w:t>
      </w:r>
      <w:r>
        <w:rPr>
          <w:rFonts w:hint="eastAsia" w:ascii="Times New Roman" w:hAnsi="Times New Roman" w:eastAsia="仿宋_GB2312" w:cs="Times New Roman"/>
          <w:color w:val="auto"/>
          <w:szCs w:val="24"/>
        </w:rPr>
        <w:t>；施工临时设施</w:t>
      </w:r>
      <w:r>
        <w:rPr>
          <w:rFonts w:hint="eastAsia" w:ascii="Times New Roman" w:hAnsi="Times New Roman" w:eastAsia="仿宋_GB2312" w:cs="Times New Roman"/>
          <w:color w:val="auto"/>
          <w:szCs w:val="24"/>
          <w:lang w:val="en-US" w:eastAsia="zh-CN"/>
        </w:rPr>
        <w:t>防治</w:t>
      </w:r>
      <w:r>
        <w:rPr>
          <w:rFonts w:hint="eastAsia" w:ascii="Times New Roman" w:hAnsi="Times New Roman" w:eastAsia="仿宋_GB2312" w:cs="Times New Roman"/>
          <w:color w:val="auto"/>
          <w:szCs w:val="24"/>
        </w:rPr>
        <w:t>区划分为</w:t>
      </w:r>
      <w:r>
        <w:rPr>
          <w:rFonts w:hint="eastAsia" w:ascii="Times New Roman" w:hAnsi="Times New Roman" w:eastAsia="仿宋_GB2312" w:cs="Times New Roman"/>
          <w:color w:val="auto"/>
          <w:szCs w:val="24"/>
          <w:lang w:val="en-US" w:eastAsia="zh-CN"/>
        </w:rPr>
        <w:t>2</w:t>
      </w:r>
      <w:r>
        <w:rPr>
          <w:rFonts w:hint="eastAsia" w:ascii="Times New Roman" w:hAnsi="Times New Roman" w:eastAsia="仿宋_GB2312" w:cs="Times New Roman"/>
          <w:color w:val="auto"/>
          <w:szCs w:val="24"/>
        </w:rPr>
        <w:t>个二级防治分区，即：</w:t>
      </w:r>
      <w:r>
        <w:rPr>
          <w:rFonts w:hint="eastAsia" w:ascii="Times New Roman" w:hAnsi="Times New Roman" w:eastAsia="仿宋_GB2312" w:cs="Times New Roman"/>
          <w:color w:val="auto"/>
          <w:szCs w:val="24"/>
          <w:lang w:eastAsia="zh-CN"/>
        </w:rPr>
        <w:t>临时堆土场防治区和</w:t>
      </w:r>
      <w:r>
        <w:rPr>
          <w:rFonts w:hint="eastAsia" w:ascii="Times New Roman" w:hAnsi="Times New Roman" w:eastAsia="仿宋_GB2312" w:cs="Times New Roman"/>
          <w:color w:val="auto"/>
          <w:szCs w:val="24"/>
        </w:rPr>
        <w:t>苗木移栽防治区</w:t>
      </w:r>
      <w:r>
        <w:rPr>
          <w:rFonts w:ascii="Times New Roman" w:hAnsi="Times New Roman" w:eastAsia="仿宋_GB2312" w:cs="Times New Roman"/>
          <w:color w:val="auto"/>
          <w:szCs w:val="24"/>
        </w:rPr>
        <w:t>。</w:t>
      </w:r>
    </w:p>
    <w:p>
      <w:pPr>
        <w:widowControl/>
        <w:snapToGrid w:val="0"/>
        <w:spacing w:line="360" w:lineRule="auto"/>
        <w:ind w:firstLine="482" w:firstLineChars="200"/>
        <w:jc w:val="left"/>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（一）公共基础设施防治区</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1</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道路与交通设施用地</w:t>
      </w:r>
      <w:r>
        <w:rPr>
          <w:rFonts w:ascii="Times New Roman" w:hAnsi="Times New Roman" w:eastAsia="仿宋_GB2312" w:cs="Times New Roman"/>
          <w:color w:val="auto"/>
          <w:szCs w:val="24"/>
        </w:rPr>
        <w:t>防治区</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道路与交通设施用地</w:t>
      </w:r>
      <w:r>
        <w:rPr>
          <w:rFonts w:ascii="Times New Roman" w:hAnsi="Times New Roman" w:eastAsia="仿宋_GB2312" w:cs="Times New Roman"/>
          <w:color w:val="auto"/>
          <w:szCs w:val="24"/>
        </w:rPr>
        <w:t>防治区施工前对场地内有表土的区域进行表土剥离保护，剥离出的表土集中堆放在临时</w:t>
      </w:r>
      <w:r>
        <w:rPr>
          <w:rFonts w:hint="eastAsia" w:ascii="Times New Roman" w:hAnsi="Times New Roman" w:eastAsia="仿宋_GB2312" w:cs="Times New Roman"/>
          <w:color w:val="auto"/>
          <w:szCs w:val="24"/>
        </w:rPr>
        <w:t>表土</w:t>
      </w:r>
      <w:r>
        <w:rPr>
          <w:rFonts w:ascii="Times New Roman" w:hAnsi="Times New Roman" w:eastAsia="仿宋_GB2312" w:cs="Times New Roman"/>
          <w:color w:val="auto"/>
          <w:szCs w:val="24"/>
        </w:rPr>
        <w:t>堆场内，后期临时堆置的表土用于周边绿化区域回填。沿道路两侧布置临时排水沟和临时沉沙池，在建设有综合管廊的尤氨公路段布置基坑内排水沟和沉沙池</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同时对有边坡的区域</w:t>
      </w:r>
      <w:r>
        <w:rPr>
          <w:rFonts w:hint="eastAsia" w:ascii="Times New Roman" w:hAnsi="Times New Roman" w:eastAsia="仿宋_GB2312" w:cs="Times New Roman"/>
          <w:color w:val="auto"/>
          <w:szCs w:val="24"/>
        </w:rPr>
        <w:t>铺植</w:t>
      </w:r>
      <w:r>
        <w:rPr>
          <w:rFonts w:ascii="Times New Roman" w:hAnsi="Times New Roman" w:eastAsia="仿宋_GB2312" w:cs="Times New Roman"/>
          <w:color w:val="auto"/>
          <w:szCs w:val="24"/>
        </w:rPr>
        <w:t>草皮护坡。路基建设过程中同步进行雨水管线施工</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建设完成后对人行道区域布置透水铺装，铺装完成后对树池和设计由绿化的区域回填表土，并进行绿化措施布设。</w:t>
      </w:r>
    </w:p>
    <w:p>
      <w:pPr>
        <w:widowControl/>
        <w:snapToGrid w:val="0"/>
        <w:spacing w:line="360" w:lineRule="auto"/>
        <w:ind w:firstLine="480" w:firstLineChars="200"/>
        <w:jc w:val="left"/>
        <w:rPr>
          <w:rFonts w:ascii="Times New Roman" w:hAnsi="Times New Roman" w:eastAsia="仿宋_GB2312" w:cs="Times New Roman"/>
          <w:color w:val="auto"/>
          <w:szCs w:val="24"/>
        </w:rPr>
      </w:pPr>
    </w:p>
    <w:p>
      <w:pPr>
        <w:widowControl/>
        <w:snapToGrid w:val="0"/>
        <w:spacing w:line="360" w:lineRule="auto"/>
        <w:jc w:val="center"/>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表</w:t>
      </w:r>
      <w:r>
        <w:rPr>
          <w:rFonts w:ascii="Times New Roman" w:hAnsi="Times New Roman" w:eastAsia="仿宋_GB2312" w:cs="Times New Roman"/>
          <w:b/>
          <w:color w:val="auto"/>
          <w:szCs w:val="24"/>
        </w:rPr>
        <w:t>1</w:t>
      </w:r>
      <w:r>
        <w:rPr>
          <w:rFonts w:hint="eastAsia" w:ascii="Times New Roman" w:hAnsi="Times New Roman" w:eastAsia="仿宋_GB2312" w:cs="Times New Roman"/>
          <w:b/>
          <w:color w:val="auto"/>
          <w:szCs w:val="24"/>
        </w:rPr>
        <w:t>.</w:t>
      </w:r>
      <w:r>
        <w:rPr>
          <w:rFonts w:ascii="Times New Roman" w:hAnsi="Times New Roman" w:eastAsia="仿宋_GB2312" w:cs="Times New Roman"/>
          <w:b/>
          <w:color w:val="auto"/>
          <w:szCs w:val="24"/>
        </w:rPr>
        <w:t>8-</w:t>
      </w:r>
      <w:r>
        <w:rPr>
          <w:rFonts w:hint="eastAsia" w:ascii="Times New Roman" w:hAnsi="Times New Roman" w:eastAsia="仿宋_GB2312" w:cs="Times New Roman"/>
          <w:b/>
          <w:color w:val="auto"/>
          <w:szCs w:val="24"/>
        </w:rPr>
        <w:t>1</w:t>
      </w:r>
      <w:r>
        <w:rPr>
          <w:rFonts w:ascii="Times New Roman" w:hAnsi="Times New Roman" w:eastAsia="仿宋_GB2312" w:cs="Times New Roman"/>
          <w:b/>
          <w:color w:val="auto"/>
          <w:szCs w:val="24"/>
        </w:rPr>
        <w:t>：</w:t>
      </w:r>
      <w:r>
        <w:rPr>
          <w:rFonts w:hint="eastAsia" w:ascii="Times New Roman" w:hAnsi="Times New Roman" w:eastAsia="仿宋_GB2312" w:cs="Times New Roman"/>
          <w:b/>
          <w:color w:val="auto"/>
          <w:szCs w:val="24"/>
        </w:rPr>
        <w:t>道路与交通设施用地</w:t>
      </w:r>
      <w:r>
        <w:rPr>
          <w:rFonts w:ascii="Times New Roman" w:hAnsi="Times New Roman" w:eastAsia="仿宋_GB2312" w:cs="Times New Roman"/>
          <w:b/>
          <w:color w:val="auto"/>
          <w:szCs w:val="24"/>
        </w:rPr>
        <w:t>防治区措施布设表</w:t>
      </w:r>
    </w:p>
    <w:tbl>
      <w:tblPr>
        <w:tblStyle w:val="37"/>
        <w:tblW w:w="8423"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578"/>
        <w:gridCol w:w="1182"/>
        <w:gridCol w:w="709"/>
        <w:gridCol w:w="709"/>
        <w:gridCol w:w="1701"/>
        <w:gridCol w:w="1984"/>
        <w:gridCol w:w="156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93" w:hRule="atLeast"/>
          <w:tblHeader/>
          <w:jc w:val="center"/>
        </w:trPr>
        <w:tc>
          <w:tcPr>
            <w:tcW w:w="578"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序号</w:t>
            </w:r>
          </w:p>
        </w:tc>
        <w:tc>
          <w:tcPr>
            <w:tcW w:w="1182"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hint="eastAsia" w:ascii="Times New Roman" w:hAnsi="Times New Roman" w:eastAsia="仿宋_GB2312" w:cs="Times New Roman"/>
                <w:b/>
                <w:color w:val="auto"/>
                <w:kern w:val="0"/>
                <w:sz w:val="21"/>
                <w:szCs w:val="21"/>
                <w:lang w:val="en-US" w:eastAsia="zh-CN"/>
              </w:rPr>
              <w:t>措施</w:t>
            </w:r>
            <w:r>
              <w:rPr>
                <w:rFonts w:ascii="Times New Roman" w:hAnsi="Times New Roman" w:eastAsia="仿宋_GB2312" w:cs="Times New Roman"/>
                <w:b/>
                <w:color w:val="auto"/>
                <w:kern w:val="0"/>
                <w:sz w:val="21"/>
                <w:szCs w:val="21"/>
              </w:rPr>
              <w:t>名称</w:t>
            </w:r>
          </w:p>
        </w:tc>
        <w:tc>
          <w:tcPr>
            <w:tcW w:w="709"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单位</w:t>
            </w:r>
          </w:p>
        </w:tc>
        <w:tc>
          <w:tcPr>
            <w:tcW w:w="709"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工程量</w:t>
            </w:r>
          </w:p>
        </w:tc>
        <w:tc>
          <w:tcPr>
            <w:tcW w:w="1701" w:type="dxa"/>
            <w:vAlign w:val="center"/>
          </w:tcPr>
          <w:p>
            <w:pPr>
              <w:widowControl/>
              <w:jc w:val="center"/>
              <w:textAlignment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布设位置</w:t>
            </w:r>
          </w:p>
        </w:tc>
        <w:tc>
          <w:tcPr>
            <w:tcW w:w="1984" w:type="dxa"/>
            <w:vAlign w:val="center"/>
          </w:tcPr>
          <w:p>
            <w:pPr>
              <w:widowControl/>
              <w:jc w:val="center"/>
              <w:textAlignment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结构形式</w:t>
            </w:r>
          </w:p>
        </w:tc>
        <w:tc>
          <w:tcPr>
            <w:tcW w:w="1560"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布设时间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79" w:hRule="atLeast"/>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一</w:t>
            </w:r>
          </w:p>
        </w:tc>
        <w:tc>
          <w:tcPr>
            <w:tcW w:w="1182"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工程措施</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1701" w:type="dxa"/>
            <w:vAlign w:val="center"/>
          </w:tcPr>
          <w:p>
            <w:pPr>
              <w:jc w:val="center"/>
              <w:rPr>
                <w:rFonts w:ascii="Times New Roman" w:hAnsi="Times New Roman" w:eastAsia="仿宋_GB2312" w:cs="Times New Roman"/>
                <w:color w:val="auto"/>
                <w:sz w:val="21"/>
                <w:szCs w:val="21"/>
              </w:rPr>
            </w:pPr>
          </w:p>
        </w:tc>
        <w:tc>
          <w:tcPr>
            <w:tcW w:w="1984" w:type="dxa"/>
            <w:vAlign w:val="center"/>
          </w:tcPr>
          <w:p>
            <w:pPr>
              <w:jc w:val="center"/>
              <w:rPr>
                <w:rFonts w:ascii="Times New Roman" w:hAnsi="Times New Roman" w:eastAsia="仿宋_GB2312" w:cs="Times New Roman"/>
                <w:color w:val="auto"/>
                <w:sz w:val="21"/>
                <w:szCs w:val="21"/>
              </w:rPr>
            </w:pP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794" w:hRule="atLeast"/>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bCs/>
                <w:color w:val="auto"/>
                <w:kern w:val="0"/>
                <w:sz w:val="21"/>
                <w:szCs w:val="21"/>
              </w:rPr>
            </w:pPr>
            <w:r>
              <w:rPr>
                <w:rFonts w:ascii="Times New Roman" w:hAnsi="Times New Roman" w:eastAsia="仿宋_GB2312" w:cs="Times New Roman"/>
                <w:bCs/>
                <w:color w:val="auto"/>
                <w:kern w:val="0"/>
                <w:sz w:val="21"/>
                <w:szCs w:val="21"/>
              </w:rPr>
              <w:t>表土剥离</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万m</w:t>
            </w:r>
            <w:r>
              <w:rPr>
                <w:rFonts w:ascii="Times New Roman" w:hAnsi="Times New Roman" w:eastAsia="仿宋_GB2312" w:cs="Times New Roman"/>
                <w:color w:val="auto"/>
                <w:kern w:val="0"/>
                <w:sz w:val="21"/>
                <w:szCs w:val="21"/>
                <w:vertAlign w:val="superscript"/>
              </w:rPr>
              <w:t>3</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0.98</w:t>
            </w:r>
          </w:p>
        </w:tc>
        <w:tc>
          <w:tcPr>
            <w:tcW w:w="1701"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施工区域内有可剥离表土区域</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剥离厚度</w:t>
            </w:r>
            <w:r>
              <w:rPr>
                <w:rFonts w:hint="eastAsia" w:ascii="Times New Roman" w:hAnsi="Times New Roman" w:eastAsia="仿宋_GB2312" w:cs="Times New Roman"/>
                <w:color w:val="auto"/>
                <w:sz w:val="21"/>
                <w:szCs w:val="21"/>
              </w:rPr>
              <w:t>0.2m~0.3m</w:t>
            </w: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施工扰动前</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822" w:hRule="atLeast"/>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bCs/>
                <w:color w:val="auto"/>
                <w:kern w:val="0"/>
                <w:sz w:val="21"/>
                <w:szCs w:val="21"/>
              </w:rPr>
            </w:pPr>
            <w:r>
              <w:rPr>
                <w:rFonts w:ascii="Times New Roman" w:hAnsi="Times New Roman" w:eastAsia="仿宋_GB2312" w:cs="Times New Roman"/>
                <w:bCs/>
                <w:color w:val="auto"/>
                <w:kern w:val="0"/>
                <w:sz w:val="21"/>
                <w:szCs w:val="21"/>
              </w:rPr>
              <w:t>表土回填</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万m</w:t>
            </w:r>
            <w:r>
              <w:rPr>
                <w:rFonts w:ascii="Times New Roman" w:hAnsi="Times New Roman" w:eastAsia="仿宋_GB2312" w:cs="Times New Roman"/>
                <w:color w:val="auto"/>
                <w:kern w:val="0"/>
                <w:sz w:val="21"/>
                <w:szCs w:val="21"/>
                <w:vertAlign w:val="superscript"/>
              </w:rPr>
              <w:t>3</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0.08</w:t>
            </w:r>
          </w:p>
        </w:tc>
        <w:tc>
          <w:tcPr>
            <w:tcW w:w="1701"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道路沿线绿化分隔带和树池</w:t>
            </w:r>
          </w:p>
        </w:tc>
        <w:tc>
          <w:tcPr>
            <w:tcW w:w="1984" w:type="dxa"/>
            <w:vAlign w:val="center"/>
          </w:tcPr>
          <w:p>
            <w:pPr>
              <w:jc w:val="center"/>
              <w:rPr>
                <w:rFonts w:eastAsia="仿宋_GB2312"/>
                <w:color w:val="auto"/>
                <w:sz w:val="21"/>
                <w:szCs w:val="21"/>
                <w:highlight w:val="green"/>
              </w:rPr>
            </w:pPr>
            <w:r>
              <w:rPr>
                <w:rFonts w:hint="eastAsia" w:eastAsia="仿宋_GB2312"/>
                <w:color w:val="auto"/>
                <w:sz w:val="21"/>
                <w:szCs w:val="21"/>
              </w:rPr>
              <w:t>挖掘机或推土机运输至绿化区域，推平</w:t>
            </w:r>
          </w:p>
        </w:tc>
        <w:tc>
          <w:tcPr>
            <w:tcW w:w="1560" w:type="dxa"/>
            <w:noWrap/>
            <w:tcMar>
              <w:top w:w="12" w:type="dxa"/>
              <w:left w:w="12" w:type="dxa"/>
              <w:right w:w="12" w:type="dxa"/>
            </w:tcMar>
            <w:vAlign w:val="center"/>
          </w:tcPr>
          <w:p>
            <w:pPr>
              <w:jc w:val="center"/>
              <w:rPr>
                <w:rFonts w:eastAsia="仿宋_GB2312"/>
                <w:color w:val="auto"/>
                <w:sz w:val="21"/>
                <w:szCs w:val="21"/>
              </w:rPr>
            </w:pPr>
            <w:r>
              <w:rPr>
                <w:rFonts w:hint="eastAsia" w:eastAsia="仿宋_GB2312"/>
                <w:color w:val="auto"/>
                <w:sz w:val="21"/>
                <w:szCs w:val="21"/>
              </w:rPr>
              <w:t>道路</w:t>
            </w:r>
            <w:r>
              <w:rPr>
                <w:rFonts w:eastAsia="仿宋_GB2312"/>
                <w:color w:val="auto"/>
                <w:sz w:val="21"/>
                <w:szCs w:val="21"/>
              </w:rPr>
              <w:t>绿化施工前</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808" w:hRule="atLeast"/>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雨水管</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m</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val="en-US" w:eastAsia="zh-CN"/>
              </w:rPr>
              <w:t>2496</w:t>
            </w:r>
            <w:r>
              <w:rPr>
                <w:rFonts w:hint="eastAsia" w:ascii="Times New Roman" w:hAnsi="Times New Roman" w:eastAsia="仿宋_GB2312" w:cs="Times New Roman"/>
                <w:color w:val="auto"/>
                <w:sz w:val="21"/>
                <w:szCs w:val="21"/>
              </w:rPr>
              <w:t>0</w:t>
            </w:r>
          </w:p>
        </w:tc>
        <w:tc>
          <w:tcPr>
            <w:tcW w:w="1701" w:type="dxa"/>
            <w:vMerge w:val="restar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各条道路路面下方</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采用</w:t>
            </w:r>
            <w:r>
              <w:rPr>
                <w:rFonts w:hint="eastAsia" w:ascii="Times New Roman" w:hAnsi="Times New Roman" w:eastAsia="仿宋_GB2312" w:cs="Times New Roman"/>
                <w:color w:val="auto"/>
                <w:sz w:val="21"/>
                <w:szCs w:val="21"/>
              </w:rPr>
              <w:t>DN800~DN1500雨水排水管</w:t>
            </w:r>
          </w:p>
        </w:tc>
        <w:tc>
          <w:tcPr>
            <w:tcW w:w="1560" w:type="dxa"/>
            <w:vMerge w:val="restart"/>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道路路基形成后</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路面铺装前</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与污水</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强弱电等管线同步建设</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76" w:hRule="atLeast"/>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4</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雨水口</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个</w:t>
            </w:r>
          </w:p>
        </w:tc>
        <w:tc>
          <w:tcPr>
            <w:tcW w:w="709" w:type="dxa"/>
            <w:noWrap/>
            <w:tcMar>
              <w:top w:w="12" w:type="dxa"/>
              <w:left w:w="12" w:type="dxa"/>
              <w:right w:w="12" w:type="dxa"/>
            </w:tcMar>
            <w:vAlign w:val="center"/>
          </w:tcPr>
          <w:p>
            <w:pPr>
              <w:widowControl/>
              <w:jc w:val="center"/>
              <w:textAlignment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112</w:t>
            </w:r>
          </w:p>
        </w:tc>
        <w:tc>
          <w:tcPr>
            <w:tcW w:w="1701" w:type="dxa"/>
            <w:vMerge w:val="continue"/>
            <w:vAlign w:val="center"/>
          </w:tcPr>
          <w:p>
            <w:pPr>
              <w:jc w:val="center"/>
              <w:rPr>
                <w:rFonts w:ascii="Times New Roman" w:hAnsi="Times New Roman" w:eastAsia="仿宋_GB2312" w:cs="Times New Roman"/>
                <w:color w:val="auto"/>
                <w:sz w:val="21"/>
                <w:szCs w:val="21"/>
              </w:rPr>
            </w:pP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双箅环保型</w:t>
            </w:r>
          </w:p>
        </w:tc>
        <w:tc>
          <w:tcPr>
            <w:tcW w:w="1560" w:type="dxa"/>
            <w:vMerge w:val="continue"/>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90" w:hRule="atLeast"/>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5</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雨水井</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709" w:type="dxa"/>
            <w:noWrap/>
            <w:tcMar>
              <w:top w:w="12" w:type="dxa"/>
              <w:left w:w="12" w:type="dxa"/>
              <w:right w:w="12" w:type="dxa"/>
            </w:tcMar>
            <w:vAlign w:val="center"/>
          </w:tcPr>
          <w:p>
            <w:pPr>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56</w:t>
            </w:r>
          </w:p>
        </w:tc>
        <w:tc>
          <w:tcPr>
            <w:tcW w:w="1701" w:type="dxa"/>
            <w:vMerge w:val="continue"/>
            <w:vAlign w:val="center"/>
          </w:tcPr>
          <w:p>
            <w:pPr>
              <w:jc w:val="center"/>
              <w:rPr>
                <w:rFonts w:ascii="Times New Roman" w:hAnsi="Times New Roman" w:eastAsia="仿宋_GB2312" w:cs="Times New Roman"/>
                <w:color w:val="auto"/>
                <w:sz w:val="21"/>
                <w:szCs w:val="21"/>
              </w:rPr>
            </w:pP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检查井</w:t>
            </w:r>
          </w:p>
        </w:tc>
        <w:tc>
          <w:tcPr>
            <w:tcW w:w="1560" w:type="dxa"/>
            <w:vMerge w:val="continue"/>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6</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透水铺装</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vertAlign w:val="superscript"/>
              </w:rPr>
            </w:pPr>
            <w:r>
              <w:rPr>
                <w:rFonts w:ascii="Times New Roman" w:hAnsi="Times New Roman" w:eastAsia="仿宋_GB2312" w:cs="Times New Roman"/>
                <w:color w:val="auto"/>
                <w:kern w:val="0"/>
                <w:sz w:val="21"/>
                <w:szCs w:val="21"/>
              </w:rPr>
              <w:t>hm</w:t>
            </w:r>
            <w:r>
              <w:rPr>
                <w:rFonts w:ascii="Times New Roman" w:hAnsi="Times New Roman" w:eastAsia="仿宋_GB2312" w:cs="Times New Roman"/>
                <w:color w:val="auto"/>
                <w:kern w:val="0"/>
                <w:sz w:val="21"/>
                <w:szCs w:val="21"/>
                <w:vertAlign w:val="superscript"/>
              </w:rPr>
              <w:t>2</w:t>
            </w:r>
          </w:p>
        </w:tc>
        <w:tc>
          <w:tcPr>
            <w:tcW w:w="709"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val="en-US" w:eastAsia="zh-CN"/>
              </w:rPr>
              <w:t>3</w:t>
            </w:r>
            <w:r>
              <w:rPr>
                <w:rFonts w:hint="eastAsia" w:ascii="Times New Roman" w:hAnsi="Times New Roman" w:eastAsia="仿宋_GB2312" w:cs="Times New Roman"/>
                <w:color w:val="auto"/>
                <w:sz w:val="21"/>
                <w:szCs w:val="21"/>
              </w:rPr>
              <w:t>.83</w:t>
            </w:r>
          </w:p>
        </w:tc>
        <w:tc>
          <w:tcPr>
            <w:tcW w:w="1701"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人行道处</w:t>
            </w:r>
          </w:p>
        </w:tc>
        <w:tc>
          <w:tcPr>
            <w:tcW w:w="198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面</w:t>
            </w:r>
            <w:r>
              <w:rPr>
                <w:rFonts w:ascii="Times New Roman" w:hAnsi="Times New Roman" w:eastAsia="仿宋_GB2312" w:cs="Times New Roman"/>
                <w:color w:val="auto"/>
                <w:sz w:val="21"/>
                <w:szCs w:val="21"/>
              </w:rPr>
              <w:t>层6cm厚的透水砖</w:t>
            </w:r>
            <w:r>
              <w:rPr>
                <w:rFonts w:hint="eastAsia" w:ascii="Times New Roman" w:hAnsi="Times New Roman" w:eastAsia="仿宋_GB2312" w:cs="Times New Roman"/>
                <w:color w:val="auto"/>
                <w:sz w:val="21"/>
                <w:szCs w:val="21"/>
              </w:rPr>
              <w:t>、封层2cm厚水泥砂浆、基层15</w:t>
            </w:r>
            <w:r>
              <w:rPr>
                <w:rFonts w:ascii="Times New Roman" w:hAnsi="Times New Roman" w:eastAsia="仿宋_GB2312" w:cs="Times New Roman"/>
                <w:color w:val="auto"/>
                <w:sz w:val="21"/>
                <w:szCs w:val="21"/>
              </w:rPr>
              <w:t>cmC20透水混凝土和垫层</w:t>
            </w:r>
            <w:r>
              <w:rPr>
                <w:rFonts w:hint="eastAsia" w:ascii="Times New Roman" w:hAnsi="Times New Roman" w:eastAsia="仿宋_GB2312" w:cs="Times New Roman"/>
                <w:color w:val="auto"/>
                <w:sz w:val="21"/>
                <w:szCs w:val="21"/>
              </w:rPr>
              <w:t>10cm级配碎石</w:t>
            </w: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与路面工程同步施工</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7</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铺植</w:t>
            </w:r>
            <w:r>
              <w:rPr>
                <w:rFonts w:ascii="Times New Roman" w:hAnsi="Times New Roman" w:eastAsia="仿宋_GB2312" w:cs="Times New Roman"/>
                <w:color w:val="auto"/>
                <w:kern w:val="0"/>
                <w:sz w:val="21"/>
                <w:szCs w:val="21"/>
              </w:rPr>
              <w:t>草皮护坡</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vertAlign w:val="superscript"/>
              </w:rPr>
            </w:pPr>
            <w:r>
              <w:rPr>
                <w:rFonts w:ascii="Times New Roman" w:hAnsi="Times New Roman" w:eastAsia="仿宋_GB2312" w:cs="Times New Roman"/>
                <w:color w:val="auto"/>
                <w:kern w:val="0"/>
                <w:sz w:val="21"/>
                <w:szCs w:val="21"/>
              </w:rPr>
              <w:t>hm</w:t>
            </w:r>
            <w:r>
              <w:rPr>
                <w:rFonts w:ascii="Times New Roman" w:hAnsi="Times New Roman" w:eastAsia="仿宋_GB2312" w:cs="Times New Roman"/>
                <w:color w:val="auto"/>
                <w:kern w:val="0"/>
                <w:sz w:val="21"/>
                <w:szCs w:val="21"/>
                <w:vertAlign w:val="superscript"/>
              </w:rPr>
              <w:t>2</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2.10</w:t>
            </w:r>
          </w:p>
        </w:tc>
        <w:tc>
          <w:tcPr>
            <w:tcW w:w="1701"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路基存在的临时性填方边坡处</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铺植草皮</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铺满</w:t>
            </w: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坡面平整与路基同步</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铺装草皮选在春</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冬季</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76" w:hRule="atLeast"/>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二</w:t>
            </w:r>
          </w:p>
        </w:tc>
        <w:tc>
          <w:tcPr>
            <w:tcW w:w="1182"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植物措施</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1701" w:type="dxa"/>
            <w:vAlign w:val="center"/>
          </w:tcPr>
          <w:p>
            <w:pPr>
              <w:jc w:val="center"/>
              <w:rPr>
                <w:rFonts w:ascii="Times New Roman" w:hAnsi="Times New Roman" w:eastAsia="仿宋_GB2312" w:cs="Times New Roman"/>
                <w:color w:val="auto"/>
                <w:sz w:val="21"/>
                <w:szCs w:val="21"/>
              </w:rPr>
            </w:pPr>
          </w:p>
        </w:tc>
        <w:tc>
          <w:tcPr>
            <w:tcW w:w="1984" w:type="dxa"/>
            <w:vAlign w:val="center"/>
          </w:tcPr>
          <w:p>
            <w:pPr>
              <w:jc w:val="center"/>
              <w:rPr>
                <w:rFonts w:ascii="Times New Roman" w:hAnsi="Times New Roman" w:eastAsia="仿宋_GB2312" w:cs="Times New Roman"/>
                <w:color w:val="auto"/>
                <w:sz w:val="21"/>
                <w:szCs w:val="21"/>
              </w:rPr>
            </w:pP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61" w:hRule="atLeast"/>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道路</w:t>
            </w:r>
            <w:r>
              <w:rPr>
                <w:rFonts w:ascii="Times New Roman" w:hAnsi="Times New Roman" w:eastAsia="仿宋_GB2312" w:cs="Times New Roman"/>
                <w:color w:val="auto"/>
                <w:kern w:val="0"/>
                <w:sz w:val="21"/>
                <w:szCs w:val="21"/>
              </w:rPr>
              <w:t>绿化</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hm</w:t>
            </w:r>
            <w:r>
              <w:rPr>
                <w:rFonts w:ascii="Times New Roman" w:hAnsi="Times New Roman" w:eastAsia="仿宋_GB2312" w:cs="Times New Roman"/>
                <w:color w:val="auto"/>
                <w:kern w:val="0"/>
                <w:sz w:val="21"/>
                <w:szCs w:val="21"/>
                <w:vertAlign w:val="superscript"/>
              </w:rPr>
              <w:t>2</w:t>
            </w:r>
          </w:p>
        </w:tc>
        <w:tc>
          <w:tcPr>
            <w:tcW w:w="709" w:type="dxa"/>
            <w:noWrap/>
            <w:tcMar>
              <w:top w:w="12" w:type="dxa"/>
              <w:left w:w="12" w:type="dxa"/>
              <w:right w:w="12" w:type="dxa"/>
            </w:tcMar>
            <w:vAlign w:val="center"/>
          </w:tcPr>
          <w:p>
            <w:pPr>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rPr>
              <w:t>0.</w:t>
            </w:r>
            <w:r>
              <w:rPr>
                <w:rFonts w:hint="eastAsia" w:ascii="Times New Roman" w:hAnsi="Times New Roman" w:eastAsia="仿宋_GB2312" w:cs="Times New Roman"/>
                <w:color w:val="auto"/>
                <w:sz w:val="21"/>
                <w:szCs w:val="21"/>
                <w:lang w:val="en-US" w:eastAsia="zh-CN"/>
              </w:rPr>
              <w:t>46</w:t>
            </w:r>
          </w:p>
        </w:tc>
        <w:tc>
          <w:tcPr>
            <w:tcW w:w="1701"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绿化分隔带和树池</w:t>
            </w:r>
          </w:p>
        </w:tc>
        <w:tc>
          <w:tcPr>
            <w:tcW w:w="198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行道树和分隔带绿化</w:t>
            </w: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春</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冬季</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46" w:hRule="atLeast"/>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三</w:t>
            </w:r>
          </w:p>
        </w:tc>
        <w:tc>
          <w:tcPr>
            <w:tcW w:w="1182"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临时措施</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1701" w:type="dxa"/>
            <w:vAlign w:val="center"/>
          </w:tcPr>
          <w:p>
            <w:pPr>
              <w:jc w:val="center"/>
              <w:rPr>
                <w:rFonts w:ascii="Times New Roman" w:hAnsi="Times New Roman" w:eastAsia="仿宋_GB2312" w:cs="Times New Roman"/>
                <w:color w:val="auto"/>
                <w:sz w:val="21"/>
                <w:szCs w:val="21"/>
              </w:rPr>
            </w:pPr>
          </w:p>
        </w:tc>
        <w:tc>
          <w:tcPr>
            <w:tcW w:w="1984" w:type="dxa"/>
            <w:vAlign w:val="center"/>
          </w:tcPr>
          <w:p>
            <w:pPr>
              <w:jc w:val="center"/>
              <w:rPr>
                <w:rFonts w:ascii="Times New Roman" w:hAnsi="Times New Roman" w:eastAsia="仿宋_GB2312" w:cs="Times New Roman"/>
                <w:color w:val="auto"/>
                <w:sz w:val="21"/>
                <w:szCs w:val="21"/>
              </w:rPr>
            </w:pP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苫布覆盖</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hm</w:t>
            </w:r>
            <w:r>
              <w:rPr>
                <w:rFonts w:ascii="Times New Roman" w:hAnsi="Times New Roman" w:eastAsia="仿宋_GB2312" w:cs="Times New Roman"/>
                <w:color w:val="auto"/>
                <w:kern w:val="0"/>
                <w:sz w:val="21"/>
                <w:szCs w:val="21"/>
                <w:vertAlign w:val="superscript"/>
              </w:rPr>
              <w:t>2</w:t>
            </w:r>
          </w:p>
        </w:tc>
        <w:tc>
          <w:tcPr>
            <w:tcW w:w="709" w:type="dxa"/>
            <w:noWrap/>
            <w:tcMar>
              <w:top w:w="12" w:type="dxa"/>
              <w:left w:w="12" w:type="dxa"/>
              <w:right w:w="12" w:type="dxa"/>
            </w:tcMar>
            <w:vAlign w:val="center"/>
          </w:tcPr>
          <w:p>
            <w:pPr>
              <w:jc w:val="center"/>
              <w:rPr>
                <w:rFonts w:hint="eastAsia"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rPr>
              <w:t>2.1</w:t>
            </w:r>
            <w:r>
              <w:rPr>
                <w:rFonts w:hint="eastAsia" w:ascii="Times New Roman" w:hAnsi="Times New Roman" w:eastAsia="仿宋_GB2312" w:cs="Times New Roman"/>
                <w:color w:val="auto"/>
                <w:sz w:val="21"/>
                <w:szCs w:val="21"/>
                <w:lang w:val="en-US" w:eastAsia="zh-CN"/>
              </w:rPr>
              <w:t>0</w:t>
            </w:r>
          </w:p>
        </w:tc>
        <w:tc>
          <w:tcPr>
            <w:tcW w:w="1701"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路基填方边坡</w:t>
            </w:r>
          </w:p>
        </w:tc>
        <w:tc>
          <w:tcPr>
            <w:tcW w:w="1984" w:type="dxa"/>
            <w:vAlign w:val="center"/>
          </w:tcPr>
          <w:p>
            <w:pPr>
              <w:jc w:val="center"/>
              <w:rPr>
                <w:rFonts w:eastAsia="仿宋_GB2312"/>
                <w:color w:val="auto"/>
                <w:sz w:val="21"/>
                <w:szCs w:val="21"/>
              </w:rPr>
            </w:pPr>
            <w:r>
              <w:rPr>
                <w:rFonts w:hint="eastAsia" w:eastAsia="仿宋_GB2312"/>
                <w:color w:val="auto"/>
                <w:sz w:val="21"/>
                <w:szCs w:val="21"/>
              </w:rPr>
              <w:t>铺苫布</w:t>
            </w:r>
          </w:p>
        </w:tc>
        <w:tc>
          <w:tcPr>
            <w:tcW w:w="1560" w:type="dxa"/>
            <w:noWrap/>
            <w:tcMar>
              <w:top w:w="12" w:type="dxa"/>
              <w:left w:w="12" w:type="dxa"/>
              <w:right w:w="12" w:type="dxa"/>
            </w:tcMar>
            <w:vAlign w:val="center"/>
          </w:tcPr>
          <w:p>
            <w:pPr>
              <w:jc w:val="center"/>
              <w:rPr>
                <w:rFonts w:eastAsia="仿宋_GB2312"/>
                <w:color w:val="auto"/>
                <w:sz w:val="21"/>
                <w:szCs w:val="21"/>
              </w:rPr>
            </w:pPr>
            <w:r>
              <w:rPr>
                <w:rFonts w:eastAsia="仿宋_GB2312"/>
                <w:color w:val="auto"/>
                <w:sz w:val="21"/>
                <w:szCs w:val="21"/>
              </w:rPr>
              <w:t>场地裸露期间</w:t>
            </w:r>
            <w:r>
              <w:rPr>
                <w:rFonts w:hint="eastAsia" w:eastAsia="仿宋_GB2312"/>
                <w:color w:val="auto"/>
                <w:sz w:val="21"/>
                <w:szCs w:val="21"/>
              </w:rPr>
              <w:t>，</w:t>
            </w:r>
            <w:r>
              <w:rPr>
                <w:rFonts w:eastAsia="仿宋_GB2312"/>
                <w:color w:val="auto"/>
                <w:sz w:val="21"/>
                <w:szCs w:val="21"/>
              </w:rPr>
              <w:t>在暴雨前布置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临时排水沟</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7420</w:t>
            </w:r>
          </w:p>
        </w:tc>
        <w:tc>
          <w:tcPr>
            <w:tcW w:w="1701"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路基两侧</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土沟</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底宽0.2m，深0.</w:t>
            </w:r>
            <w:r>
              <w:rPr>
                <w:rFonts w:hint="eastAsia" w:ascii="Times New Roman" w:hAnsi="Times New Roman" w:eastAsia="仿宋_GB2312" w:cs="Times New Roman"/>
                <w:color w:val="auto"/>
                <w:sz w:val="21"/>
                <w:szCs w:val="21"/>
                <w:lang w:val="en-US" w:eastAsia="zh-CN"/>
              </w:rPr>
              <w:t>4</w:t>
            </w:r>
            <w:r>
              <w:rPr>
                <w:rFonts w:ascii="Times New Roman" w:hAnsi="Times New Roman" w:eastAsia="仿宋_GB2312" w:cs="Times New Roman"/>
                <w:color w:val="auto"/>
                <w:sz w:val="21"/>
                <w:szCs w:val="21"/>
              </w:rPr>
              <w:t>m，坡比1:</w:t>
            </w:r>
            <w:r>
              <w:rPr>
                <w:rFonts w:hint="eastAsia" w:ascii="Times New Roman" w:hAnsi="Times New Roman" w:eastAsia="仿宋_GB2312" w:cs="Times New Roman"/>
                <w:color w:val="auto"/>
                <w:sz w:val="21"/>
                <w:szCs w:val="21"/>
              </w:rPr>
              <w:t>1，安全超高0.2m</w:t>
            </w:r>
          </w:p>
        </w:tc>
        <w:tc>
          <w:tcPr>
            <w:tcW w:w="1560" w:type="dxa"/>
            <w:vMerge w:val="restart"/>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路基施工过程中同步</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临时沉沙池</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个</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49</w:t>
            </w:r>
          </w:p>
        </w:tc>
        <w:tc>
          <w:tcPr>
            <w:tcW w:w="1701"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临时排水沟沿线及排水出口处</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上顶</w:t>
            </w:r>
            <w:r>
              <w:rPr>
                <w:rFonts w:hint="eastAsia" w:ascii="Times New Roman" w:hAnsi="Times New Roman" w:eastAsia="仿宋_GB2312" w:cs="Times New Roman"/>
                <w:color w:val="auto"/>
                <w:sz w:val="21"/>
                <w:szCs w:val="21"/>
              </w:rPr>
              <w:t>3</w:t>
            </w:r>
            <w:r>
              <w:rPr>
                <w:rFonts w:hint="eastAsia" w:ascii="Times New Roman" w:hAnsi="Times New Roman" w:eastAsia="仿宋_GB2312" w:cs="Times New Roman"/>
                <w:color w:val="auto"/>
                <w:sz w:val="21"/>
                <w:szCs w:val="21"/>
                <w:lang w:val="en-US" w:eastAsia="zh-CN"/>
              </w:rPr>
              <w:t>.0</w:t>
            </w:r>
            <w:r>
              <w:rPr>
                <w:rFonts w:ascii="Times New Roman" w:hAnsi="Times New Roman" w:eastAsia="仿宋_GB2312" w:cs="Times New Roman"/>
                <w:color w:val="auto"/>
                <w:sz w:val="21"/>
                <w:szCs w:val="21"/>
              </w:rPr>
              <w:t>×1</w:t>
            </w:r>
            <w:r>
              <w:rPr>
                <w:rFonts w:hint="eastAsia" w:ascii="Times New Roman" w:hAnsi="Times New Roman" w:eastAsia="仿宋_GB2312" w:cs="Times New Roman"/>
                <w:color w:val="auto"/>
                <w:sz w:val="21"/>
                <w:szCs w:val="21"/>
                <w:lang w:val="en-US" w:eastAsia="zh-CN"/>
              </w:rPr>
              <w:t>.5</w:t>
            </w:r>
            <w:r>
              <w:rPr>
                <w:rFonts w:ascii="Times New Roman" w:hAnsi="Times New Roman" w:eastAsia="仿宋_GB2312" w:cs="Times New Roman"/>
                <w:color w:val="auto"/>
                <w:sz w:val="21"/>
                <w:szCs w:val="21"/>
              </w:rPr>
              <w:t>m，下底1</w:t>
            </w:r>
            <w:r>
              <w:rPr>
                <w:rFonts w:hint="eastAsia" w:ascii="Times New Roman" w:hAnsi="Times New Roman" w:eastAsia="仿宋_GB2312" w:cs="Times New Roman"/>
                <w:color w:val="auto"/>
                <w:sz w:val="21"/>
                <w:szCs w:val="21"/>
              </w:rPr>
              <w:t>.</w:t>
            </w:r>
            <w:r>
              <w:rPr>
                <w:rFonts w:hint="eastAsia" w:ascii="Times New Roman" w:hAnsi="Times New Roman" w:eastAsia="仿宋_GB2312" w:cs="Times New Roman"/>
                <w:color w:val="auto"/>
                <w:sz w:val="21"/>
                <w:szCs w:val="21"/>
                <w:lang w:val="en-US" w:eastAsia="zh-CN"/>
              </w:rPr>
              <w:t>0</w:t>
            </w:r>
            <w:r>
              <w:rPr>
                <w:rFonts w:ascii="Times New Roman" w:hAnsi="Times New Roman" w:eastAsia="仿宋_GB2312" w:cs="Times New Roman"/>
                <w:color w:val="auto"/>
                <w:sz w:val="21"/>
                <w:szCs w:val="21"/>
              </w:rPr>
              <w:t>×0.5m，池厢深度1</w:t>
            </w:r>
            <w:r>
              <w:rPr>
                <w:rFonts w:hint="eastAsia" w:ascii="Times New Roman" w:hAnsi="Times New Roman" w:eastAsia="仿宋_GB2312" w:cs="Times New Roman"/>
                <w:color w:val="auto"/>
                <w:sz w:val="21"/>
                <w:szCs w:val="21"/>
                <w:lang w:val="en-US" w:eastAsia="zh-CN"/>
              </w:rPr>
              <w:t>.0</w:t>
            </w:r>
            <w:r>
              <w:rPr>
                <w:rFonts w:ascii="Times New Roman" w:hAnsi="Times New Roman" w:eastAsia="仿宋_GB2312" w:cs="Times New Roman"/>
                <w:color w:val="auto"/>
                <w:sz w:val="21"/>
                <w:szCs w:val="21"/>
              </w:rPr>
              <w:t>m</w:t>
            </w:r>
          </w:p>
        </w:tc>
        <w:tc>
          <w:tcPr>
            <w:tcW w:w="1560" w:type="dxa"/>
            <w:vMerge w:val="continue"/>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4</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基坑排水沟</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1150</w:t>
            </w:r>
          </w:p>
        </w:tc>
        <w:tc>
          <w:tcPr>
            <w:tcW w:w="1701"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综合</w:t>
            </w:r>
            <w:r>
              <w:rPr>
                <w:rFonts w:ascii="Times New Roman" w:hAnsi="Times New Roman" w:eastAsia="仿宋_GB2312" w:cs="Times New Roman"/>
                <w:color w:val="auto"/>
                <w:sz w:val="21"/>
                <w:szCs w:val="21"/>
              </w:rPr>
              <w:t>管廊基坑两侧</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矩形断面</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砖砌沟</w:t>
            </w:r>
            <w:r>
              <w:rPr>
                <w:rFonts w:hint="eastAsia" w:ascii="Times New Roman" w:hAnsi="Times New Roman" w:eastAsia="仿宋_GB2312" w:cs="Times New Roman"/>
                <w:color w:val="auto"/>
                <w:sz w:val="21"/>
                <w:szCs w:val="21"/>
              </w:rPr>
              <w:t>，C15素砼铺底，</w:t>
            </w:r>
            <w:r>
              <w:rPr>
                <w:rFonts w:ascii="Times New Roman" w:hAnsi="Times New Roman" w:eastAsia="仿宋_GB2312" w:cs="Times New Roman"/>
                <w:color w:val="auto"/>
                <w:sz w:val="21"/>
                <w:szCs w:val="21"/>
              </w:rPr>
              <w:t>0.3×0.4m的矩形断面</w:t>
            </w:r>
          </w:p>
        </w:tc>
        <w:tc>
          <w:tcPr>
            <w:tcW w:w="1560" w:type="dxa"/>
            <w:vMerge w:val="restart"/>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综合</w:t>
            </w:r>
            <w:r>
              <w:rPr>
                <w:rFonts w:ascii="Times New Roman" w:hAnsi="Times New Roman" w:eastAsia="仿宋_GB2312" w:cs="Times New Roman"/>
                <w:color w:val="auto"/>
                <w:sz w:val="21"/>
                <w:szCs w:val="21"/>
              </w:rPr>
              <w:t>管廊基坑</w:t>
            </w:r>
            <w:r>
              <w:rPr>
                <w:rFonts w:hint="eastAsia" w:ascii="Times New Roman" w:hAnsi="Times New Roman" w:eastAsia="仿宋_GB2312" w:cs="Times New Roman"/>
                <w:color w:val="auto"/>
                <w:sz w:val="21"/>
                <w:szCs w:val="21"/>
              </w:rPr>
              <w:t>同步</w:t>
            </w:r>
            <w:r>
              <w:rPr>
                <w:rFonts w:ascii="Times New Roman" w:hAnsi="Times New Roman" w:eastAsia="仿宋_GB2312" w:cs="Times New Roman"/>
                <w:color w:val="auto"/>
                <w:sz w:val="21"/>
                <w:szCs w:val="21"/>
              </w:rPr>
              <w:t>施工</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5</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基坑沉沙池</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个</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9</w:t>
            </w:r>
          </w:p>
        </w:tc>
        <w:tc>
          <w:tcPr>
            <w:tcW w:w="1701"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基坑排水沟沿线</w:t>
            </w:r>
          </w:p>
        </w:tc>
        <w:tc>
          <w:tcPr>
            <w:tcW w:w="198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砖砌筑，</w:t>
            </w:r>
            <w:r>
              <w:rPr>
                <w:rFonts w:ascii="Times New Roman" w:hAnsi="Times New Roman" w:eastAsia="仿宋_GB2312" w:cs="Times New Roman"/>
                <w:color w:val="auto"/>
                <w:sz w:val="21"/>
                <w:szCs w:val="21"/>
              </w:rPr>
              <w:t>长</w:t>
            </w:r>
            <w:r>
              <w:rPr>
                <w:rFonts w:hint="eastAsia" w:ascii="Times New Roman" w:hAnsi="Times New Roman" w:eastAsia="仿宋_GB2312" w:cs="Times New Roman"/>
                <w:color w:val="auto"/>
                <w:sz w:val="21"/>
                <w:szCs w:val="21"/>
              </w:rPr>
              <w:t>2</w:t>
            </w:r>
            <w:r>
              <w:rPr>
                <w:rFonts w:ascii="Times New Roman" w:hAnsi="Times New Roman" w:eastAsia="仿宋_GB2312" w:cs="Times New Roman"/>
                <w:color w:val="auto"/>
                <w:sz w:val="21"/>
                <w:szCs w:val="21"/>
              </w:rPr>
              <w:t>m，宽</w:t>
            </w:r>
            <w:r>
              <w:rPr>
                <w:rFonts w:hint="eastAsia" w:ascii="Times New Roman" w:hAnsi="Times New Roman" w:eastAsia="仿宋_GB2312" w:cs="Times New Roman"/>
                <w:color w:val="auto"/>
                <w:sz w:val="21"/>
                <w:szCs w:val="21"/>
              </w:rPr>
              <w:t>1</w:t>
            </w:r>
            <w:r>
              <w:rPr>
                <w:rFonts w:ascii="Times New Roman" w:hAnsi="Times New Roman" w:eastAsia="仿宋_GB2312" w:cs="Times New Roman"/>
                <w:color w:val="auto"/>
                <w:sz w:val="21"/>
                <w:szCs w:val="21"/>
              </w:rPr>
              <w:t>m，深</w:t>
            </w:r>
            <w:r>
              <w:rPr>
                <w:rFonts w:hint="eastAsia" w:ascii="Times New Roman" w:hAnsi="Times New Roman" w:eastAsia="仿宋_GB2312" w:cs="Times New Roman"/>
                <w:color w:val="auto"/>
                <w:sz w:val="21"/>
                <w:szCs w:val="21"/>
              </w:rPr>
              <w:t>1</w:t>
            </w:r>
            <w:r>
              <w:rPr>
                <w:rFonts w:ascii="Times New Roman" w:hAnsi="Times New Roman" w:eastAsia="仿宋_GB2312" w:cs="Times New Roman"/>
                <w:color w:val="auto"/>
                <w:sz w:val="21"/>
                <w:szCs w:val="21"/>
              </w:rPr>
              <w:t>m</w:t>
            </w:r>
          </w:p>
        </w:tc>
        <w:tc>
          <w:tcPr>
            <w:tcW w:w="1560" w:type="dxa"/>
            <w:vMerge w:val="continue"/>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r>
    </w:tbl>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（2）公用设施用地防治区</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施工前对场地内有表土的区域进行表土剥离保护，剥离出的表土集中堆放在临时</w:t>
      </w:r>
      <w:r>
        <w:rPr>
          <w:rFonts w:hint="eastAsia" w:ascii="Times New Roman" w:hAnsi="Times New Roman" w:eastAsia="仿宋_GB2312" w:cs="Times New Roman"/>
          <w:color w:val="auto"/>
          <w:szCs w:val="24"/>
        </w:rPr>
        <w:t>表土</w:t>
      </w:r>
      <w:r>
        <w:rPr>
          <w:rFonts w:ascii="Times New Roman" w:hAnsi="Times New Roman" w:eastAsia="仿宋_GB2312" w:cs="Times New Roman"/>
          <w:color w:val="auto"/>
          <w:szCs w:val="24"/>
        </w:rPr>
        <w:t>堆场内，后期临时堆置的表土用于周边绿化区域回填。</w:t>
      </w:r>
      <w:r>
        <w:rPr>
          <w:rFonts w:ascii="Times New Roman" w:hAnsi="Times New Roman" w:eastAsia="仿宋_GB2312"/>
          <w:color w:val="auto"/>
        </w:rPr>
        <w:t>工期间，在场地周边直接开挖土质排水沟组织场地雨水走</w:t>
      </w:r>
      <w:r>
        <w:rPr>
          <w:rFonts w:hint="eastAsia" w:ascii="Times New Roman" w:hAnsi="Times New Roman" w:eastAsia="仿宋_GB2312"/>
          <w:color w:val="auto"/>
        </w:rPr>
        <w:t>向，并沿排水沟布设沉沙池，雨水经沉沙后排水周边沟渠或水系。施工后期，待场地整平后，区域内地表裸露，对裸露区域实施临时苫盖。</w:t>
      </w:r>
      <w:r>
        <w:rPr>
          <w:rFonts w:ascii="Times New Roman" w:hAnsi="Times New Roman" w:eastAsia="仿宋_GB2312" w:cs="Times New Roman"/>
          <w:color w:val="auto"/>
          <w:kern w:val="0"/>
          <w:szCs w:val="24"/>
        </w:rPr>
        <w:t>场地五通一平后，本</w:t>
      </w:r>
      <w:r>
        <w:rPr>
          <w:rFonts w:hint="eastAsia" w:ascii="Times New Roman" w:hAnsi="Times New Roman" w:eastAsia="仿宋_GB2312" w:cs="Times New Roman"/>
          <w:color w:val="auto"/>
          <w:kern w:val="0"/>
          <w:szCs w:val="24"/>
          <w:lang w:val="en-US" w:eastAsia="zh-CN"/>
        </w:rPr>
        <w:t>区域评估报告</w:t>
      </w:r>
      <w:r>
        <w:rPr>
          <w:rFonts w:ascii="Times New Roman" w:hAnsi="Times New Roman" w:eastAsia="仿宋_GB2312" w:cs="Times New Roman"/>
          <w:color w:val="auto"/>
          <w:kern w:val="0"/>
          <w:szCs w:val="24"/>
        </w:rPr>
        <w:t>对裸露区域实施撒播草籽</w:t>
      </w:r>
      <w:r>
        <w:rPr>
          <w:rFonts w:ascii="Times New Roman" w:hAnsi="Times New Roman" w:eastAsia="仿宋_GB2312" w:cs="Times New Roman"/>
          <w:color w:val="auto"/>
          <w:szCs w:val="24"/>
        </w:rPr>
        <w:t>。</w:t>
      </w:r>
    </w:p>
    <w:p>
      <w:pPr>
        <w:widowControl/>
        <w:snapToGrid w:val="0"/>
        <w:spacing w:line="360" w:lineRule="auto"/>
        <w:jc w:val="center"/>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表</w:t>
      </w:r>
      <w:r>
        <w:rPr>
          <w:rFonts w:ascii="Times New Roman" w:hAnsi="Times New Roman" w:eastAsia="仿宋_GB2312" w:cs="Times New Roman"/>
          <w:b/>
          <w:color w:val="auto"/>
          <w:szCs w:val="24"/>
        </w:rPr>
        <w:t>1</w:t>
      </w:r>
      <w:r>
        <w:rPr>
          <w:rFonts w:hint="eastAsia" w:ascii="Times New Roman" w:hAnsi="Times New Roman" w:eastAsia="仿宋_GB2312" w:cs="Times New Roman"/>
          <w:b/>
          <w:color w:val="auto"/>
          <w:szCs w:val="24"/>
        </w:rPr>
        <w:t>.</w:t>
      </w:r>
      <w:r>
        <w:rPr>
          <w:rFonts w:ascii="Times New Roman" w:hAnsi="Times New Roman" w:eastAsia="仿宋_GB2312" w:cs="Times New Roman"/>
          <w:b/>
          <w:color w:val="auto"/>
          <w:szCs w:val="24"/>
        </w:rPr>
        <w:t>8-</w:t>
      </w:r>
      <w:r>
        <w:rPr>
          <w:rFonts w:hint="eastAsia" w:ascii="Times New Roman" w:hAnsi="Times New Roman" w:eastAsia="仿宋_GB2312" w:cs="Times New Roman"/>
          <w:b/>
          <w:color w:val="auto"/>
          <w:szCs w:val="24"/>
        </w:rPr>
        <w:t>2</w:t>
      </w:r>
      <w:r>
        <w:rPr>
          <w:rFonts w:ascii="Times New Roman" w:hAnsi="Times New Roman" w:eastAsia="仿宋_GB2312" w:cs="Times New Roman"/>
          <w:b/>
          <w:color w:val="auto"/>
          <w:szCs w:val="24"/>
        </w:rPr>
        <w:t>：</w:t>
      </w:r>
      <w:r>
        <w:rPr>
          <w:rFonts w:hint="eastAsia" w:ascii="Times New Roman" w:hAnsi="Times New Roman" w:eastAsia="仿宋_GB2312" w:cs="Times New Roman"/>
          <w:b/>
          <w:color w:val="auto"/>
          <w:szCs w:val="24"/>
        </w:rPr>
        <w:t>公用设施用地</w:t>
      </w:r>
      <w:r>
        <w:rPr>
          <w:rFonts w:ascii="Times New Roman" w:hAnsi="Times New Roman" w:eastAsia="仿宋_GB2312" w:cs="Times New Roman"/>
          <w:b/>
          <w:color w:val="auto"/>
          <w:szCs w:val="24"/>
        </w:rPr>
        <w:t>防治区措施布设表</w:t>
      </w:r>
    </w:p>
    <w:tbl>
      <w:tblPr>
        <w:tblStyle w:val="37"/>
        <w:tblW w:w="8423"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578"/>
        <w:gridCol w:w="1182"/>
        <w:gridCol w:w="709"/>
        <w:gridCol w:w="709"/>
        <w:gridCol w:w="1701"/>
        <w:gridCol w:w="1984"/>
        <w:gridCol w:w="156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709" w:hRule="atLeast"/>
          <w:tblHeader/>
          <w:jc w:val="center"/>
        </w:trPr>
        <w:tc>
          <w:tcPr>
            <w:tcW w:w="578"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序号</w:t>
            </w:r>
          </w:p>
        </w:tc>
        <w:tc>
          <w:tcPr>
            <w:tcW w:w="1182"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hint="eastAsia" w:ascii="Times New Roman" w:hAnsi="Times New Roman" w:eastAsia="仿宋_GB2312" w:cs="Times New Roman"/>
                <w:b/>
                <w:color w:val="auto"/>
                <w:kern w:val="0"/>
                <w:sz w:val="21"/>
                <w:szCs w:val="21"/>
                <w:lang w:val="en-US" w:eastAsia="zh-CN"/>
              </w:rPr>
              <w:t>措施</w:t>
            </w:r>
            <w:r>
              <w:rPr>
                <w:rFonts w:ascii="Times New Roman" w:hAnsi="Times New Roman" w:eastAsia="仿宋_GB2312" w:cs="Times New Roman"/>
                <w:b/>
                <w:color w:val="auto"/>
                <w:kern w:val="0"/>
                <w:sz w:val="21"/>
                <w:szCs w:val="21"/>
              </w:rPr>
              <w:t>名称</w:t>
            </w:r>
          </w:p>
        </w:tc>
        <w:tc>
          <w:tcPr>
            <w:tcW w:w="709"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单位</w:t>
            </w:r>
          </w:p>
        </w:tc>
        <w:tc>
          <w:tcPr>
            <w:tcW w:w="709"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工程量</w:t>
            </w:r>
          </w:p>
        </w:tc>
        <w:tc>
          <w:tcPr>
            <w:tcW w:w="1701" w:type="dxa"/>
            <w:vAlign w:val="center"/>
          </w:tcPr>
          <w:p>
            <w:pPr>
              <w:widowControl/>
              <w:jc w:val="center"/>
              <w:textAlignment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布设位置</w:t>
            </w:r>
          </w:p>
        </w:tc>
        <w:tc>
          <w:tcPr>
            <w:tcW w:w="1984" w:type="dxa"/>
            <w:vAlign w:val="center"/>
          </w:tcPr>
          <w:p>
            <w:pPr>
              <w:widowControl/>
              <w:jc w:val="center"/>
              <w:textAlignment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结构形式</w:t>
            </w:r>
          </w:p>
        </w:tc>
        <w:tc>
          <w:tcPr>
            <w:tcW w:w="1560"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布设时间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20" w:hRule="atLeast"/>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一</w:t>
            </w:r>
          </w:p>
        </w:tc>
        <w:tc>
          <w:tcPr>
            <w:tcW w:w="1182"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工程措施</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1701" w:type="dxa"/>
            <w:vAlign w:val="center"/>
          </w:tcPr>
          <w:p>
            <w:pPr>
              <w:jc w:val="center"/>
              <w:rPr>
                <w:rFonts w:ascii="Times New Roman" w:hAnsi="Times New Roman" w:eastAsia="仿宋_GB2312" w:cs="Times New Roman"/>
                <w:color w:val="auto"/>
                <w:sz w:val="21"/>
                <w:szCs w:val="21"/>
              </w:rPr>
            </w:pPr>
          </w:p>
        </w:tc>
        <w:tc>
          <w:tcPr>
            <w:tcW w:w="1984" w:type="dxa"/>
            <w:vAlign w:val="center"/>
          </w:tcPr>
          <w:p>
            <w:pPr>
              <w:jc w:val="center"/>
              <w:rPr>
                <w:rFonts w:ascii="Times New Roman" w:hAnsi="Times New Roman" w:eastAsia="仿宋_GB2312" w:cs="Times New Roman"/>
                <w:color w:val="auto"/>
                <w:sz w:val="21"/>
                <w:szCs w:val="21"/>
              </w:rPr>
            </w:pP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bCs/>
                <w:color w:val="auto"/>
                <w:kern w:val="0"/>
                <w:sz w:val="21"/>
                <w:szCs w:val="21"/>
              </w:rPr>
            </w:pPr>
            <w:r>
              <w:rPr>
                <w:rFonts w:ascii="Times New Roman" w:hAnsi="Times New Roman" w:eastAsia="仿宋_GB2312" w:cs="Times New Roman"/>
                <w:bCs/>
                <w:color w:val="auto"/>
                <w:kern w:val="0"/>
                <w:sz w:val="21"/>
                <w:szCs w:val="21"/>
              </w:rPr>
              <w:t>表土剥离</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万m</w:t>
            </w:r>
            <w:r>
              <w:rPr>
                <w:rFonts w:ascii="Times New Roman" w:hAnsi="Times New Roman" w:eastAsia="仿宋_GB2312" w:cs="Times New Roman"/>
                <w:color w:val="auto"/>
                <w:kern w:val="0"/>
                <w:sz w:val="21"/>
                <w:szCs w:val="21"/>
                <w:vertAlign w:val="superscript"/>
              </w:rPr>
              <w:t>3</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1.86</w:t>
            </w:r>
          </w:p>
        </w:tc>
        <w:tc>
          <w:tcPr>
            <w:tcW w:w="1701"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施工区域内有可剥离表土区域</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剥离厚度</w:t>
            </w:r>
            <w:r>
              <w:rPr>
                <w:rFonts w:hint="eastAsia" w:ascii="Times New Roman" w:hAnsi="Times New Roman" w:eastAsia="仿宋_GB2312" w:cs="Times New Roman"/>
                <w:color w:val="auto"/>
                <w:sz w:val="21"/>
                <w:szCs w:val="21"/>
              </w:rPr>
              <w:t>0.2m~0.3m</w:t>
            </w: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施工扰动前</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bCs/>
                <w:color w:val="auto"/>
                <w:kern w:val="0"/>
                <w:sz w:val="21"/>
                <w:szCs w:val="21"/>
              </w:rPr>
            </w:pPr>
            <w:r>
              <w:rPr>
                <w:rFonts w:hint="eastAsia" w:ascii="Times New Roman" w:hAnsi="Times New Roman" w:eastAsia="仿宋_GB2312" w:cs="Times New Roman"/>
                <w:bCs/>
                <w:color w:val="auto"/>
                <w:kern w:val="0"/>
                <w:sz w:val="21"/>
                <w:szCs w:val="21"/>
              </w:rPr>
              <w:t>场地</w:t>
            </w:r>
            <w:r>
              <w:rPr>
                <w:rFonts w:ascii="Times New Roman" w:hAnsi="Times New Roman" w:eastAsia="仿宋_GB2312" w:cs="Times New Roman"/>
                <w:bCs/>
                <w:color w:val="auto"/>
                <w:kern w:val="0"/>
                <w:sz w:val="21"/>
                <w:szCs w:val="21"/>
              </w:rPr>
              <w:t>平整</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h</w:t>
            </w:r>
            <w:r>
              <w:rPr>
                <w:rFonts w:ascii="Times New Roman" w:hAnsi="Times New Roman" w:eastAsia="仿宋_GB2312" w:cs="Times New Roman"/>
                <w:color w:val="auto"/>
                <w:kern w:val="0"/>
                <w:sz w:val="21"/>
                <w:szCs w:val="21"/>
              </w:rPr>
              <w:t>m</w:t>
            </w:r>
            <w:r>
              <w:rPr>
                <w:rFonts w:hint="eastAsia" w:ascii="Times New Roman" w:hAnsi="Times New Roman" w:eastAsia="仿宋_GB2312" w:cs="Times New Roman"/>
                <w:color w:val="auto"/>
                <w:kern w:val="0"/>
                <w:sz w:val="21"/>
                <w:szCs w:val="21"/>
                <w:vertAlign w:val="superscript"/>
              </w:rPr>
              <w:t>2</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12.87</w:t>
            </w:r>
          </w:p>
        </w:tc>
        <w:tc>
          <w:tcPr>
            <w:tcW w:w="1701"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公用设施用地区域</w:t>
            </w:r>
          </w:p>
        </w:tc>
        <w:tc>
          <w:tcPr>
            <w:tcW w:w="1984" w:type="dxa"/>
            <w:vAlign w:val="center"/>
          </w:tcPr>
          <w:p>
            <w:pPr>
              <w:jc w:val="center"/>
              <w:rPr>
                <w:rFonts w:eastAsia="仿宋_GB2312"/>
                <w:color w:val="auto"/>
                <w:sz w:val="21"/>
                <w:szCs w:val="21"/>
                <w:highlight w:val="green"/>
              </w:rPr>
            </w:pPr>
            <w:r>
              <w:rPr>
                <w:rFonts w:hint="eastAsia" w:eastAsia="仿宋_GB2312"/>
                <w:color w:val="auto"/>
                <w:sz w:val="21"/>
                <w:szCs w:val="21"/>
              </w:rPr>
              <w:t>挖掘机或推土机推平</w:t>
            </w:r>
          </w:p>
        </w:tc>
        <w:tc>
          <w:tcPr>
            <w:tcW w:w="1560" w:type="dxa"/>
            <w:noWrap/>
            <w:tcMar>
              <w:top w:w="12" w:type="dxa"/>
              <w:left w:w="12" w:type="dxa"/>
              <w:right w:w="12" w:type="dxa"/>
            </w:tcMar>
            <w:vAlign w:val="center"/>
          </w:tcPr>
          <w:p>
            <w:pPr>
              <w:jc w:val="center"/>
              <w:rPr>
                <w:rFonts w:eastAsia="仿宋_GB2312"/>
                <w:color w:val="auto"/>
                <w:sz w:val="21"/>
                <w:szCs w:val="21"/>
              </w:rPr>
            </w:pPr>
            <w:r>
              <w:rPr>
                <w:rFonts w:hint="eastAsia" w:eastAsia="仿宋_GB2312"/>
                <w:color w:val="auto"/>
                <w:sz w:val="21"/>
                <w:szCs w:val="21"/>
              </w:rPr>
              <w:t>地块回填抬高地势至规划高程后</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16" w:hRule="atLeast"/>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二</w:t>
            </w:r>
          </w:p>
        </w:tc>
        <w:tc>
          <w:tcPr>
            <w:tcW w:w="1182"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植物措施</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1701" w:type="dxa"/>
            <w:vAlign w:val="center"/>
          </w:tcPr>
          <w:p>
            <w:pPr>
              <w:jc w:val="center"/>
              <w:rPr>
                <w:rFonts w:ascii="Times New Roman" w:hAnsi="Times New Roman" w:eastAsia="仿宋_GB2312" w:cs="Times New Roman"/>
                <w:color w:val="auto"/>
                <w:sz w:val="21"/>
                <w:szCs w:val="21"/>
              </w:rPr>
            </w:pPr>
          </w:p>
        </w:tc>
        <w:tc>
          <w:tcPr>
            <w:tcW w:w="1984" w:type="dxa"/>
            <w:vAlign w:val="center"/>
          </w:tcPr>
          <w:p>
            <w:pPr>
              <w:jc w:val="center"/>
              <w:rPr>
                <w:rFonts w:ascii="Times New Roman" w:hAnsi="Times New Roman" w:eastAsia="仿宋_GB2312" w:cs="Times New Roman"/>
                <w:color w:val="auto"/>
                <w:sz w:val="21"/>
                <w:szCs w:val="21"/>
              </w:rPr>
            </w:pP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撒播草籽</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hm</w:t>
            </w:r>
            <w:r>
              <w:rPr>
                <w:rFonts w:ascii="Times New Roman" w:hAnsi="Times New Roman" w:eastAsia="仿宋_GB2312" w:cs="Times New Roman"/>
                <w:color w:val="auto"/>
                <w:kern w:val="0"/>
                <w:sz w:val="21"/>
                <w:szCs w:val="21"/>
                <w:vertAlign w:val="superscript"/>
              </w:rPr>
              <w:t>2</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12.87</w:t>
            </w:r>
          </w:p>
        </w:tc>
        <w:tc>
          <w:tcPr>
            <w:tcW w:w="1701"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公用设施用地区域平整后裸露区域</w:t>
            </w:r>
          </w:p>
        </w:tc>
        <w:tc>
          <w:tcPr>
            <w:tcW w:w="198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混合草籽，撒播，80</w:t>
            </w:r>
            <w:r>
              <w:rPr>
                <w:rFonts w:ascii="Times New Roman" w:hAnsi="Times New Roman" w:eastAsia="仿宋_GB2312" w:cs="Times New Roman"/>
                <w:color w:val="auto"/>
                <w:sz w:val="21"/>
                <w:szCs w:val="21"/>
              </w:rPr>
              <w:t>kg/hm</w:t>
            </w:r>
            <w:r>
              <w:rPr>
                <w:rFonts w:ascii="Times New Roman" w:hAnsi="Times New Roman" w:eastAsia="仿宋_GB2312" w:cs="Times New Roman"/>
                <w:color w:val="auto"/>
                <w:sz w:val="21"/>
                <w:szCs w:val="21"/>
                <w:vertAlign w:val="superscript"/>
              </w:rPr>
              <w:t>2</w:t>
            </w: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春</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冬季</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20" w:hRule="atLeast"/>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三</w:t>
            </w:r>
          </w:p>
        </w:tc>
        <w:tc>
          <w:tcPr>
            <w:tcW w:w="1182"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临时措施</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1701" w:type="dxa"/>
            <w:vAlign w:val="center"/>
          </w:tcPr>
          <w:p>
            <w:pPr>
              <w:jc w:val="center"/>
              <w:rPr>
                <w:rFonts w:ascii="Times New Roman" w:hAnsi="Times New Roman" w:eastAsia="仿宋_GB2312" w:cs="Times New Roman"/>
                <w:color w:val="auto"/>
                <w:sz w:val="21"/>
                <w:szCs w:val="21"/>
              </w:rPr>
            </w:pPr>
          </w:p>
        </w:tc>
        <w:tc>
          <w:tcPr>
            <w:tcW w:w="1984" w:type="dxa"/>
            <w:vAlign w:val="center"/>
          </w:tcPr>
          <w:p>
            <w:pPr>
              <w:jc w:val="center"/>
              <w:rPr>
                <w:rFonts w:ascii="Times New Roman" w:hAnsi="Times New Roman" w:eastAsia="仿宋_GB2312" w:cs="Times New Roman"/>
                <w:color w:val="auto"/>
                <w:sz w:val="21"/>
                <w:szCs w:val="21"/>
              </w:rPr>
            </w:pP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苫布覆盖</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hm</w:t>
            </w:r>
            <w:r>
              <w:rPr>
                <w:rFonts w:ascii="Times New Roman" w:hAnsi="Times New Roman" w:eastAsia="仿宋_GB2312" w:cs="Times New Roman"/>
                <w:color w:val="auto"/>
                <w:kern w:val="0"/>
                <w:sz w:val="21"/>
                <w:szCs w:val="21"/>
                <w:vertAlign w:val="superscript"/>
              </w:rPr>
              <w:t>2</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12.87</w:t>
            </w:r>
          </w:p>
        </w:tc>
        <w:tc>
          <w:tcPr>
            <w:tcW w:w="1701"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公用设施用地区域平整后裸露区域</w:t>
            </w:r>
          </w:p>
        </w:tc>
        <w:tc>
          <w:tcPr>
            <w:tcW w:w="1984" w:type="dxa"/>
            <w:vAlign w:val="center"/>
          </w:tcPr>
          <w:p>
            <w:pPr>
              <w:jc w:val="center"/>
              <w:rPr>
                <w:rFonts w:eastAsia="仿宋_GB2312"/>
                <w:color w:val="auto"/>
                <w:sz w:val="21"/>
                <w:szCs w:val="21"/>
              </w:rPr>
            </w:pPr>
            <w:r>
              <w:rPr>
                <w:rFonts w:hint="eastAsia" w:eastAsia="仿宋_GB2312"/>
                <w:color w:val="auto"/>
                <w:sz w:val="21"/>
                <w:szCs w:val="21"/>
              </w:rPr>
              <w:t>铺苫布</w:t>
            </w:r>
          </w:p>
        </w:tc>
        <w:tc>
          <w:tcPr>
            <w:tcW w:w="1560" w:type="dxa"/>
            <w:noWrap/>
            <w:tcMar>
              <w:top w:w="12" w:type="dxa"/>
              <w:left w:w="12" w:type="dxa"/>
              <w:right w:w="12" w:type="dxa"/>
            </w:tcMar>
            <w:vAlign w:val="center"/>
          </w:tcPr>
          <w:p>
            <w:pPr>
              <w:jc w:val="center"/>
              <w:rPr>
                <w:rFonts w:eastAsia="仿宋_GB2312"/>
                <w:color w:val="auto"/>
                <w:sz w:val="21"/>
                <w:szCs w:val="21"/>
              </w:rPr>
            </w:pPr>
            <w:r>
              <w:rPr>
                <w:rFonts w:eastAsia="仿宋_GB2312"/>
                <w:color w:val="auto"/>
                <w:sz w:val="21"/>
                <w:szCs w:val="21"/>
              </w:rPr>
              <w:t>场地裸露期间</w:t>
            </w:r>
            <w:r>
              <w:rPr>
                <w:rFonts w:hint="eastAsia" w:eastAsia="仿宋_GB2312"/>
                <w:color w:val="auto"/>
                <w:sz w:val="21"/>
                <w:szCs w:val="21"/>
              </w:rPr>
              <w:t>，</w:t>
            </w:r>
            <w:r>
              <w:rPr>
                <w:rFonts w:eastAsia="仿宋_GB2312"/>
                <w:color w:val="auto"/>
                <w:sz w:val="21"/>
                <w:szCs w:val="21"/>
              </w:rPr>
              <w:t>在暴雨前布置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临时排水沟</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1698</w:t>
            </w:r>
          </w:p>
        </w:tc>
        <w:tc>
          <w:tcPr>
            <w:tcW w:w="1701"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平整各地块的场地</w:t>
            </w:r>
            <w:r>
              <w:rPr>
                <w:rFonts w:ascii="Times New Roman" w:hAnsi="Times New Roman" w:eastAsia="仿宋_GB2312" w:cs="Times New Roman"/>
                <w:color w:val="auto"/>
                <w:sz w:val="21"/>
                <w:szCs w:val="21"/>
              </w:rPr>
              <w:t>周边</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土沟</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底宽0.2m，深0.</w:t>
            </w:r>
            <w:r>
              <w:rPr>
                <w:rFonts w:hint="eastAsia" w:ascii="Times New Roman" w:hAnsi="Times New Roman" w:eastAsia="仿宋_GB2312" w:cs="Times New Roman"/>
                <w:color w:val="auto"/>
                <w:sz w:val="21"/>
                <w:szCs w:val="21"/>
                <w:lang w:val="en-US" w:eastAsia="zh-CN"/>
              </w:rPr>
              <w:t>4</w:t>
            </w:r>
            <w:r>
              <w:rPr>
                <w:rFonts w:ascii="Times New Roman" w:hAnsi="Times New Roman" w:eastAsia="仿宋_GB2312" w:cs="Times New Roman"/>
                <w:color w:val="auto"/>
                <w:sz w:val="21"/>
                <w:szCs w:val="21"/>
              </w:rPr>
              <w:t>m，坡比1:</w:t>
            </w:r>
            <w:r>
              <w:rPr>
                <w:rFonts w:hint="eastAsia" w:ascii="Times New Roman" w:hAnsi="Times New Roman" w:eastAsia="仿宋_GB2312" w:cs="Times New Roman"/>
                <w:color w:val="auto"/>
                <w:sz w:val="21"/>
                <w:szCs w:val="21"/>
              </w:rPr>
              <w:t>1，安全超高0.2m</w:t>
            </w:r>
          </w:p>
        </w:tc>
        <w:tc>
          <w:tcPr>
            <w:tcW w:w="1560" w:type="dxa"/>
            <w:vMerge w:val="restart"/>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平整</w:t>
            </w:r>
            <w:r>
              <w:rPr>
                <w:rFonts w:ascii="Times New Roman" w:hAnsi="Times New Roman" w:eastAsia="仿宋_GB2312" w:cs="Times New Roman"/>
                <w:color w:val="auto"/>
                <w:sz w:val="21"/>
                <w:szCs w:val="21"/>
              </w:rPr>
              <w:t>施工过程中同步</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临时沉沙池</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个</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11</w:t>
            </w:r>
          </w:p>
        </w:tc>
        <w:tc>
          <w:tcPr>
            <w:tcW w:w="1701"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临时排水沟沿线及排水出口处</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上顶</w:t>
            </w:r>
            <w:r>
              <w:rPr>
                <w:rFonts w:hint="eastAsia" w:ascii="Times New Roman" w:hAnsi="Times New Roman" w:eastAsia="仿宋_GB2312" w:cs="Times New Roman"/>
                <w:color w:val="auto"/>
                <w:sz w:val="21"/>
                <w:szCs w:val="21"/>
              </w:rPr>
              <w:t>3</w:t>
            </w:r>
            <w:r>
              <w:rPr>
                <w:rFonts w:hint="eastAsia" w:ascii="Times New Roman" w:hAnsi="Times New Roman" w:eastAsia="仿宋_GB2312" w:cs="Times New Roman"/>
                <w:color w:val="auto"/>
                <w:sz w:val="21"/>
                <w:szCs w:val="21"/>
                <w:lang w:val="en-US" w:eastAsia="zh-CN"/>
              </w:rPr>
              <w:t>.0</w:t>
            </w:r>
            <w:r>
              <w:rPr>
                <w:rFonts w:ascii="Times New Roman" w:hAnsi="Times New Roman" w:eastAsia="仿宋_GB2312" w:cs="Times New Roman"/>
                <w:color w:val="auto"/>
                <w:sz w:val="21"/>
                <w:szCs w:val="21"/>
              </w:rPr>
              <w:t>m×1</w:t>
            </w:r>
            <w:r>
              <w:rPr>
                <w:rFonts w:hint="eastAsia" w:ascii="Times New Roman" w:hAnsi="Times New Roman" w:eastAsia="仿宋_GB2312" w:cs="Times New Roman"/>
                <w:color w:val="auto"/>
                <w:sz w:val="21"/>
                <w:szCs w:val="21"/>
                <w:lang w:val="en-US" w:eastAsia="zh-CN"/>
              </w:rPr>
              <w:t>.5</w:t>
            </w:r>
            <w:r>
              <w:rPr>
                <w:rFonts w:ascii="Times New Roman" w:hAnsi="Times New Roman" w:eastAsia="仿宋_GB2312" w:cs="Times New Roman"/>
                <w:color w:val="auto"/>
                <w:sz w:val="21"/>
                <w:szCs w:val="21"/>
              </w:rPr>
              <w:t>m，下底1</w:t>
            </w:r>
            <w:r>
              <w:rPr>
                <w:rFonts w:hint="eastAsia" w:ascii="Times New Roman" w:hAnsi="Times New Roman" w:eastAsia="仿宋_GB2312" w:cs="Times New Roman"/>
                <w:color w:val="auto"/>
                <w:sz w:val="21"/>
                <w:szCs w:val="21"/>
              </w:rPr>
              <w:t>.</w:t>
            </w:r>
            <w:r>
              <w:rPr>
                <w:rFonts w:hint="eastAsia" w:ascii="Times New Roman" w:hAnsi="Times New Roman" w:eastAsia="仿宋_GB2312" w:cs="Times New Roman"/>
                <w:color w:val="auto"/>
                <w:sz w:val="21"/>
                <w:szCs w:val="21"/>
                <w:lang w:val="en-US" w:eastAsia="zh-CN"/>
              </w:rPr>
              <w:t>0</w:t>
            </w:r>
            <w:r>
              <w:rPr>
                <w:rFonts w:ascii="Times New Roman" w:hAnsi="Times New Roman" w:eastAsia="仿宋_GB2312" w:cs="Times New Roman"/>
                <w:color w:val="auto"/>
                <w:sz w:val="21"/>
                <w:szCs w:val="21"/>
              </w:rPr>
              <w:t>×0.5m，池厢深度1m</w:t>
            </w:r>
          </w:p>
        </w:tc>
        <w:tc>
          <w:tcPr>
            <w:tcW w:w="1560" w:type="dxa"/>
            <w:vMerge w:val="continue"/>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r>
    </w:tbl>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（3）绿地防治区</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施工前对场地内有表土的区域进行表土剥离保护，剥离出的表土集中堆放在临时</w:t>
      </w:r>
      <w:r>
        <w:rPr>
          <w:rFonts w:hint="eastAsia" w:ascii="Times New Roman" w:hAnsi="Times New Roman" w:eastAsia="仿宋_GB2312" w:cs="Times New Roman"/>
          <w:color w:val="auto"/>
          <w:szCs w:val="24"/>
        </w:rPr>
        <w:t>表土</w:t>
      </w:r>
      <w:r>
        <w:rPr>
          <w:rFonts w:ascii="Times New Roman" w:hAnsi="Times New Roman" w:eastAsia="仿宋_GB2312" w:cs="Times New Roman"/>
          <w:color w:val="auto"/>
          <w:szCs w:val="24"/>
        </w:rPr>
        <w:t>堆场内，后期临时堆置的表土用于周边绿化区域回填。</w:t>
      </w:r>
      <w:r>
        <w:rPr>
          <w:rFonts w:ascii="Times New Roman" w:hAnsi="Times New Roman" w:eastAsia="仿宋_GB2312"/>
          <w:color w:val="auto"/>
        </w:rPr>
        <w:t>工期间，在场地周边直接开挖土质排水沟组织场地雨水走</w:t>
      </w:r>
      <w:r>
        <w:rPr>
          <w:rFonts w:hint="eastAsia" w:ascii="Times New Roman" w:hAnsi="Times New Roman" w:eastAsia="仿宋_GB2312"/>
          <w:color w:val="auto"/>
        </w:rPr>
        <w:t>向，并沿排水沟布设沉沙池，雨水经沉沙后排水周边沟渠或水系。施工后期，待场地整平后，区域内地表裸露，对裸露区域实施临时苫盖。</w:t>
      </w:r>
      <w:r>
        <w:rPr>
          <w:rFonts w:ascii="Times New Roman" w:hAnsi="Times New Roman" w:eastAsia="仿宋_GB2312" w:cs="Times New Roman"/>
          <w:color w:val="auto"/>
          <w:kern w:val="0"/>
          <w:szCs w:val="24"/>
        </w:rPr>
        <w:t>场地</w:t>
      </w:r>
      <w:r>
        <w:rPr>
          <w:rFonts w:hint="eastAsia" w:ascii="Times New Roman" w:hAnsi="Times New Roman" w:eastAsia="仿宋_GB2312" w:cs="Times New Roman"/>
          <w:color w:val="auto"/>
          <w:kern w:val="0"/>
          <w:szCs w:val="24"/>
        </w:rPr>
        <w:t>平整</w:t>
      </w:r>
      <w:r>
        <w:rPr>
          <w:rFonts w:ascii="Times New Roman" w:hAnsi="Times New Roman" w:eastAsia="仿宋_GB2312" w:cs="Times New Roman"/>
          <w:color w:val="auto"/>
          <w:kern w:val="0"/>
          <w:szCs w:val="24"/>
        </w:rPr>
        <w:t>完成后，</w:t>
      </w:r>
      <w:r>
        <w:rPr>
          <w:rFonts w:hint="eastAsia" w:ascii="Times New Roman" w:hAnsi="Times New Roman" w:eastAsia="仿宋_GB2312" w:cs="Times New Roman"/>
          <w:color w:val="auto"/>
          <w:kern w:val="0"/>
          <w:szCs w:val="24"/>
        </w:rPr>
        <w:t>对</w:t>
      </w:r>
      <w:r>
        <w:rPr>
          <w:rFonts w:ascii="Times New Roman" w:hAnsi="Times New Roman" w:eastAsia="仿宋_GB2312" w:cs="Times New Roman"/>
          <w:color w:val="auto"/>
          <w:kern w:val="0"/>
          <w:szCs w:val="24"/>
        </w:rPr>
        <w:t>区域进行园林景观建设</w:t>
      </w:r>
      <w:r>
        <w:rPr>
          <w:rFonts w:hint="eastAsia" w:ascii="Times New Roman" w:hAnsi="Times New Roman" w:eastAsia="仿宋_GB2312" w:cs="Times New Roman"/>
          <w:color w:val="auto"/>
          <w:kern w:val="0"/>
          <w:szCs w:val="24"/>
        </w:rPr>
        <w:t>，</w:t>
      </w:r>
      <w:r>
        <w:rPr>
          <w:rFonts w:ascii="Times New Roman" w:hAnsi="Times New Roman" w:eastAsia="仿宋_GB2312" w:cs="Times New Roman"/>
          <w:color w:val="auto"/>
          <w:kern w:val="0"/>
          <w:szCs w:val="24"/>
        </w:rPr>
        <w:t>区域内人行步道等采用透水铺装</w:t>
      </w:r>
      <w:r>
        <w:rPr>
          <w:rFonts w:hint="eastAsia" w:ascii="Times New Roman" w:hAnsi="Times New Roman" w:eastAsia="仿宋_GB2312" w:cs="Times New Roman"/>
          <w:color w:val="auto"/>
          <w:kern w:val="0"/>
          <w:szCs w:val="24"/>
        </w:rPr>
        <w:t>，</w:t>
      </w:r>
      <w:r>
        <w:rPr>
          <w:rFonts w:ascii="Times New Roman" w:hAnsi="Times New Roman" w:eastAsia="仿宋_GB2312" w:cs="Times New Roman"/>
          <w:color w:val="auto"/>
          <w:kern w:val="0"/>
          <w:szCs w:val="24"/>
        </w:rPr>
        <w:t>绿地内结合排水走向布置生态植草沟</w:t>
      </w:r>
      <w:r>
        <w:rPr>
          <w:rFonts w:ascii="Times New Roman" w:hAnsi="Times New Roman" w:eastAsia="仿宋_GB2312" w:cs="Times New Roman"/>
          <w:color w:val="auto"/>
          <w:szCs w:val="24"/>
        </w:rPr>
        <w:t>。</w:t>
      </w:r>
    </w:p>
    <w:p>
      <w:pPr>
        <w:widowControl/>
        <w:snapToGrid w:val="0"/>
        <w:spacing w:line="360" w:lineRule="auto"/>
        <w:jc w:val="center"/>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表</w:t>
      </w:r>
      <w:r>
        <w:rPr>
          <w:rFonts w:ascii="Times New Roman" w:hAnsi="Times New Roman" w:eastAsia="仿宋_GB2312" w:cs="Times New Roman"/>
          <w:b/>
          <w:color w:val="auto"/>
          <w:szCs w:val="24"/>
        </w:rPr>
        <w:t>1</w:t>
      </w:r>
      <w:r>
        <w:rPr>
          <w:rFonts w:hint="eastAsia" w:ascii="Times New Roman" w:hAnsi="Times New Roman" w:eastAsia="仿宋_GB2312" w:cs="Times New Roman"/>
          <w:b/>
          <w:color w:val="auto"/>
          <w:szCs w:val="24"/>
        </w:rPr>
        <w:t>.</w:t>
      </w:r>
      <w:r>
        <w:rPr>
          <w:rFonts w:ascii="Times New Roman" w:hAnsi="Times New Roman" w:eastAsia="仿宋_GB2312" w:cs="Times New Roman"/>
          <w:b/>
          <w:color w:val="auto"/>
          <w:szCs w:val="24"/>
        </w:rPr>
        <w:t>8-</w:t>
      </w:r>
      <w:r>
        <w:rPr>
          <w:rFonts w:hint="eastAsia" w:ascii="Times New Roman" w:hAnsi="Times New Roman" w:eastAsia="仿宋_GB2312" w:cs="Times New Roman"/>
          <w:b/>
          <w:color w:val="auto"/>
          <w:szCs w:val="24"/>
        </w:rPr>
        <w:t>3</w:t>
      </w:r>
      <w:r>
        <w:rPr>
          <w:rFonts w:ascii="Times New Roman" w:hAnsi="Times New Roman" w:eastAsia="仿宋_GB2312" w:cs="Times New Roman"/>
          <w:b/>
          <w:color w:val="auto"/>
          <w:szCs w:val="24"/>
        </w:rPr>
        <w:t>：</w:t>
      </w:r>
      <w:r>
        <w:rPr>
          <w:rFonts w:hint="eastAsia" w:ascii="Times New Roman" w:hAnsi="Times New Roman" w:eastAsia="仿宋_GB2312" w:cs="Times New Roman"/>
          <w:b/>
          <w:color w:val="auto"/>
          <w:szCs w:val="24"/>
        </w:rPr>
        <w:t>绿地</w:t>
      </w:r>
      <w:r>
        <w:rPr>
          <w:rFonts w:ascii="Times New Roman" w:hAnsi="Times New Roman" w:eastAsia="仿宋_GB2312" w:cs="Times New Roman"/>
          <w:b/>
          <w:color w:val="auto"/>
          <w:szCs w:val="24"/>
        </w:rPr>
        <w:t>防治区措施布设表</w:t>
      </w:r>
    </w:p>
    <w:tbl>
      <w:tblPr>
        <w:tblStyle w:val="37"/>
        <w:tblW w:w="8423"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578"/>
        <w:gridCol w:w="1182"/>
        <w:gridCol w:w="709"/>
        <w:gridCol w:w="709"/>
        <w:gridCol w:w="1701"/>
        <w:gridCol w:w="1984"/>
        <w:gridCol w:w="156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20" w:hRule="atLeast"/>
          <w:tblHeader/>
          <w:jc w:val="center"/>
        </w:trPr>
        <w:tc>
          <w:tcPr>
            <w:tcW w:w="578"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序号</w:t>
            </w:r>
          </w:p>
        </w:tc>
        <w:tc>
          <w:tcPr>
            <w:tcW w:w="1182"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hint="eastAsia" w:ascii="Times New Roman" w:hAnsi="Times New Roman" w:eastAsia="仿宋_GB2312" w:cs="Times New Roman"/>
                <w:b/>
                <w:color w:val="auto"/>
                <w:kern w:val="0"/>
                <w:sz w:val="21"/>
                <w:szCs w:val="21"/>
                <w:lang w:val="en-US" w:eastAsia="zh-CN"/>
              </w:rPr>
              <w:t>措施</w:t>
            </w:r>
            <w:r>
              <w:rPr>
                <w:rFonts w:ascii="Times New Roman" w:hAnsi="Times New Roman" w:eastAsia="仿宋_GB2312" w:cs="Times New Roman"/>
                <w:b/>
                <w:color w:val="auto"/>
                <w:kern w:val="0"/>
                <w:sz w:val="21"/>
                <w:szCs w:val="21"/>
              </w:rPr>
              <w:t>名称</w:t>
            </w:r>
          </w:p>
        </w:tc>
        <w:tc>
          <w:tcPr>
            <w:tcW w:w="709"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单位</w:t>
            </w:r>
          </w:p>
        </w:tc>
        <w:tc>
          <w:tcPr>
            <w:tcW w:w="709"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工程量</w:t>
            </w:r>
          </w:p>
        </w:tc>
        <w:tc>
          <w:tcPr>
            <w:tcW w:w="1701" w:type="dxa"/>
            <w:vAlign w:val="center"/>
          </w:tcPr>
          <w:p>
            <w:pPr>
              <w:widowControl/>
              <w:jc w:val="center"/>
              <w:textAlignment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布设位置</w:t>
            </w:r>
          </w:p>
        </w:tc>
        <w:tc>
          <w:tcPr>
            <w:tcW w:w="1984" w:type="dxa"/>
            <w:vAlign w:val="center"/>
          </w:tcPr>
          <w:p>
            <w:pPr>
              <w:widowControl/>
              <w:jc w:val="center"/>
              <w:textAlignment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结构形式</w:t>
            </w:r>
          </w:p>
        </w:tc>
        <w:tc>
          <w:tcPr>
            <w:tcW w:w="1560"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布设时间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05" w:hRule="atLeast"/>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一</w:t>
            </w:r>
          </w:p>
        </w:tc>
        <w:tc>
          <w:tcPr>
            <w:tcW w:w="1182"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工程措施</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1701" w:type="dxa"/>
            <w:vAlign w:val="center"/>
          </w:tcPr>
          <w:p>
            <w:pPr>
              <w:jc w:val="center"/>
              <w:rPr>
                <w:rFonts w:ascii="Times New Roman" w:hAnsi="Times New Roman" w:eastAsia="仿宋_GB2312" w:cs="Times New Roman"/>
                <w:color w:val="auto"/>
                <w:sz w:val="21"/>
                <w:szCs w:val="21"/>
              </w:rPr>
            </w:pPr>
          </w:p>
        </w:tc>
        <w:tc>
          <w:tcPr>
            <w:tcW w:w="1984" w:type="dxa"/>
            <w:vAlign w:val="center"/>
          </w:tcPr>
          <w:p>
            <w:pPr>
              <w:jc w:val="center"/>
              <w:rPr>
                <w:rFonts w:ascii="Times New Roman" w:hAnsi="Times New Roman" w:eastAsia="仿宋_GB2312" w:cs="Times New Roman"/>
                <w:color w:val="auto"/>
                <w:sz w:val="21"/>
                <w:szCs w:val="21"/>
              </w:rPr>
            </w:pP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778" w:hRule="atLeast"/>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bCs/>
                <w:color w:val="auto"/>
                <w:kern w:val="0"/>
                <w:sz w:val="21"/>
                <w:szCs w:val="21"/>
              </w:rPr>
            </w:pPr>
            <w:r>
              <w:rPr>
                <w:rFonts w:ascii="Times New Roman" w:hAnsi="Times New Roman" w:eastAsia="仿宋_GB2312" w:cs="Times New Roman"/>
                <w:bCs/>
                <w:color w:val="auto"/>
                <w:kern w:val="0"/>
                <w:sz w:val="21"/>
                <w:szCs w:val="21"/>
              </w:rPr>
              <w:t>表土剥离</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万m</w:t>
            </w:r>
            <w:r>
              <w:rPr>
                <w:rFonts w:ascii="Times New Roman" w:hAnsi="Times New Roman" w:eastAsia="仿宋_GB2312" w:cs="Times New Roman"/>
                <w:color w:val="auto"/>
                <w:kern w:val="0"/>
                <w:sz w:val="21"/>
                <w:szCs w:val="21"/>
                <w:vertAlign w:val="superscript"/>
              </w:rPr>
              <w:t>3</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1.79</w:t>
            </w:r>
          </w:p>
        </w:tc>
        <w:tc>
          <w:tcPr>
            <w:tcW w:w="1701"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施工区域内有可剥离表土区域</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剥离厚度</w:t>
            </w:r>
            <w:r>
              <w:rPr>
                <w:rFonts w:hint="eastAsia" w:ascii="Times New Roman" w:hAnsi="Times New Roman" w:eastAsia="仿宋_GB2312" w:cs="Times New Roman"/>
                <w:color w:val="auto"/>
                <w:sz w:val="21"/>
                <w:szCs w:val="21"/>
              </w:rPr>
              <w:t>0.2m~0.3m</w:t>
            </w: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施工扰动前</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778" w:hRule="atLeast"/>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bCs/>
                <w:color w:val="auto"/>
                <w:kern w:val="0"/>
                <w:sz w:val="21"/>
                <w:szCs w:val="21"/>
              </w:rPr>
            </w:pPr>
            <w:r>
              <w:rPr>
                <w:rFonts w:hint="eastAsia" w:ascii="Times New Roman" w:hAnsi="Times New Roman" w:eastAsia="仿宋_GB2312" w:cs="Times New Roman"/>
                <w:bCs/>
                <w:color w:val="auto"/>
                <w:kern w:val="0"/>
                <w:sz w:val="21"/>
                <w:szCs w:val="21"/>
              </w:rPr>
              <w:t>场地</w:t>
            </w:r>
            <w:r>
              <w:rPr>
                <w:rFonts w:ascii="Times New Roman" w:hAnsi="Times New Roman" w:eastAsia="仿宋_GB2312" w:cs="Times New Roman"/>
                <w:bCs/>
                <w:color w:val="auto"/>
                <w:kern w:val="0"/>
                <w:sz w:val="21"/>
                <w:szCs w:val="21"/>
              </w:rPr>
              <w:t>平整</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h</w:t>
            </w:r>
            <w:r>
              <w:rPr>
                <w:rFonts w:ascii="Times New Roman" w:hAnsi="Times New Roman" w:eastAsia="仿宋_GB2312" w:cs="Times New Roman"/>
                <w:color w:val="auto"/>
                <w:kern w:val="0"/>
                <w:sz w:val="21"/>
                <w:szCs w:val="21"/>
              </w:rPr>
              <w:t>m</w:t>
            </w:r>
            <w:r>
              <w:rPr>
                <w:rFonts w:hint="eastAsia" w:ascii="Times New Roman" w:hAnsi="Times New Roman" w:eastAsia="仿宋_GB2312" w:cs="Times New Roman"/>
                <w:color w:val="auto"/>
                <w:kern w:val="0"/>
                <w:sz w:val="21"/>
                <w:szCs w:val="21"/>
                <w:vertAlign w:val="superscript"/>
              </w:rPr>
              <w:t>2</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18.81</w:t>
            </w:r>
          </w:p>
        </w:tc>
        <w:tc>
          <w:tcPr>
            <w:tcW w:w="1701"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绿地的绿化施工区域</w:t>
            </w:r>
          </w:p>
        </w:tc>
        <w:tc>
          <w:tcPr>
            <w:tcW w:w="1984" w:type="dxa"/>
            <w:vAlign w:val="center"/>
          </w:tcPr>
          <w:p>
            <w:pPr>
              <w:jc w:val="center"/>
              <w:rPr>
                <w:rFonts w:eastAsia="仿宋_GB2312"/>
                <w:color w:val="auto"/>
                <w:sz w:val="21"/>
                <w:szCs w:val="21"/>
                <w:highlight w:val="green"/>
              </w:rPr>
            </w:pPr>
            <w:r>
              <w:rPr>
                <w:rFonts w:hint="eastAsia" w:eastAsia="仿宋_GB2312"/>
                <w:color w:val="auto"/>
                <w:sz w:val="21"/>
                <w:szCs w:val="21"/>
              </w:rPr>
              <w:t>挖掘机或推土机推平</w:t>
            </w:r>
          </w:p>
        </w:tc>
        <w:tc>
          <w:tcPr>
            <w:tcW w:w="1560" w:type="dxa"/>
            <w:noWrap/>
            <w:tcMar>
              <w:top w:w="12" w:type="dxa"/>
              <w:left w:w="12" w:type="dxa"/>
              <w:right w:w="12" w:type="dxa"/>
            </w:tcMar>
            <w:vAlign w:val="center"/>
          </w:tcPr>
          <w:p>
            <w:pPr>
              <w:jc w:val="center"/>
              <w:rPr>
                <w:rFonts w:eastAsia="仿宋_GB2312"/>
                <w:color w:val="auto"/>
                <w:sz w:val="21"/>
                <w:szCs w:val="21"/>
              </w:rPr>
            </w:pPr>
            <w:r>
              <w:rPr>
                <w:rFonts w:hint="eastAsia" w:eastAsia="仿宋_GB2312"/>
                <w:color w:val="auto"/>
                <w:sz w:val="21"/>
                <w:szCs w:val="21"/>
              </w:rPr>
              <w:t>地块回填抬高地势至规划高程后</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3</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bCs/>
                <w:color w:val="auto"/>
                <w:kern w:val="0"/>
                <w:sz w:val="21"/>
                <w:szCs w:val="21"/>
              </w:rPr>
            </w:pPr>
            <w:r>
              <w:rPr>
                <w:rFonts w:hint="eastAsia" w:ascii="Times New Roman" w:hAnsi="Times New Roman" w:eastAsia="仿宋_GB2312" w:cs="Times New Roman"/>
                <w:bCs/>
                <w:color w:val="auto"/>
                <w:kern w:val="0"/>
                <w:sz w:val="21"/>
                <w:szCs w:val="21"/>
              </w:rPr>
              <w:t>表土回填</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vertAlign w:val="superscript"/>
              </w:rPr>
            </w:pPr>
            <w:r>
              <w:rPr>
                <w:rFonts w:hint="eastAsia" w:ascii="Times New Roman" w:hAnsi="Times New Roman" w:eastAsia="仿宋_GB2312" w:cs="Times New Roman"/>
                <w:color w:val="auto"/>
                <w:kern w:val="0"/>
                <w:sz w:val="21"/>
                <w:szCs w:val="21"/>
              </w:rPr>
              <w:t>万m</w:t>
            </w:r>
            <w:r>
              <w:rPr>
                <w:rFonts w:hint="eastAsia" w:ascii="Times New Roman" w:hAnsi="Times New Roman" w:eastAsia="仿宋_GB2312" w:cs="Times New Roman"/>
                <w:color w:val="auto"/>
                <w:kern w:val="0"/>
                <w:sz w:val="21"/>
                <w:szCs w:val="21"/>
                <w:vertAlign w:val="superscript"/>
              </w:rPr>
              <w:t>3</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4.83</w:t>
            </w:r>
          </w:p>
        </w:tc>
        <w:tc>
          <w:tcPr>
            <w:tcW w:w="1701"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绿化</w:t>
            </w:r>
            <w:r>
              <w:rPr>
                <w:rFonts w:ascii="Times New Roman" w:hAnsi="Times New Roman" w:eastAsia="仿宋_GB2312" w:cs="Times New Roman"/>
                <w:color w:val="auto"/>
                <w:sz w:val="21"/>
                <w:szCs w:val="21"/>
              </w:rPr>
              <w:t>区域</w:t>
            </w:r>
          </w:p>
        </w:tc>
        <w:tc>
          <w:tcPr>
            <w:tcW w:w="1984" w:type="dxa"/>
            <w:vAlign w:val="center"/>
          </w:tcPr>
          <w:p>
            <w:pPr>
              <w:jc w:val="center"/>
              <w:rPr>
                <w:rFonts w:eastAsia="仿宋_GB2312"/>
                <w:color w:val="auto"/>
                <w:sz w:val="21"/>
                <w:szCs w:val="21"/>
                <w:highlight w:val="green"/>
              </w:rPr>
            </w:pPr>
            <w:r>
              <w:rPr>
                <w:rFonts w:hint="eastAsia" w:eastAsia="仿宋_GB2312"/>
                <w:color w:val="auto"/>
                <w:sz w:val="21"/>
                <w:szCs w:val="21"/>
              </w:rPr>
              <w:t>挖掘机或推土机运输至绿化区域，推平</w:t>
            </w:r>
          </w:p>
        </w:tc>
        <w:tc>
          <w:tcPr>
            <w:tcW w:w="1560" w:type="dxa"/>
            <w:noWrap/>
            <w:tcMar>
              <w:top w:w="12" w:type="dxa"/>
              <w:left w:w="12" w:type="dxa"/>
              <w:right w:w="12" w:type="dxa"/>
            </w:tcMar>
            <w:vAlign w:val="center"/>
          </w:tcPr>
          <w:p>
            <w:pPr>
              <w:jc w:val="center"/>
              <w:rPr>
                <w:rFonts w:eastAsia="仿宋_GB2312"/>
                <w:color w:val="auto"/>
                <w:sz w:val="21"/>
                <w:szCs w:val="21"/>
              </w:rPr>
            </w:pPr>
            <w:r>
              <w:rPr>
                <w:rFonts w:eastAsia="仿宋_GB2312"/>
                <w:color w:val="auto"/>
                <w:sz w:val="21"/>
                <w:szCs w:val="21"/>
              </w:rPr>
              <w:t>绿化工程施工前</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4</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bCs/>
                <w:color w:val="auto"/>
                <w:kern w:val="0"/>
                <w:sz w:val="21"/>
                <w:szCs w:val="21"/>
              </w:rPr>
            </w:pPr>
            <w:r>
              <w:rPr>
                <w:rFonts w:hint="eastAsia" w:ascii="Times New Roman" w:hAnsi="Times New Roman" w:eastAsia="仿宋_GB2312" w:cs="Times New Roman"/>
                <w:bCs/>
                <w:color w:val="auto"/>
                <w:kern w:val="0"/>
                <w:sz w:val="21"/>
                <w:szCs w:val="21"/>
              </w:rPr>
              <w:t>透水铺装</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vertAlign w:val="superscript"/>
              </w:rPr>
            </w:pPr>
            <w:r>
              <w:rPr>
                <w:rFonts w:hint="eastAsia" w:ascii="Times New Roman" w:hAnsi="Times New Roman" w:eastAsia="仿宋_GB2312" w:cs="Times New Roman"/>
                <w:color w:val="auto"/>
                <w:kern w:val="0"/>
                <w:sz w:val="21"/>
                <w:szCs w:val="21"/>
              </w:rPr>
              <w:t>hm</w:t>
            </w:r>
            <w:r>
              <w:rPr>
                <w:rFonts w:hint="eastAsia" w:ascii="Times New Roman" w:hAnsi="Times New Roman" w:eastAsia="仿宋_GB2312" w:cs="Times New Roman"/>
                <w:color w:val="auto"/>
                <w:kern w:val="0"/>
                <w:sz w:val="21"/>
                <w:szCs w:val="21"/>
                <w:vertAlign w:val="superscript"/>
              </w:rPr>
              <w:t>2</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1.20</w:t>
            </w:r>
          </w:p>
        </w:tc>
        <w:tc>
          <w:tcPr>
            <w:tcW w:w="1701"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绿地</w:t>
            </w:r>
            <w:r>
              <w:rPr>
                <w:rFonts w:ascii="Times New Roman" w:hAnsi="Times New Roman" w:eastAsia="仿宋_GB2312" w:cs="Times New Roman"/>
                <w:color w:val="auto"/>
                <w:sz w:val="21"/>
                <w:szCs w:val="21"/>
              </w:rPr>
              <w:t>内人行步道处</w:t>
            </w:r>
          </w:p>
        </w:tc>
        <w:tc>
          <w:tcPr>
            <w:tcW w:w="198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面</w:t>
            </w:r>
            <w:r>
              <w:rPr>
                <w:rFonts w:ascii="Times New Roman" w:hAnsi="Times New Roman" w:eastAsia="仿宋_GB2312" w:cs="Times New Roman"/>
                <w:color w:val="auto"/>
                <w:sz w:val="21"/>
                <w:szCs w:val="21"/>
              </w:rPr>
              <w:t>层6cm厚的透水砖</w:t>
            </w:r>
            <w:r>
              <w:rPr>
                <w:rFonts w:hint="eastAsia" w:ascii="Times New Roman" w:hAnsi="Times New Roman" w:eastAsia="仿宋_GB2312" w:cs="Times New Roman"/>
                <w:color w:val="auto"/>
                <w:sz w:val="21"/>
                <w:szCs w:val="21"/>
              </w:rPr>
              <w:t>、封层2cm厚水泥砂浆、基层15</w:t>
            </w:r>
            <w:r>
              <w:rPr>
                <w:rFonts w:ascii="Times New Roman" w:hAnsi="Times New Roman" w:eastAsia="仿宋_GB2312" w:cs="Times New Roman"/>
                <w:color w:val="auto"/>
                <w:sz w:val="21"/>
                <w:szCs w:val="21"/>
              </w:rPr>
              <w:t>cmC20透水混凝土和垫层</w:t>
            </w:r>
            <w:r>
              <w:rPr>
                <w:rFonts w:hint="eastAsia" w:ascii="Times New Roman" w:hAnsi="Times New Roman" w:eastAsia="仿宋_GB2312" w:cs="Times New Roman"/>
                <w:color w:val="auto"/>
                <w:sz w:val="21"/>
                <w:szCs w:val="21"/>
              </w:rPr>
              <w:t>10cm级配碎石</w:t>
            </w: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与</w:t>
            </w:r>
            <w:r>
              <w:rPr>
                <w:rFonts w:hint="eastAsia" w:ascii="Times New Roman" w:hAnsi="Times New Roman" w:eastAsia="仿宋_GB2312" w:cs="Times New Roman"/>
                <w:color w:val="auto"/>
                <w:sz w:val="21"/>
                <w:szCs w:val="21"/>
              </w:rPr>
              <w:t>园林景观</w:t>
            </w:r>
            <w:r>
              <w:rPr>
                <w:rFonts w:ascii="Times New Roman" w:hAnsi="Times New Roman" w:eastAsia="仿宋_GB2312" w:cs="Times New Roman"/>
                <w:color w:val="auto"/>
                <w:sz w:val="21"/>
                <w:szCs w:val="21"/>
              </w:rPr>
              <w:t>工程同步施工</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5</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bCs/>
                <w:color w:val="auto"/>
                <w:kern w:val="0"/>
                <w:sz w:val="21"/>
                <w:szCs w:val="21"/>
              </w:rPr>
            </w:pPr>
            <w:r>
              <w:rPr>
                <w:rFonts w:hint="eastAsia" w:ascii="Times New Roman" w:hAnsi="Times New Roman" w:eastAsia="仿宋_GB2312" w:cs="Times New Roman"/>
                <w:bCs/>
                <w:color w:val="auto"/>
                <w:kern w:val="0"/>
                <w:sz w:val="21"/>
                <w:szCs w:val="21"/>
              </w:rPr>
              <w:t>植草沟</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m</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955</w:t>
            </w:r>
          </w:p>
        </w:tc>
        <w:tc>
          <w:tcPr>
            <w:tcW w:w="1701"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绿化区域内</w:t>
            </w:r>
          </w:p>
        </w:tc>
        <w:tc>
          <w:tcPr>
            <w:tcW w:w="1984" w:type="dxa"/>
            <w:vAlign w:val="center"/>
          </w:tcPr>
          <w:p>
            <w:pPr>
              <w:jc w:val="center"/>
              <w:rPr>
                <w:rFonts w:eastAsia="仿宋_GB2312"/>
                <w:color w:val="auto"/>
                <w:sz w:val="21"/>
                <w:szCs w:val="21"/>
              </w:rPr>
            </w:pPr>
            <w:r>
              <w:rPr>
                <w:rFonts w:hint="eastAsia" w:eastAsia="仿宋_GB2312"/>
                <w:color w:val="auto"/>
                <w:sz w:val="21"/>
                <w:szCs w:val="21"/>
              </w:rPr>
              <w:t>梯形断面土沟，沟内铺马尼拉草皮</w:t>
            </w:r>
          </w:p>
        </w:tc>
        <w:tc>
          <w:tcPr>
            <w:tcW w:w="1560" w:type="dxa"/>
            <w:noWrap/>
            <w:tcMar>
              <w:top w:w="12" w:type="dxa"/>
              <w:left w:w="12" w:type="dxa"/>
              <w:right w:w="12" w:type="dxa"/>
            </w:tcMar>
            <w:vAlign w:val="center"/>
          </w:tcPr>
          <w:p>
            <w:pPr>
              <w:jc w:val="center"/>
              <w:rPr>
                <w:rFonts w:eastAsia="仿宋_GB2312"/>
                <w:color w:val="auto"/>
                <w:sz w:val="21"/>
                <w:szCs w:val="21"/>
              </w:rPr>
            </w:pPr>
            <w:r>
              <w:rPr>
                <w:rFonts w:ascii="Times New Roman" w:hAnsi="Times New Roman" w:eastAsia="仿宋_GB2312" w:cs="Times New Roman"/>
                <w:color w:val="auto"/>
                <w:sz w:val="21"/>
                <w:szCs w:val="21"/>
              </w:rPr>
              <w:t>与</w:t>
            </w:r>
            <w:r>
              <w:rPr>
                <w:rFonts w:hint="eastAsia" w:ascii="Times New Roman" w:hAnsi="Times New Roman" w:eastAsia="仿宋_GB2312" w:cs="Times New Roman"/>
                <w:color w:val="auto"/>
                <w:sz w:val="21"/>
                <w:szCs w:val="21"/>
              </w:rPr>
              <w:t>园林景观</w:t>
            </w:r>
            <w:r>
              <w:rPr>
                <w:rFonts w:ascii="Times New Roman" w:hAnsi="Times New Roman" w:eastAsia="仿宋_GB2312" w:cs="Times New Roman"/>
                <w:color w:val="auto"/>
                <w:sz w:val="21"/>
                <w:szCs w:val="21"/>
              </w:rPr>
              <w:t>工程同步施工</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77" w:hRule="atLeast"/>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二</w:t>
            </w:r>
          </w:p>
        </w:tc>
        <w:tc>
          <w:tcPr>
            <w:tcW w:w="1182"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植物措施</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1701" w:type="dxa"/>
            <w:vAlign w:val="center"/>
          </w:tcPr>
          <w:p>
            <w:pPr>
              <w:jc w:val="center"/>
              <w:rPr>
                <w:rFonts w:ascii="Times New Roman" w:hAnsi="Times New Roman" w:eastAsia="仿宋_GB2312" w:cs="Times New Roman"/>
                <w:color w:val="auto"/>
                <w:sz w:val="21"/>
                <w:szCs w:val="21"/>
              </w:rPr>
            </w:pPr>
          </w:p>
        </w:tc>
        <w:tc>
          <w:tcPr>
            <w:tcW w:w="1984" w:type="dxa"/>
            <w:vAlign w:val="center"/>
          </w:tcPr>
          <w:p>
            <w:pPr>
              <w:jc w:val="center"/>
              <w:rPr>
                <w:rFonts w:ascii="Times New Roman" w:hAnsi="Times New Roman" w:eastAsia="仿宋_GB2312" w:cs="Times New Roman"/>
                <w:color w:val="auto"/>
                <w:sz w:val="21"/>
                <w:szCs w:val="21"/>
              </w:rPr>
            </w:pP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景观绿化</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hm</w:t>
            </w:r>
            <w:r>
              <w:rPr>
                <w:rFonts w:ascii="Times New Roman" w:hAnsi="Times New Roman" w:eastAsia="仿宋_GB2312" w:cs="Times New Roman"/>
                <w:color w:val="auto"/>
                <w:kern w:val="0"/>
                <w:sz w:val="21"/>
                <w:szCs w:val="21"/>
                <w:vertAlign w:val="superscript"/>
              </w:rPr>
              <w:t>2</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18.81</w:t>
            </w:r>
          </w:p>
        </w:tc>
        <w:tc>
          <w:tcPr>
            <w:tcW w:w="1701"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设计绿化区域</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 xml:space="preserve">乔、灌、草相结合 </w:t>
            </w: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春</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冬季</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05" w:hRule="atLeast"/>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三</w:t>
            </w:r>
          </w:p>
        </w:tc>
        <w:tc>
          <w:tcPr>
            <w:tcW w:w="1182"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临时措施</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1701" w:type="dxa"/>
            <w:vAlign w:val="center"/>
          </w:tcPr>
          <w:p>
            <w:pPr>
              <w:jc w:val="center"/>
              <w:rPr>
                <w:rFonts w:ascii="Times New Roman" w:hAnsi="Times New Roman" w:eastAsia="仿宋_GB2312" w:cs="Times New Roman"/>
                <w:color w:val="auto"/>
                <w:sz w:val="21"/>
                <w:szCs w:val="21"/>
              </w:rPr>
            </w:pPr>
          </w:p>
        </w:tc>
        <w:tc>
          <w:tcPr>
            <w:tcW w:w="1984" w:type="dxa"/>
            <w:vAlign w:val="center"/>
          </w:tcPr>
          <w:p>
            <w:pPr>
              <w:jc w:val="center"/>
              <w:rPr>
                <w:rFonts w:ascii="Times New Roman" w:hAnsi="Times New Roman" w:eastAsia="仿宋_GB2312" w:cs="Times New Roman"/>
                <w:color w:val="auto"/>
                <w:sz w:val="21"/>
                <w:szCs w:val="21"/>
              </w:rPr>
            </w:pP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苫布覆盖</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hm</w:t>
            </w:r>
            <w:r>
              <w:rPr>
                <w:rFonts w:ascii="Times New Roman" w:hAnsi="Times New Roman" w:eastAsia="仿宋_GB2312" w:cs="Times New Roman"/>
                <w:color w:val="auto"/>
                <w:kern w:val="0"/>
                <w:sz w:val="21"/>
                <w:szCs w:val="21"/>
                <w:vertAlign w:val="superscript"/>
              </w:rPr>
              <w:t>2</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20.01</w:t>
            </w:r>
          </w:p>
        </w:tc>
        <w:tc>
          <w:tcPr>
            <w:tcW w:w="1701"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区域平整后裸露区域</w:t>
            </w:r>
          </w:p>
        </w:tc>
        <w:tc>
          <w:tcPr>
            <w:tcW w:w="1984" w:type="dxa"/>
            <w:vAlign w:val="center"/>
          </w:tcPr>
          <w:p>
            <w:pPr>
              <w:jc w:val="center"/>
              <w:rPr>
                <w:rFonts w:eastAsia="仿宋_GB2312"/>
                <w:color w:val="auto"/>
                <w:sz w:val="21"/>
                <w:szCs w:val="21"/>
              </w:rPr>
            </w:pPr>
            <w:r>
              <w:rPr>
                <w:rFonts w:hint="eastAsia" w:eastAsia="仿宋_GB2312"/>
                <w:color w:val="auto"/>
                <w:sz w:val="21"/>
                <w:szCs w:val="21"/>
              </w:rPr>
              <w:t>铺苫布</w:t>
            </w:r>
          </w:p>
        </w:tc>
        <w:tc>
          <w:tcPr>
            <w:tcW w:w="1560" w:type="dxa"/>
            <w:noWrap/>
            <w:tcMar>
              <w:top w:w="12" w:type="dxa"/>
              <w:left w:w="12" w:type="dxa"/>
              <w:right w:w="12" w:type="dxa"/>
            </w:tcMar>
            <w:vAlign w:val="center"/>
          </w:tcPr>
          <w:p>
            <w:pPr>
              <w:jc w:val="center"/>
              <w:rPr>
                <w:rFonts w:eastAsia="仿宋_GB2312"/>
                <w:color w:val="auto"/>
                <w:sz w:val="21"/>
                <w:szCs w:val="21"/>
              </w:rPr>
            </w:pPr>
            <w:r>
              <w:rPr>
                <w:rFonts w:eastAsia="仿宋_GB2312"/>
                <w:color w:val="auto"/>
                <w:sz w:val="21"/>
                <w:szCs w:val="21"/>
              </w:rPr>
              <w:t>场地裸露期间</w:t>
            </w:r>
            <w:r>
              <w:rPr>
                <w:rFonts w:hint="eastAsia" w:eastAsia="仿宋_GB2312"/>
                <w:color w:val="auto"/>
                <w:sz w:val="21"/>
                <w:szCs w:val="21"/>
              </w:rPr>
              <w:t>，</w:t>
            </w:r>
            <w:r>
              <w:rPr>
                <w:rFonts w:eastAsia="仿宋_GB2312"/>
                <w:color w:val="auto"/>
                <w:sz w:val="21"/>
                <w:szCs w:val="21"/>
              </w:rPr>
              <w:t>在暴雨前布置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临时排水沟</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1568</w:t>
            </w:r>
          </w:p>
        </w:tc>
        <w:tc>
          <w:tcPr>
            <w:tcW w:w="1701"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平整各地块的场地</w:t>
            </w:r>
            <w:r>
              <w:rPr>
                <w:rFonts w:ascii="Times New Roman" w:hAnsi="Times New Roman" w:eastAsia="仿宋_GB2312" w:cs="Times New Roman"/>
                <w:color w:val="auto"/>
                <w:sz w:val="21"/>
                <w:szCs w:val="21"/>
              </w:rPr>
              <w:t>周边</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土沟</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底宽0.2m，深0.</w:t>
            </w:r>
            <w:r>
              <w:rPr>
                <w:rFonts w:hint="eastAsia" w:ascii="Times New Roman" w:hAnsi="Times New Roman" w:eastAsia="仿宋_GB2312" w:cs="Times New Roman"/>
                <w:color w:val="auto"/>
                <w:sz w:val="21"/>
                <w:szCs w:val="21"/>
                <w:lang w:val="en-US" w:eastAsia="zh-CN"/>
              </w:rPr>
              <w:t>4</w:t>
            </w:r>
            <w:r>
              <w:rPr>
                <w:rFonts w:ascii="Times New Roman" w:hAnsi="Times New Roman" w:eastAsia="仿宋_GB2312" w:cs="Times New Roman"/>
                <w:color w:val="auto"/>
                <w:sz w:val="21"/>
                <w:szCs w:val="21"/>
              </w:rPr>
              <w:t>m，坡比1:</w:t>
            </w:r>
            <w:r>
              <w:rPr>
                <w:rFonts w:hint="eastAsia" w:ascii="Times New Roman" w:hAnsi="Times New Roman" w:eastAsia="仿宋_GB2312" w:cs="Times New Roman"/>
                <w:color w:val="auto"/>
                <w:sz w:val="21"/>
                <w:szCs w:val="21"/>
              </w:rPr>
              <w:t>1，安全超高0.2m</w:t>
            </w:r>
          </w:p>
        </w:tc>
        <w:tc>
          <w:tcPr>
            <w:tcW w:w="1560" w:type="dxa"/>
            <w:vMerge w:val="restart"/>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平整</w:t>
            </w:r>
            <w:r>
              <w:rPr>
                <w:rFonts w:ascii="Times New Roman" w:hAnsi="Times New Roman" w:eastAsia="仿宋_GB2312" w:cs="Times New Roman"/>
                <w:color w:val="auto"/>
                <w:sz w:val="21"/>
                <w:szCs w:val="21"/>
              </w:rPr>
              <w:t>施工过程中同步</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临时沉沙池</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个</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10</w:t>
            </w:r>
          </w:p>
        </w:tc>
        <w:tc>
          <w:tcPr>
            <w:tcW w:w="1701"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临时排水沟沿线及排水出口处</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上顶</w:t>
            </w:r>
            <w:r>
              <w:rPr>
                <w:rFonts w:hint="eastAsia" w:ascii="Times New Roman" w:hAnsi="Times New Roman" w:eastAsia="仿宋_GB2312" w:cs="Times New Roman"/>
                <w:color w:val="auto"/>
                <w:sz w:val="21"/>
                <w:szCs w:val="21"/>
              </w:rPr>
              <w:t>3</w:t>
            </w:r>
            <w:r>
              <w:rPr>
                <w:rFonts w:hint="eastAsia" w:ascii="Times New Roman" w:hAnsi="Times New Roman" w:eastAsia="仿宋_GB2312" w:cs="Times New Roman"/>
                <w:color w:val="auto"/>
                <w:sz w:val="21"/>
                <w:szCs w:val="21"/>
                <w:lang w:val="en-US" w:eastAsia="zh-CN"/>
              </w:rPr>
              <w:t>.0</w:t>
            </w:r>
            <w:r>
              <w:rPr>
                <w:rFonts w:ascii="Times New Roman" w:hAnsi="Times New Roman" w:eastAsia="仿宋_GB2312" w:cs="Times New Roman"/>
                <w:color w:val="auto"/>
                <w:sz w:val="21"/>
                <w:szCs w:val="21"/>
              </w:rPr>
              <w:t>m×1</w:t>
            </w:r>
            <w:r>
              <w:rPr>
                <w:rFonts w:hint="eastAsia" w:ascii="Times New Roman" w:hAnsi="Times New Roman" w:eastAsia="仿宋_GB2312" w:cs="Times New Roman"/>
                <w:color w:val="auto"/>
                <w:sz w:val="21"/>
                <w:szCs w:val="21"/>
                <w:lang w:val="en-US" w:eastAsia="zh-CN"/>
              </w:rPr>
              <w:t>.5</w:t>
            </w:r>
            <w:r>
              <w:rPr>
                <w:rFonts w:ascii="Times New Roman" w:hAnsi="Times New Roman" w:eastAsia="仿宋_GB2312" w:cs="Times New Roman"/>
                <w:color w:val="auto"/>
                <w:sz w:val="21"/>
                <w:szCs w:val="21"/>
              </w:rPr>
              <w:t>m，下底1</w:t>
            </w:r>
            <w:r>
              <w:rPr>
                <w:rFonts w:hint="eastAsia" w:ascii="Times New Roman" w:hAnsi="Times New Roman" w:eastAsia="仿宋_GB2312" w:cs="Times New Roman"/>
                <w:color w:val="auto"/>
                <w:sz w:val="21"/>
                <w:szCs w:val="21"/>
              </w:rPr>
              <w:t>.</w:t>
            </w:r>
            <w:r>
              <w:rPr>
                <w:rFonts w:hint="eastAsia" w:ascii="Times New Roman" w:hAnsi="Times New Roman" w:eastAsia="仿宋_GB2312" w:cs="Times New Roman"/>
                <w:color w:val="auto"/>
                <w:sz w:val="21"/>
                <w:szCs w:val="21"/>
                <w:lang w:val="en-US" w:eastAsia="zh-CN"/>
              </w:rPr>
              <w:t>0</w:t>
            </w:r>
            <w:r>
              <w:rPr>
                <w:rFonts w:ascii="Times New Roman" w:hAnsi="Times New Roman" w:eastAsia="仿宋_GB2312" w:cs="Times New Roman"/>
                <w:color w:val="auto"/>
                <w:sz w:val="21"/>
                <w:szCs w:val="21"/>
              </w:rPr>
              <w:t>×0.5m，池厢深度1m</w:t>
            </w:r>
          </w:p>
        </w:tc>
        <w:tc>
          <w:tcPr>
            <w:tcW w:w="1560" w:type="dxa"/>
            <w:vMerge w:val="continue"/>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r>
    </w:tbl>
    <w:p>
      <w:pPr>
        <w:widowControl/>
        <w:snapToGrid w:val="0"/>
        <w:spacing w:line="360" w:lineRule="auto"/>
        <w:ind w:firstLine="482" w:firstLineChars="200"/>
        <w:jc w:val="left"/>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（二）区域规划功能防治区</w:t>
      </w:r>
    </w:p>
    <w:p>
      <w:pPr>
        <w:widowControl/>
        <w:snapToGrid w:val="0"/>
        <w:spacing w:line="360" w:lineRule="auto"/>
        <w:ind w:firstLine="480" w:firstLineChars="200"/>
        <w:jc w:val="left"/>
        <w:rPr>
          <w:rFonts w:hint="eastAsia" w:ascii="Times New Roman" w:hAnsi="Times New Roman" w:eastAsia="仿宋_GB2312" w:cs="Times New Roman"/>
          <w:color w:val="auto"/>
          <w:szCs w:val="24"/>
          <w:lang w:val="en-US" w:eastAsia="zh-CN"/>
        </w:rPr>
      </w:pPr>
      <w:r>
        <w:rPr>
          <w:rFonts w:hint="eastAsia" w:ascii="Times New Roman" w:hAnsi="Times New Roman" w:eastAsia="仿宋_GB2312" w:cs="Times New Roman"/>
          <w:color w:val="auto"/>
          <w:szCs w:val="24"/>
        </w:rPr>
        <w:t>（1）已建工程防治</w:t>
      </w:r>
      <w:r>
        <w:rPr>
          <w:rFonts w:hint="eastAsia" w:ascii="Times New Roman" w:hAnsi="Times New Roman" w:eastAsia="仿宋_GB2312" w:cs="Times New Roman"/>
          <w:color w:val="auto"/>
          <w:szCs w:val="24"/>
          <w:lang w:eastAsia="zh-CN"/>
        </w:rPr>
        <w:t>区</w:t>
      </w:r>
    </w:p>
    <w:p>
      <w:pPr>
        <w:widowControl/>
        <w:snapToGrid w:val="0"/>
        <w:spacing w:line="360" w:lineRule="auto"/>
        <w:ind w:firstLine="480" w:firstLineChars="200"/>
        <w:jc w:val="left"/>
        <w:rPr>
          <w:rFonts w:hint="eastAsia" w:ascii="Times New Roman" w:hAnsi="Times New Roman" w:eastAsia="仿宋_GB2312" w:cs="Times New Roman"/>
          <w:color w:val="auto"/>
          <w:szCs w:val="24"/>
          <w:lang w:eastAsia="zh-CN"/>
        </w:rPr>
      </w:pPr>
      <w:r>
        <w:rPr>
          <w:rFonts w:hint="eastAsia" w:ascii="Times New Roman" w:hAnsi="Times New Roman" w:eastAsia="仿宋_GB2312"/>
          <w:color w:val="auto"/>
        </w:rPr>
        <w:t>已完成建设的E11地块及评估前已完成平整，后续</w:t>
      </w:r>
      <w:r>
        <w:rPr>
          <w:rFonts w:ascii="Times New Roman" w:hAnsi="Times New Roman" w:eastAsia="仿宋_GB2312" w:cs="Times New Roman"/>
          <w:color w:val="auto"/>
          <w:szCs w:val="24"/>
        </w:rPr>
        <w:t>建设单位不再扰动的</w:t>
      </w:r>
      <w:r>
        <w:rPr>
          <w:rFonts w:hint="eastAsia" w:ascii="Times New Roman" w:hAnsi="Times New Roman" w:eastAsia="仿宋_GB2312" w:cs="Times New Roman"/>
          <w:color w:val="auto"/>
          <w:szCs w:val="24"/>
        </w:rPr>
        <w:t>E09和E19地块。</w:t>
      </w:r>
      <w:r>
        <w:rPr>
          <w:rFonts w:hint="eastAsia" w:ascii="Times New Roman" w:hAnsi="Times New Roman" w:eastAsia="仿宋_GB2312" w:cs="Times New Roman"/>
          <w:color w:val="auto"/>
          <w:szCs w:val="24"/>
          <w:lang w:eastAsia="zh-CN"/>
        </w:rPr>
        <w:t>主要措施体系包括</w:t>
      </w:r>
      <w:r>
        <w:rPr>
          <w:rFonts w:hint="eastAsia" w:ascii="Times New Roman" w:hAnsi="Times New Roman" w:eastAsia="仿宋_GB2312"/>
          <w:color w:val="auto"/>
        </w:rPr>
        <w:t>E11地块</w:t>
      </w:r>
      <w:r>
        <w:rPr>
          <w:rFonts w:hint="eastAsia" w:ascii="Times New Roman" w:hAnsi="Times New Roman" w:eastAsia="仿宋_GB2312"/>
          <w:color w:val="auto"/>
          <w:lang w:eastAsia="zh-CN"/>
        </w:rPr>
        <w:t>的排水及绿化工程、</w:t>
      </w:r>
      <w:r>
        <w:rPr>
          <w:rFonts w:hint="eastAsia" w:ascii="Times New Roman" w:hAnsi="Times New Roman" w:eastAsia="仿宋_GB2312" w:cs="Times New Roman"/>
          <w:color w:val="auto"/>
          <w:szCs w:val="24"/>
        </w:rPr>
        <w:t>E09和E19地块</w:t>
      </w:r>
      <w:r>
        <w:rPr>
          <w:rFonts w:hint="eastAsia" w:ascii="Times New Roman" w:hAnsi="Times New Roman" w:eastAsia="仿宋_GB2312" w:cs="Times New Roman"/>
          <w:color w:val="auto"/>
          <w:szCs w:val="24"/>
          <w:lang w:eastAsia="zh-CN"/>
        </w:rPr>
        <w:t>的场地平整及撒播草籽。</w:t>
      </w:r>
    </w:p>
    <w:p>
      <w:pPr>
        <w:pStyle w:val="2"/>
        <w:rPr>
          <w:rFonts w:hint="eastAsia" w:ascii="Times New Roman" w:hAnsi="Times New Roman" w:eastAsia="仿宋_GB2312" w:cs="Times New Roman"/>
          <w:color w:val="auto"/>
          <w:szCs w:val="24"/>
          <w:lang w:eastAsia="zh-CN"/>
        </w:rPr>
      </w:pPr>
    </w:p>
    <w:p>
      <w:pPr>
        <w:pStyle w:val="2"/>
        <w:rPr>
          <w:rFonts w:hint="eastAsia" w:ascii="Times New Roman" w:hAnsi="Times New Roman" w:eastAsia="仿宋_GB2312" w:cs="Times New Roman"/>
          <w:color w:val="auto"/>
          <w:szCs w:val="24"/>
          <w:lang w:eastAsia="zh-CN"/>
        </w:rPr>
      </w:pPr>
    </w:p>
    <w:p>
      <w:pPr>
        <w:pStyle w:val="2"/>
        <w:rPr>
          <w:rFonts w:hint="eastAsia" w:ascii="Times New Roman" w:hAnsi="Times New Roman" w:eastAsia="仿宋_GB2312" w:cs="Times New Roman"/>
          <w:color w:val="auto"/>
          <w:szCs w:val="24"/>
          <w:lang w:val="en-US" w:eastAsia="zh-CN"/>
        </w:rPr>
      </w:pPr>
    </w:p>
    <w:p>
      <w:pPr>
        <w:widowControl/>
        <w:snapToGrid w:val="0"/>
        <w:spacing w:line="360" w:lineRule="auto"/>
        <w:jc w:val="center"/>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表</w:t>
      </w:r>
      <w:r>
        <w:rPr>
          <w:rFonts w:ascii="Times New Roman" w:hAnsi="Times New Roman" w:eastAsia="仿宋_GB2312" w:cs="Times New Roman"/>
          <w:b/>
          <w:color w:val="auto"/>
          <w:szCs w:val="24"/>
        </w:rPr>
        <w:t>1</w:t>
      </w:r>
      <w:r>
        <w:rPr>
          <w:rFonts w:hint="eastAsia" w:ascii="Times New Roman" w:hAnsi="Times New Roman" w:eastAsia="仿宋_GB2312" w:cs="Times New Roman"/>
          <w:b/>
          <w:color w:val="auto"/>
          <w:szCs w:val="24"/>
        </w:rPr>
        <w:t>.</w:t>
      </w:r>
      <w:r>
        <w:rPr>
          <w:rFonts w:ascii="Times New Roman" w:hAnsi="Times New Roman" w:eastAsia="仿宋_GB2312" w:cs="Times New Roman"/>
          <w:b/>
          <w:color w:val="auto"/>
          <w:szCs w:val="24"/>
        </w:rPr>
        <w:t>8-</w:t>
      </w:r>
      <w:r>
        <w:rPr>
          <w:rFonts w:hint="eastAsia" w:ascii="Times New Roman" w:hAnsi="Times New Roman" w:eastAsia="仿宋_GB2312" w:cs="Times New Roman"/>
          <w:b/>
          <w:color w:val="auto"/>
          <w:szCs w:val="24"/>
        </w:rPr>
        <w:t>4</w:t>
      </w:r>
      <w:r>
        <w:rPr>
          <w:rFonts w:ascii="Times New Roman" w:hAnsi="Times New Roman" w:eastAsia="仿宋_GB2312" w:cs="Times New Roman"/>
          <w:b/>
          <w:color w:val="auto"/>
          <w:szCs w:val="24"/>
        </w:rPr>
        <w:t>：</w:t>
      </w:r>
      <w:r>
        <w:rPr>
          <w:rFonts w:hint="eastAsia" w:ascii="Times New Roman" w:hAnsi="Times New Roman" w:eastAsia="仿宋_GB2312" w:cs="Times New Roman"/>
          <w:b/>
          <w:color w:val="auto"/>
          <w:szCs w:val="24"/>
        </w:rPr>
        <w:t>已建工程防治区</w:t>
      </w:r>
      <w:r>
        <w:rPr>
          <w:rFonts w:ascii="Times New Roman" w:hAnsi="Times New Roman" w:eastAsia="仿宋_GB2312" w:cs="Times New Roman"/>
          <w:b/>
          <w:color w:val="auto"/>
          <w:szCs w:val="24"/>
        </w:rPr>
        <w:t>措施布设表</w:t>
      </w:r>
    </w:p>
    <w:tbl>
      <w:tblPr>
        <w:tblStyle w:val="37"/>
        <w:tblW w:w="8423"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578"/>
        <w:gridCol w:w="1182"/>
        <w:gridCol w:w="709"/>
        <w:gridCol w:w="709"/>
        <w:gridCol w:w="1701"/>
        <w:gridCol w:w="1984"/>
        <w:gridCol w:w="156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91" w:hRule="atLeast"/>
          <w:tblHeader/>
          <w:jc w:val="center"/>
        </w:trPr>
        <w:tc>
          <w:tcPr>
            <w:tcW w:w="578"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序号</w:t>
            </w:r>
          </w:p>
        </w:tc>
        <w:tc>
          <w:tcPr>
            <w:tcW w:w="1182"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hint="eastAsia" w:ascii="Times New Roman" w:hAnsi="Times New Roman" w:eastAsia="仿宋_GB2312" w:cs="Times New Roman"/>
                <w:b/>
                <w:color w:val="auto"/>
                <w:kern w:val="0"/>
                <w:sz w:val="21"/>
                <w:szCs w:val="21"/>
                <w:lang w:val="en-US" w:eastAsia="zh-CN"/>
              </w:rPr>
              <w:t>措施</w:t>
            </w:r>
            <w:r>
              <w:rPr>
                <w:rFonts w:ascii="Times New Roman" w:hAnsi="Times New Roman" w:eastAsia="仿宋_GB2312" w:cs="Times New Roman"/>
                <w:b/>
                <w:color w:val="auto"/>
                <w:kern w:val="0"/>
                <w:sz w:val="21"/>
                <w:szCs w:val="21"/>
              </w:rPr>
              <w:t>名称</w:t>
            </w:r>
          </w:p>
        </w:tc>
        <w:tc>
          <w:tcPr>
            <w:tcW w:w="709"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单位</w:t>
            </w:r>
          </w:p>
        </w:tc>
        <w:tc>
          <w:tcPr>
            <w:tcW w:w="709"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工程量</w:t>
            </w:r>
          </w:p>
        </w:tc>
        <w:tc>
          <w:tcPr>
            <w:tcW w:w="1701" w:type="dxa"/>
            <w:vAlign w:val="center"/>
          </w:tcPr>
          <w:p>
            <w:pPr>
              <w:widowControl/>
              <w:jc w:val="center"/>
              <w:textAlignment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布设位置</w:t>
            </w:r>
          </w:p>
        </w:tc>
        <w:tc>
          <w:tcPr>
            <w:tcW w:w="1984" w:type="dxa"/>
            <w:vAlign w:val="center"/>
          </w:tcPr>
          <w:p>
            <w:pPr>
              <w:widowControl/>
              <w:jc w:val="center"/>
              <w:textAlignment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结构形式</w:t>
            </w:r>
          </w:p>
        </w:tc>
        <w:tc>
          <w:tcPr>
            <w:tcW w:w="1560"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布设时间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05" w:hRule="atLeast"/>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一</w:t>
            </w:r>
          </w:p>
        </w:tc>
        <w:tc>
          <w:tcPr>
            <w:tcW w:w="1182"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工程措施</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1701" w:type="dxa"/>
            <w:vAlign w:val="center"/>
          </w:tcPr>
          <w:p>
            <w:pPr>
              <w:jc w:val="center"/>
              <w:rPr>
                <w:rFonts w:ascii="Times New Roman" w:hAnsi="Times New Roman" w:eastAsia="仿宋_GB2312" w:cs="Times New Roman"/>
                <w:color w:val="auto"/>
                <w:sz w:val="21"/>
                <w:szCs w:val="21"/>
              </w:rPr>
            </w:pPr>
          </w:p>
        </w:tc>
        <w:tc>
          <w:tcPr>
            <w:tcW w:w="1984" w:type="dxa"/>
            <w:vAlign w:val="center"/>
          </w:tcPr>
          <w:p>
            <w:pPr>
              <w:jc w:val="center"/>
              <w:rPr>
                <w:rFonts w:ascii="Times New Roman" w:hAnsi="Times New Roman" w:eastAsia="仿宋_GB2312" w:cs="Times New Roman"/>
                <w:color w:val="auto"/>
                <w:sz w:val="21"/>
                <w:szCs w:val="21"/>
              </w:rPr>
            </w:pP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bCs/>
                <w:color w:val="auto"/>
                <w:kern w:val="0"/>
                <w:sz w:val="21"/>
                <w:szCs w:val="21"/>
              </w:rPr>
            </w:pPr>
            <w:r>
              <w:rPr>
                <w:rFonts w:hint="eastAsia" w:ascii="Times New Roman" w:hAnsi="Times New Roman" w:eastAsia="仿宋_GB2312" w:cs="Times New Roman"/>
                <w:bCs/>
                <w:color w:val="auto"/>
                <w:kern w:val="0"/>
                <w:sz w:val="21"/>
                <w:szCs w:val="21"/>
              </w:rPr>
              <w:t>场地</w:t>
            </w:r>
            <w:r>
              <w:rPr>
                <w:rFonts w:ascii="Times New Roman" w:hAnsi="Times New Roman" w:eastAsia="仿宋_GB2312" w:cs="Times New Roman"/>
                <w:bCs/>
                <w:color w:val="auto"/>
                <w:kern w:val="0"/>
                <w:sz w:val="21"/>
                <w:szCs w:val="21"/>
              </w:rPr>
              <w:t>平整</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h</w:t>
            </w:r>
            <w:r>
              <w:rPr>
                <w:rFonts w:ascii="Times New Roman" w:hAnsi="Times New Roman" w:eastAsia="仿宋_GB2312" w:cs="Times New Roman"/>
                <w:color w:val="auto"/>
                <w:kern w:val="0"/>
                <w:sz w:val="21"/>
                <w:szCs w:val="21"/>
              </w:rPr>
              <w:t>m</w:t>
            </w:r>
            <w:r>
              <w:rPr>
                <w:rFonts w:hint="eastAsia" w:ascii="Times New Roman" w:hAnsi="Times New Roman" w:eastAsia="仿宋_GB2312" w:cs="Times New Roman"/>
                <w:color w:val="auto"/>
                <w:kern w:val="0"/>
                <w:sz w:val="21"/>
                <w:szCs w:val="21"/>
                <w:vertAlign w:val="superscript"/>
              </w:rPr>
              <w:t>2</w:t>
            </w:r>
          </w:p>
        </w:tc>
        <w:tc>
          <w:tcPr>
            <w:tcW w:w="709" w:type="dxa"/>
            <w:noWrap/>
            <w:tcMar>
              <w:top w:w="12" w:type="dxa"/>
              <w:left w:w="12" w:type="dxa"/>
              <w:right w:w="12" w:type="dxa"/>
            </w:tcMar>
            <w:vAlign w:val="center"/>
          </w:tcPr>
          <w:p>
            <w:pPr>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8.05</w:t>
            </w:r>
          </w:p>
        </w:tc>
        <w:tc>
          <w:tcPr>
            <w:tcW w:w="1701"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E</w:t>
            </w:r>
            <w:r>
              <w:rPr>
                <w:rFonts w:hint="eastAsia" w:ascii="Times New Roman" w:hAnsi="Times New Roman" w:eastAsia="仿宋_GB2312" w:cs="Times New Roman"/>
                <w:color w:val="auto"/>
                <w:sz w:val="21"/>
                <w:szCs w:val="21"/>
                <w:lang w:val="en-US" w:eastAsia="zh-CN"/>
              </w:rPr>
              <w:t>09、</w:t>
            </w:r>
            <w:r>
              <w:rPr>
                <w:rFonts w:hint="eastAsia" w:ascii="Times New Roman" w:hAnsi="Times New Roman" w:eastAsia="仿宋_GB2312" w:cs="Times New Roman"/>
                <w:color w:val="auto"/>
                <w:sz w:val="21"/>
                <w:szCs w:val="21"/>
              </w:rPr>
              <w:t>E</w:t>
            </w:r>
            <w:r>
              <w:rPr>
                <w:rFonts w:hint="eastAsia" w:ascii="Times New Roman" w:hAnsi="Times New Roman" w:eastAsia="仿宋_GB2312" w:cs="Times New Roman"/>
                <w:color w:val="auto"/>
                <w:sz w:val="21"/>
                <w:szCs w:val="21"/>
                <w:lang w:val="en-US" w:eastAsia="zh-CN"/>
              </w:rPr>
              <w:t>19</w:t>
            </w:r>
            <w:r>
              <w:rPr>
                <w:rFonts w:hint="eastAsia" w:ascii="Times New Roman" w:hAnsi="Times New Roman" w:eastAsia="仿宋_GB2312" w:cs="Times New Roman"/>
                <w:color w:val="auto"/>
                <w:sz w:val="21"/>
                <w:szCs w:val="21"/>
              </w:rPr>
              <w:t>地块</w:t>
            </w:r>
          </w:p>
        </w:tc>
        <w:tc>
          <w:tcPr>
            <w:tcW w:w="1984" w:type="dxa"/>
            <w:vAlign w:val="center"/>
          </w:tcPr>
          <w:p>
            <w:pPr>
              <w:jc w:val="center"/>
              <w:rPr>
                <w:rFonts w:ascii="Times New Roman" w:hAnsi="Times New Roman" w:eastAsia="仿宋_GB2312" w:cs="Times New Roman"/>
                <w:color w:val="auto"/>
                <w:sz w:val="21"/>
                <w:szCs w:val="21"/>
              </w:rPr>
            </w:pPr>
            <w:r>
              <w:rPr>
                <w:rFonts w:hint="eastAsia" w:eastAsia="仿宋_GB2312"/>
                <w:color w:val="auto"/>
                <w:sz w:val="21"/>
                <w:szCs w:val="21"/>
              </w:rPr>
              <w:t>挖掘机或推土机推平</w:t>
            </w: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eastAsia="仿宋_GB2312"/>
                <w:color w:val="auto"/>
                <w:sz w:val="21"/>
                <w:szCs w:val="21"/>
              </w:rPr>
              <w:t>地块回填抬高地势至规划高程后</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17" w:hRule="atLeast"/>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182" w:type="dxa"/>
            <w:noWrap/>
            <w:tcMar>
              <w:top w:w="12" w:type="dxa"/>
              <w:left w:w="12" w:type="dxa"/>
              <w:right w:w="12" w:type="dxa"/>
            </w:tcMar>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雨水管</w:t>
            </w:r>
          </w:p>
        </w:tc>
        <w:tc>
          <w:tcPr>
            <w:tcW w:w="709" w:type="dxa"/>
            <w:noWrap/>
            <w:tcMar>
              <w:top w:w="12" w:type="dxa"/>
              <w:left w:w="12" w:type="dxa"/>
              <w:right w:w="12" w:type="dxa"/>
            </w:tcMar>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709" w:type="dxa"/>
            <w:noWrap/>
            <w:tcMar>
              <w:top w:w="12" w:type="dxa"/>
              <w:left w:w="12" w:type="dxa"/>
              <w:right w:w="12" w:type="dxa"/>
            </w:tcMar>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585</w:t>
            </w:r>
          </w:p>
        </w:tc>
        <w:tc>
          <w:tcPr>
            <w:tcW w:w="1701" w:type="dxa"/>
            <w:vMerge w:val="restart"/>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E11地块内</w:t>
            </w:r>
          </w:p>
        </w:tc>
        <w:tc>
          <w:tcPr>
            <w:tcW w:w="1984" w:type="dxa"/>
            <w:vAlign w:val="center"/>
          </w:tcPr>
          <w:p>
            <w:pPr>
              <w:jc w:val="center"/>
              <w:rPr>
                <w:rFonts w:eastAsia="仿宋_GB2312"/>
                <w:color w:val="auto"/>
                <w:sz w:val="21"/>
                <w:szCs w:val="21"/>
              </w:rPr>
            </w:pPr>
            <w:r>
              <w:rPr>
                <w:rFonts w:hint="eastAsia" w:eastAsia="仿宋_GB2312"/>
                <w:color w:val="auto"/>
                <w:sz w:val="21"/>
                <w:szCs w:val="21"/>
              </w:rPr>
              <w:t>/</w:t>
            </w:r>
          </w:p>
        </w:tc>
        <w:tc>
          <w:tcPr>
            <w:tcW w:w="1560" w:type="dxa"/>
            <w:vMerge w:val="restart"/>
            <w:noWrap/>
            <w:tcMar>
              <w:top w:w="12" w:type="dxa"/>
              <w:left w:w="12" w:type="dxa"/>
              <w:right w:w="12" w:type="dxa"/>
            </w:tcMar>
            <w:vAlign w:val="center"/>
          </w:tcPr>
          <w:p>
            <w:pPr>
              <w:jc w:val="center"/>
              <w:rPr>
                <w:rFonts w:eastAsia="仿宋_GB2312"/>
                <w:color w:val="auto"/>
                <w:sz w:val="21"/>
                <w:szCs w:val="21"/>
              </w:rPr>
            </w:pPr>
            <w:r>
              <w:rPr>
                <w:rFonts w:hint="eastAsia" w:eastAsia="仿宋_GB2312"/>
                <w:color w:val="auto"/>
                <w:sz w:val="21"/>
                <w:szCs w:val="21"/>
                <w:lang w:val="en-US" w:eastAsia="zh-CN"/>
              </w:rPr>
              <w:t>区域评估报告</w:t>
            </w:r>
            <w:r>
              <w:rPr>
                <w:rFonts w:hint="eastAsia" w:eastAsia="仿宋_GB2312"/>
                <w:color w:val="auto"/>
                <w:sz w:val="21"/>
                <w:szCs w:val="21"/>
              </w:rPr>
              <w:t>介入时已建设完成</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33" w:hRule="atLeast"/>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3</w:t>
            </w:r>
          </w:p>
        </w:tc>
        <w:tc>
          <w:tcPr>
            <w:tcW w:w="1182" w:type="dxa"/>
            <w:noWrap/>
            <w:tcMar>
              <w:top w:w="12" w:type="dxa"/>
              <w:left w:w="12" w:type="dxa"/>
              <w:right w:w="12" w:type="dxa"/>
            </w:tcMar>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雨水口</w:t>
            </w:r>
          </w:p>
        </w:tc>
        <w:tc>
          <w:tcPr>
            <w:tcW w:w="709" w:type="dxa"/>
            <w:noWrap/>
            <w:tcMar>
              <w:top w:w="12" w:type="dxa"/>
              <w:left w:w="12" w:type="dxa"/>
              <w:right w:w="12" w:type="dxa"/>
            </w:tcMar>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个</w:t>
            </w:r>
          </w:p>
        </w:tc>
        <w:tc>
          <w:tcPr>
            <w:tcW w:w="709" w:type="dxa"/>
            <w:noWrap/>
            <w:tcMar>
              <w:top w:w="12" w:type="dxa"/>
              <w:left w:w="12" w:type="dxa"/>
              <w:right w:w="12" w:type="dxa"/>
            </w:tcMar>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23</w:t>
            </w:r>
          </w:p>
        </w:tc>
        <w:tc>
          <w:tcPr>
            <w:tcW w:w="1701" w:type="dxa"/>
            <w:vMerge w:val="continue"/>
            <w:vAlign w:val="center"/>
          </w:tcPr>
          <w:p>
            <w:pPr>
              <w:jc w:val="center"/>
              <w:rPr>
                <w:rFonts w:ascii="Times New Roman" w:hAnsi="Times New Roman" w:eastAsia="仿宋_GB2312" w:cs="Times New Roman"/>
                <w:color w:val="auto"/>
                <w:sz w:val="21"/>
                <w:szCs w:val="21"/>
              </w:rPr>
            </w:pPr>
          </w:p>
        </w:tc>
        <w:tc>
          <w:tcPr>
            <w:tcW w:w="1984" w:type="dxa"/>
            <w:vAlign w:val="center"/>
          </w:tcPr>
          <w:p>
            <w:pPr>
              <w:jc w:val="center"/>
              <w:rPr>
                <w:rFonts w:eastAsia="仿宋_GB2312"/>
                <w:color w:val="auto"/>
                <w:sz w:val="21"/>
                <w:szCs w:val="21"/>
              </w:rPr>
            </w:pPr>
            <w:r>
              <w:rPr>
                <w:rFonts w:hint="eastAsia" w:eastAsia="仿宋_GB2312"/>
                <w:color w:val="auto"/>
                <w:sz w:val="21"/>
                <w:szCs w:val="21"/>
              </w:rPr>
              <w:t>/</w:t>
            </w:r>
          </w:p>
        </w:tc>
        <w:tc>
          <w:tcPr>
            <w:tcW w:w="1560" w:type="dxa"/>
            <w:vMerge w:val="continue"/>
            <w:noWrap/>
            <w:tcMar>
              <w:top w:w="12" w:type="dxa"/>
              <w:left w:w="12" w:type="dxa"/>
              <w:right w:w="12" w:type="dxa"/>
            </w:tcMar>
            <w:vAlign w:val="center"/>
          </w:tcPr>
          <w:p>
            <w:pPr>
              <w:jc w:val="center"/>
              <w:rPr>
                <w:rFonts w:eastAsia="仿宋_GB2312"/>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90" w:hRule="atLeast"/>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4</w:t>
            </w:r>
          </w:p>
        </w:tc>
        <w:tc>
          <w:tcPr>
            <w:tcW w:w="1182" w:type="dxa"/>
            <w:noWrap/>
            <w:tcMar>
              <w:top w:w="12" w:type="dxa"/>
              <w:left w:w="12" w:type="dxa"/>
              <w:right w:w="12" w:type="dxa"/>
            </w:tcMar>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雨水井</w:t>
            </w:r>
          </w:p>
        </w:tc>
        <w:tc>
          <w:tcPr>
            <w:tcW w:w="709" w:type="dxa"/>
            <w:noWrap/>
            <w:tcMar>
              <w:top w:w="12" w:type="dxa"/>
              <w:left w:w="12" w:type="dxa"/>
              <w:right w:w="12" w:type="dxa"/>
            </w:tcMar>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个</w:t>
            </w:r>
          </w:p>
        </w:tc>
        <w:tc>
          <w:tcPr>
            <w:tcW w:w="709" w:type="dxa"/>
            <w:noWrap/>
            <w:tcMar>
              <w:top w:w="12" w:type="dxa"/>
              <w:left w:w="12" w:type="dxa"/>
              <w:right w:w="12" w:type="dxa"/>
            </w:tcMar>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12</w:t>
            </w:r>
          </w:p>
        </w:tc>
        <w:tc>
          <w:tcPr>
            <w:tcW w:w="1701" w:type="dxa"/>
            <w:vMerge w:val="continue"/>
            <w:vAlign w:val="center"/>
          </w:tcPr>
          <w:p>
            <w:pPr>
              <w:jc w:val="center"/>
              <w:rPr>
                <w:rFonts w:ascii="Times New Roman" w:hAnsi="Times New Roman" w:eastAsia="仿宋_GB2312" w:cs="Times New Roman"/>
                <w:color w:val="auto"/>
                <w:sz w:val="21"/>
                <w:szCs w:val="21"/>
              </w:rPr>
            </w:pPr>
          </w:p>
        </w:tc>
        <w:tc>
          <w:tcPr>
            <w:tcW w:w="1984" w:type="dxa"/>
            <w:vAlign w:val="center"/>
          </w:tcPr>
          <w:p>
            <w:pPr>
              <w:jc w:val="center"/>
              <w:rPr>
                <w:rFonts w:eastAsia="仿宋_GB2312"/>
                <w:color w:val="auto"/>
                <w:sz w:val="21"/>
                <w:szCs w:val="21"/>
              </w:rPr>
            </w:pPr>
            <w:r>
              <w:rPr>
                <w:rFonts w:hint="eastAsia" w:eastAsia="仿宋_GB2312"/>
                <w:color w:val="auto"/>
                <w:sz w:val="21"/>
                <w:szCs w:val="21"/>
              </w:rPr>
              <w:t>/</w:t>
            </w:r>
          </w:p>
        </w:tc>
        <w:tc>
          <w:tcPr>
            <w:tcW w:w="1560" w:type="dxa"/>
            <w:vMerge w:val="continue"/>
            <w:noWrap/>
            <w:tcMar>
              <w:top w:w="12" w:type="dxa"/>
              <w:left w:w="12" w:type="dxa"/>
              <w:right w:w="12" w:type="dxa"/>
            </w:tcMar>
            <w:vAlign w:val="center"/>
          </w:tcPr>
          <w:p>
            <w:pPr>
              <w:jc w:val="center"/>
              <w:rPr>
                <w:rFonts w:eastAsia="仿宋_GB2312"/>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65" w:hRule="atLeast"/>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二</w:t>
            </w:r>
          </w:p>
        </w:tc>
        <w:tc>
          <w:tcPr>
            <w:tcW w:w="1182"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植物措施</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1701" w:type="dxa"/>
            <w:vAlign w:val="center"/>
          </w:tcPr>
          <w:p>
            <w:pPr>
              <w:jc w:val="center"/>
              <w:rPr>
                <w:rFonts w:ascii="Times New Roman" w:hAnsi="Times New Roman" w:eastAsia="仿宋_GB2312" w:cs="Times New Roman"/>
                <w:color w:val="auto"/>
                <w:sz w:val="21"/>
                <w:szCs w:val="21"/>
              </w:rPr>
            </w:pPr>
          </w:p>
        </w:tc>
        <w:tc>
          <w:tcPr>
            <w:tcW w:w="1984" w:type="dxa"/>
            <w:vAlign w:val="center"/>
          </w:tcPr>
          <w:p>
            <w:pPr>
              <w:jc w:val="center"/>
              <w:rPr>
                <w:rFonts w:ascii="Times New Roman" w:hAnsi="Times New Roman" w:eastAsia="仿宋_GB2312" w:cs="Times New Roman"/>
                <w:color w:val="auto"/>
                <w:sz w:val="21"/>
                <w:szCs w:val="21"/>
              </w:rPr>
            </w:pP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厂区绿化</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vertAlign w:val="superscript"/>
              </w:rPr>
            </w:pPr>
            <w:r>
              <w:rPr>
                <w:rFonts w:hint="eastAsia" w:ascii="Times New Roman" w:hAnsi="Times New Roman" w:eastAsia="仿宋_GB2312" w:cs="Times New Roman"/>
                <w:color w:val="auto"/>
                <w:kern w:val="0"/>
                <w:sz w:val="21"/>
                <w:szCs w:val="21"/>
              </w:rPr>
              <w:t>hm</w:t>
            </w:r>
            <w:r>
              <w:rPr>
                <w:rFonts w:hint="eastAsia" w:ascii="Times New Roman" w:hAnsi="Times New Roman" w:eastAsia="仿宋_GB2312" w:cs="Times New Roman"/>
                <w:color w:val="auto"/>
                <w:kern w:val="0"/>
                <w:sz w:val="21"/>
                <w:szCs w:val="21"/>
                <w:vertAlign w:val="superscript"/>
              </w:rPr>
              <w:t>2</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0.02</w:t>
            </w:r>
          </w:p>
        </w:tc>
        <w:tc>
          <w:tcPr>
            <w:tcW w:w="1701"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E11地块内</w:t>
            </w:r>
          </w:p>
        </w:tc>
        <w:tc>
          <w:tcPr>
            <w:tcW w:w="1984" w:type="dxa"/>
            <w:vAlign w:val="center"/>
          </w:tcPr>
          <w:p>
            <w:pPr>
              <w:jc w:val="center"/>
              <w:rPr>
                <w:rFonts w:ascii="Times New Roman" w:hAnsi="Times New Roman" w:eastAsia="仿宋_GB2312" w:cs="Times New Roman"/>
                <w:color w:val="auto"/>
                <w:sz w:val="21"/>
                <w:szCs w:val="21"/>
              </w:rPr>
            </w:pPr>
            <w:r>
              <w:rPr>
                <w:rFonts w:hint="eastAsia" w:eastAsia="仿宋_GB2312"/>
                <w:color w:val="auto"/>
                <w:sz w:val="21"/>
                <w:szCs w:val="21"/>
              </w:rPr>
              <w:t>/</w:t>
            </w: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eastAsia="仿宋_GB2312"/>
                <w:color w:val="auto"/>
                <w:sz w:val="21"/>
                <w:szCs w:val="21"/>
                <w:lang w:val="en-US" w:eastAsia="zh-CN"/>
              </w:rPr>
              <w:t>区域评估报告</w:t>
            </w:r>
            <w:r>
              <w:rPr>
                <w:rFonts w:hint="eastAsia" w:eastAsia="仿宋_GB2312"/>
                <w:color w:val="auto"/>
                <w:sz w:val="21"/>
                <w:szCs w:val="21"/>
              </w:rPr>
              <w:t>介入时已建设完成</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撒播草籽</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hm</w:t>
            </w:r>
            <w:r>
              <w:rPr>
                <w:rFonts w:ascii="Times New Roman" w:hAnsi="Times New Roman" w:eastAsia="仿宋_GB2312" w:cs="Times New Roman"/>
                <w:color w:val="auto"/>
                <w:kern w:val="0"/>
                <w:sz w:val="21"/>
                <w:szCs w:val="21"/>
                <w:vertAlign w:val="superscript"/>
              </w:rPr>
              <w:t>2</w:t>
            </w:r>
          </w:p>
        </w:tc>
        <w:tc>
          <w:tcPr>
            <w:tcW w:w="709" w:type="dxa"/>
            <w:noWrap/>
            <w:tcMar>
              <w:top w:w="12" w:type="dxa"/>
              <w:left w:w="12" w:type="dxa"/>
              <w:right w:w="12" w:type="dxa"/>
            </w:tcMar>
            <w:vAlign w:val="center"/>
          </w:tcPr>
          <w:p>
            <w:pPr>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8.05</w:t>
            </w:r>
          </w:p>
        </w:tc>
        <w:tc>
          <w:tcPr>
            <w:tcW w:w="1701"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E</w:t>
            </w:r>
            <w:r>
              <w:rPr>
                <w:rFonts w:hint="eastAsia" w:ascii="Times New Roman" w:hAnsi="Times New Roman" w:eastAsia="仿宋_GB2312" w:cs="Times New Roman"/>
                <w:color w:val="auto"/>
                <w:sz w:val="21"/>
                <w:szCs w:val="21"/>
                <w:lang w:val="en-US" w:eastAsia="zh-CN"/>
              </w:rPr>
              <w:t>09、</w:t>
            </w:r>
            <w:r>
              <w:rPr>
                <w:rFonts w:hint="eastAsia" w:ascii="Times New Roman" w:hAnsi="Times New Roman" w:eastAsia="仿宋_GB2312" w:cs="Times New Roman"/>
                <w:color w:val="auto"/>
                <w:sz w:val="21"/>
                <w:szCs w:val="21"/>
              </w:rPr>
              <w:t>E</w:t>
            </w:r>
            <w:r>
              <w:rPr>
                <w:rFonts w:hint="eastAsia" w:ascii="Times New Roman" w:hAnsi="Times New Roman" w:eastAsia="仿宋_GB2312" w:cs="Times New Roman"/>
                <w:color w:val="auto"/>
                <w:sz w:val="21"/>
                <w:szCs w:val="21"/>
                <w:lang w:val="en-US" w:eastAsia="zh-CN"/>
              </w:rPr>
              <w:t>19</w:t>
            </w:r>
            <w:r>
              <w:rPr>
                <w:rFonts w:hint="eastAsia" w:ascii="Times New Roman" w:hAnsi="Times New Roman" w:eastAsia="仿宋_GB2312" w:cs="Times New Roman"/>
                <w:color w:val="auto"/>
                <w:sz w:val="21"/>
                <w:szCs w:val="21"/>
              </w:rPr>
              <w:t>地块</w:t>
            </w:r>
          </w:p>
        </w:tc>
        <w:tc>
          <w:tcPr>
            <w:tcW w:w="198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混合草籽，撒播，80</w:t>
            </w:r>
            <w:r>
              <w:rPr>
                <w:rFonts w:ascii="Times New Roman" w:hAnsi="Times New Roman" w:eastAsia="仿宋_GB2312" w:cs="Times New Roman"/>
                <w:color w:val="auto"/>
                <w:sz w:val="21"/>
                <w:szCs w:val="21"/>
              </w:rPr>
              <w:t>kg/hm</w:t>
            </w:r>
            <w:r>
              <w:rPr>
                <w:rFonts w:ascii="Times New Roman" w:hAnsi="Times New Roman" w:eastAsia="仿宋_GB2312" w:cs="Times New Roman"/>
                <w:color w:val="auto"/>
                <w:sz w:val="21"/>
                <w:szCs w:val="21"/>
                <w:vertAlign w:val="superscript"/>
              </w:rPr>
              <w:t>2</w:t>
            </w: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春</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冬季</w:t>
            </w:r>
          </w:p>
        </w:tc>
      </w:tr>
    </w:tbl>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（2）在建工程防治区</w:t>
      </w:r>
    </w:p>
    <w:p>
      <w:pPr>
        <w:widowControl/>
        <w:snapToGrid w:val="0"/>
        <w:spacing w:line="360" w:lineRule="auto"/>
        <w:ind w:firstLine="480" w:firstLineChars="200"/>
        <w:jc w:val="left"/>
        <w:rPr>
          <w:rFonts w:hint="eastAsia" w:ascii="Times New Roman" w:hAnsi="Times New Roman" w:eastAsia="仿宋_GB2312" w:cs="Times New Roman"/>
          <w:color w:val="auto"/>
          <w:szCs w:val="24"/>
        </w:rPr>
      </w:pPr>
      <w:r>
        <w:rPr>
          <w:rFonts w:hint="eastAsia" w:ascii="Times New Roman" w:hAnsi="Times New Roman" w:eastAsia="仿宋_GB2312" w:cs="Times New Roman"/>
          <w:color w:val="auto"/>
          <w:szCs w:val="24"/>
        </w:rPr>
        <w:t>在建工程区防治区</w:t>
      </w:r>
      <w:r>
        <w:rPr>
          <w:rFonts w:ascii="Times New Roman" w:hAnsi="Times New Roman" w:eastAsia="仿宋_GB2312"/>
          <w:color w:val="auto"/>
        </w:rPr>
        <w:t>具有水土保持功能措施主要有土地整治工程</w:t>
      </w:r>
      <w:r>
        <w:rPr>
          <w:rFonts w:hint="eastAsia" w:ascii="Times New Roman" w:hAnsi="Times New Roman" w:eastAsia="仿宋_GB2312"/>
          <w:color w:val="auto"/>
        </w:rPr>
        <w:t>、</w:t>
      </w:r>
      <w:r>
        <w:rPr>
          <w:rFonts w:ascii="Times New Roman" w:hAnsi="Times New Roman" w:eastAsia="仿宋_GB2312"/>
          <w:color w:val="auto"/>
        </w:rPr>
        <w:t>雨水排水工程</w:t>
      </w:r>
      <w:r>
        <w:rPr>
          <w:rFonts w:hint="eastAsia" w:ascii="Times New Roman" w:hAnsi="Times New Roman" w:eastAsia="仿宋_GB2312"/>
          <w:color w:val="auto"/>
        </w:rPr>
        <w:t>、</w:t>
      </w:r>
      <w:r>
        <w:rPr>
          <w:rFonts w:ascii="Times New Roman" w:hAnsi="Times New Roman" w:eastAsia="仿宋_GB2312"/>
          <w:color w:val="auto"/>
        </w:rPr>
        <w:t>绿化工程</w:t>
      </w:r>
      <w:r>
        <w:rPr>
          <w:rFonts w:hint="eastAsia" w:ascii="Times New Roman" w:hAnsi="Times New Roman" w:eastAsia="仿宋_GB2312"/>
          <w:color w:val="auto"/>
        </w:rPr>
        <w:t>和临时防护工程</w:t>
      </w:r>
      <w:r>
        <w:rPr>
          <w:rFonts w:ascii="Times New Roman" w:hAnsi="Times New Roman" w:eastAsia="仿宋_GB2312"/>
          <w:color w:val="auto"/>
        </w:rPr>
        <w:t>。</w:t>
      </w:r>
      <w:r>
        <w:rPr>
          <w:rFonts w:hint="eastAsia" w:ascii="Times New Roman" w:hAnsi="Times New Roman" w:eastAsia="仿宋_GB2312" w:cs="Times New Roman"/>
          <w:color w:val="auto"/>
          <w:szCs w:val="24"/>
        </w:rPr>
        <w:t>在建工程区的水土保持措施是纳入已批复的南昌电子信息（LED）产业创新示范园（二期）一组团项目水土保持方案的水土保持措防治体系中，本评估</w:t>
      </w:r>
      <w:r>
        <w:rPr>
          <w:rFonts w:hint="eastAsia" w:ascii="Times New Roman" w:hAnsi="Times New Roman" w:eastAsia="仿宋_GB2312" w:cs="Times New Roman"/>
          <w:color w:val="auto"/>
          <w:szCs w:val="24"/>
          <w:lang w:eastAsia="zh-CN"/>
        </w:rPr>
        <w:t>报告</w:t>
      </w:r>
      <w:r>
        <w:rPr>
          <w:rFonts w:hint="eastAsia" w:ascii="Times New Roman" w:hAnsi="Times New Roman" w:eastAsia="仿宋_GB2312" w:cs="Times New Roman"/>
          <w:color w:val="auto"/>
          <w:szCs w:val="24"/>
        </w:rPr>
        <w:t>只对其进行水土评价及工程量说明，</w:t>
      </w:r>
      <w:r>
        <w:rPr>
          <w:rFonts w:hint="eastAsia" w:ascii="Times New Roman" w:hAnsi="Times New Roman" w:eastAsia="仿宋_GB2312"/>
          <w:color w:val="auto"/>
          <w:lang w:eastAsia="zh-CN"/>
        </w:rPr>
        <w:t>详见本评估报告的章节</w:t>
      </w:r>
      <w:r>
        <w:rPr>
          <w:rFonts w:hint="eastAsia" w:ascii="Times New Roman" w:hAnsi="Times New Roman" w:eastAsia="仿宋_GB2312"/>
          <w:color w:val="auto"/>
          <w:lang w:val="en-US" w:eastAsia="zh-CN"/>
        </w:rPr>
        <w:t>3.2.7</w:t>
      </w:r>
      <w:r>
        <w:rPr>
          <w:rFonts w:eastAsia="仿宋_GB2312"/>
          <w:bCs w:val="0"/>
          <w:color w:val="auto"/>
          <w:szCs w:val="30"/>
        </w:rPr>
        <w:t>主体设计中具有水土保持功能工程的评价</w:t>
      </w:r>
      <w:r>
        <w:rPr>
          <w:rFonts w:hint="eastAsia" w:eastAsia="仿宋_GB2312"/>
          <w:bCs w:val="0"/>
          <w:color w:val="auto"/>
          <w:szCs w:val="30"/>
          <w:lang w:eastAsia="zh-CN"/>
        </w:rPr>
        <w:t>，故</w:t>
      </w:r>
      <w:r>
        <w:rPr>
          <w:rFonts w:hint="eastAsia" w:ascii="Times New Roman" w:hAnsi="Times New Roman" w:eastAsia="仿宋_GB2312" w:cs="Times New Roman"/>
          <w:color w:val="auto"/>
          <w:szCs w:val="24"/>
        </w:rPr>
        <w:t>不纳入本评估</w:t>
      </w:r>
      <w:r>
        <w:rPr>
          <w:rFonts w:hint="eastAsia" w:ascii="Times New Roman" w:hAnsi="Times New Roman" w:eastAsia="仿宋_GB2312" w:cs="Times New Roman"/>
          <w:color w:val="auto"/>
          <w:szCs w:val="24"/>
          <w:lang w:eastAsia="zh-CN"/>
        </w:rPr>
        <w:t>报告</w:t>
      </w:r>
      <w:r>
        <w:rPr>
          <w:rFonts w:hint="eastAsia" w:ascii="Times New Roman" w:hAnsi="Times New Roman" w:eastAsia="仿宋_GB2312" w:cs="Times New Roman"/>
          <w:color w:val="auto"/>
          <w:szCs w:val="24"/>
        </w:rPr>
        <w:t>措施体系。</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w:t>
      </w:r>
      <w:r>
        <w:rPr>
          <w:rFonts w:hint="eastAsia" w:ascii="Times New Roman" w:hAnsi="Times New Roman" w:eastAsia="仿宋_GB2312" w:cs="Times New Roman"/>
          <w:color w:val="auto"/>
          <w:szCs w:val="24"/>
          <w:lang w:val="en-US" w:eastAsia="zh-CN"/>
        </w:rPr>
        <w:t>3</w:t>
      </w:r>
      <w:r>
        <w:rPr>
          <w:rFonts w:hint="eastAsia" w:ascii="Times New Roman" w:hAnsi="Times New Roman" w:eastAsia="仿宋_GB2312" w:cs="Times New Roman"/>
          <w:color w:val="auto"/>
          <w:szCs w:val="24"/>
        </w:rPr>
        <w:t>）待建工程防治区</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施工前对场地内有表土的区域进行表土剥离保护，剥离出的表土集中堆放在临时</w:t>
      </w:r>
      <w:r>
        <w:rPr>
          <w:rFonts w:hint="eastAsia" w:ascii="Times New Roman" w:hAnsi="Times New Roman" w:eastAsia="仿宋_GB2312" w:cs="Times New Roman"/>
          <w:color w:val="auto"/>
          <w:szCs w:val="24"/>
        </w:rPr>
        <w:t>表土</w:t>
      </w:r>
      <w:r>
        <w:rPr>
          <w:rFonts w:ascii="Times New Roman" w:hAnsi="Times New Roman" w:eastAsia="仿宋_GB2312" w:cs="Times New Roman"/>
          <w:color w:val="auto"/>
          <w:szCs w:val="24"/>
        </w:rPr>
        <w:t>堆场内，后期临时堆置的表土用于周边绿化区域回填。</w:t>
      </w:r>
      <w:r>
        <w:rPr>
          <w:rFonts w:hint="eastAsia" w:ascii="Times New Roman" w:hAnsi="Times New Roman" w:eastAsia="仿宋_GB2312" w:cs="Times New Roman"/>
          <w:color w:val="auto"/>
          <w:szCs w:val="24"/>
          <w:lang w:eastAsia="zh-CN"/>
        </w:rPr>
        <w:t>施</w:t>
      </w:r>
      <w:r>
        <w:rPr>
          <w:rFonts w:ascii="Times New Roman" w:hAnsi="Times New Roman" w:eastAsia="仿宋_GB2312"/>
          <w:color w:val="auto"/>
        </w:rPr>
        <w:t>工期间，在场地周边直接开挖土质排水沟组织场地雨水走</w:t>
      </w:r>
      <w:r>
        <w:rPr>
          <w:rFonts w:hint="eastAsia" w:ascii="Times New Roman" w:hAnsi="Times New Roman" w:eastAsia="仿宋_GB2312"/>
          <w:color w:val="auto"/>
        </w:rPr>
        <w:t>向，并沿排水沟布设沉沙池，雨水经沉沙后排水周边沟渠或水系。施工后期，待场地整平后，区域内地表裸露，对裸露区域实施临时苫盖。</w:t>
      </w:r>
      <w:r>
        <w:rPr>
          <w:rFonts w:ascii="Times New Roman" w:hAnsi="Times New Roman" w:eastAsia="仿宋_GB2312" w:cs="Times New Roman"/>
          <w:color w:val="auto"/>
          <w:kern w:val="0"/>
          <w:szCs w:val="24"/>
        </w:rPr>
        <w:t>场地五通一平后，本</w:t>
      </w:r>
      <w:r>
        <w:rPr>
          <w:rFonts w:hint="eastAsia" w:ascii="Times New Roman" w:hAnsi="Times New Roman" w:eastAsia="仿宋_GB2312" w:cs="Times New Roman"/>
          <w:color w:val="auto"/>
          <w:kern w:val="0"/>
          <w:szCs w:val="24"/>
          <w:lang w:val="en-US" w:eastAsia="zh-CN"/>
        </w:rPr>
        <w:t>区域评估报告</w:t>
      </w:r>
      <w:r>
        <w:rPr>
          <w:rFonts w:ascii="Times New Roman" w:hAnsi="Times New Roman" w:eastAsia="仿宋_GB2312" w:cs="Times New Roman"/>
          <w:color w:val="auto"/>
          <w:kern w:val="0"/>
          <w:szCs w:val="24"/>
        </w:rPr>
        <w:t>对裸露区域实施撒播草籽</w:t>
      </w:r>
      <w:r>
        <w:rPr>
          <w:rFonts w:ascii="Times New Roman" w:hAnsi="Times New Roman" w:eastAsia="仿宋_GB2312" w:cs="Times New Roman"/>
          <w:color w:val="auto"/>
          <w:szCs w:val="24"/>
        </w:rPr>
        <w:t>。</w:t>
      </w:r>
    </w:p>
    <w:p>
      <w:pPr>
        <w:pStyle w:val="2"/>
        <w:rPr>
          <w:rFonts w:ascii="Times New Roman" w:hAnsi="Times New Roman" w:eastAsia="仿宋_GB2312" w:cs="Times New Roman"/>
          <w:color w:val="auto"/>
          <w:szCs w:val="24"/>
        </w:rPr>
      </w:pPr>
    </w:p>
    <w:p>
      <w:pPr>
        <w:pStyle w:val="2"/>
        <w:rPr>
          <w:rFonts w:ascii="Times New Roman" w:hAnsi="Times New Roman" w:eastAsia="仿宋_GB2312" w:cs="Times New Roman"/>
          <w:color w:val="auto"/>
          <w:szCs w:val="24"/>
        </w:rPr>
      </w:pPr>
    </w:p>
    <w:p>
      <w:pPr>
        <w:pStyle w:val="2"/>
        <w:rPr>
          <w:rFonts w:ascii="Times New Roman" w:hAnsi="Times New Roman" w:eastAsia="仿宋_GB2312" w:cs="Times New Roman"/>
          <w:color w:val="auto"/>
          <w:szCs w:val="24"/>
        </w:rPr>
      </w:pPr>
    </w:p>
    <w:p>
      <w:pPr>
        <w:widowControl/>
        <w:snapToGrid w:val="0"/>
        <w:spacing w:line="360" w:lineRule="auto"/>
        <w:jc w:val="center"/>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表</w:t>
      </w:r>
      <w:r>
        <w:rPr>
          <w:rFonts w:ascii="Times New Roman" w:hAnsi="Times New Roman" w:eastAsia="仿宋_GB2312" w:cs="Times New Roman"/>
          <w:b/>
          <w:color w:val="auto"/>
          <w:szCs w:val="24"/>
        </w:rPr>
        <w:t>1</w:t>
      </w:r>
      <w:r>
        <w:rPr>
          <w:rFonts w:hint="eastAsia" w:ascii="Times New Roman" w:hAnsi="Times New Roman" w:eastAsia="仿宋_GB2312" w:cs="Times New Roman"/>
          <w:b/>
          <w:color w:val="auto"/>
          <w:szCs w:val="24"/>
        </w:rPr>
        <w:t>.</w:t>
      </w:r>
      <w:r>
        <w:rPr>
          <w:rFonts w:ascii="Times New Roman" w:hAnsi="Times New Roman" w:eastAsia="仿宋_GB2312" w:cs="Times New Roman"/>
          <w:b/>
          <w:color w:val="auto"/>
          <w:szCs w:val="24"/>
        </w:rPr>
        <w:t>8-</w:t>
      </w:r>
      <w:r>
        <w:rPr>
          <w:rFonts w:hint="eastAsia" w:ascii="Times New Roman" w:hAnsi="Times New Roman" w:eastAsia="仿宋_GB2312" w:cs="Times New Roman"/>
          <w:b/>
          <w:color w:val="auto"/>
          <w:szCs w:val="24"/>
        </w:rPr>
        <w:t>5</w:t>
      </w:r>
      <w:r>
        <w:rPr>
          <w:rFonts w:ascii="Times New Roman" w:hAnsi="Times New Roman" w:eastAsia="仿宋_GB2312" w:cs="Times New Roman"/>
          <w:b/>
          <w:color w:val="auto"/>
          <w:szCs w:val="24"/>
        </w:rPr>
        <w:t>：</w:t>
      </w:r>
      <w:r>
        <w:rPr>
          <w:rFonts w:hint="eastAsia" w:ascii="Times New Roman" w:hAnsi="Times New Roman" w:eastAsia="仿宋_GB2312" w:cs="Times New Roman"/>
          <w:b/>
          <w:color w:val="auto"/>
          <w:szCs w:val="24"/>
        </w:rPr>
        <w:t>待建工程防治区</w:t>
      </w:r>
      <w:r>
        <w:rPr>
          <w:rFonts w:ascii="Times New Roman" w:hAnsi="Times New Roman" w:eastAsia="仿宋_GB2312" w:cs="Times New Roman"/>
          <w:b/>
          <w:color w:val="auto"/>
          <w:szCs w:val="24"/>
        </w:rPr>
        <w:t>措施布设表</w:t>
      </w:r>
    </w:p>
    <w:tbl>
      <w:tblPr>
        <w:tblStyle w:val="37"/>
        <w:tblW w:w="8423"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578"/>
        <w:gridCol w:w="1182"/>
        <w:gridCol w:w="709"/>
        <w:gridCol w:w="709"/>
        <w:gridCol w:w="1701"/>
        <w:gridCol w:w="1984"/>
        <w:gridCol w:w="156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序号</w:t>
            </w:r>
          </w:p>
        </w:tc>
        <w:tc>
          <w:tcPr>
            <w:tcW w:w="1182"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hint="eastAsia" w:ascii="Times New Roman" w:hAnsi="Times New Roman" w:eastAsia="仿宋_GB2312" w:cs="Times New Roman"/>
                <w:b/>
                <w:color w:val="auto"/>
                <w:kern w:val="0"/>
                <w:sz w:val="21"/>
                <w:szCs w:val="21"/>
                <w:lang w:val="en-US" w:eastAsia="zh-CN"/>
              </w:rPr>
              <w:t>措施</w:t>
            </w:r>
            <w:r>
              <w:rPr>
                <w:rFonts w:ascii="Times New Roman" w:hAnsi="Times New Roman" w:eastAsia="仿宋_GB2312" w:cs="Times New Roman"/>
                <w:b/>
                <w:color w:val="auto"/>
                <w:kern w:val="0"/>
                <w:sz w:val="21"/>
                <w:szCs w:val="21"/>
              </w:rPr>
              <w:t>名称</w:t>
            </w:r>
          </w:p>
        </w:tc>
        <w:tc>
          <w:tcPr>
            <w:tcW w:w="709"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单位</w:t>
            </w:r>
          </w:p>
        </w:tc>
        <w:tc>
          <w:tcPr>
            <w:tcW w:w="709"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工程量</w:t>
            </w:r>
          </w:p>
        </w:tc>
        <w:tc>
          <w:tcPr>
            <w:tcW w:w="1701" w:type="dxa"/>
            <w:vAlign w:val="center"/>
          </w:tcPr>
          <w:p>
            <w:pPr>
              <w:widowControl/>
              <w:jc w:val="center"/>
              <w:textAlignment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布设位置</w:t>
            </w:r>
          </w:p>
        </w:tc>
        <w:tc>
          <w:tcPr>
            <w:tcW w:w="1984" w:type="dxa"/>
            <w:vAlign w:val="center"/>
          </w:tcPr>
          <w:p>
            <w:pPr>
              <w:widowControl/>
              <w:jc w:val="center"/>
              <w:textAlignment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结构形式</w:t>
            </w:r>
          </w:p>
        </w:tc>
        <w:tc>
          <w:tcPr>
            <w:tcW w:w="1560"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布设时间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一</w:t>
            </w:r>
          </w:p>
        </w:tc>
        <w:tc>
          <w:tcPr>
            <w:tcW w:w="1182"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工程措施</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1701" w:type="dxa"/>
            <w:vAlign w:val="center"/>
          </w:tcPr>
          <w:p>
            <w:pPr>
              <w:jc w:val="center"/>
              <w:rPr>
                <w:rFonts w:ascii="Times New Roman" w:hAnsi="Times New Roman" w:eastAsia="仿宋_GB2312" w:cs="Times New Roman"/>
                <w:color w:val="auto"/>
                <w:sz w:val="21"/>
                <w:szCs w:val="21"/>
              </w:rPr>
            </w:pPr>
          </w:p>
        </w:tc>
        <w:tc>
          <w:tcPr>
            <w:tcW w:w="1984" w:type="dxa"/>
            <w:vAlign w:val="center"/>
          </w:tcPr>
          <w:p>
            <w:pPr>
              <w:jc w:val="center"/>
              <w:rPr>
                <w:rFonts w:ascii="Times New Roman" w:hAnsi="Times New Roman" w:eastAsia="仿宋_GB2312" w:cs="Times New Roman"/>
                <w:color w:val="auto"/>
                <w:sz w:val="21"/>
                <w:szCs w:val="21"/>
              </w:rPr>
            </w:pP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bCs/>
                <w:color w:val="auto"/>
                <w:kern w:val="0"/>
                <w:sz w:val="21"/>
                <w:szCs w:val="21"/>
              </w:rPr>
            </w:pPr>
            <w:r>
              <w:rPr>
                <w:rFonts w:ascii="Times New Roman" w:hAnsi="Times New Roman" w:eastAsia="仿宋_GB2312" w:cs="Times New Roman"/>
                <w:bCs/>
                <w:color w:val="auto"/>
                <w:kern w:val="0"/>
                <w:sz w:val="21"/>
                <w:szCs w:val="21"/>
              </w:rPr>
              <w:t>表土剥离</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万m</w:t>
            </w:r>
            <w:r>
              <w:rPr>
                <w:rFonts w:ascii="Times New Roman" w:hAnsi="Times New Roman" w:eastAsia="仿宋_GB2312" w:cs="Times New Roman"/>
                <w:color w:val="auto"/>
                <w:kern w:val="0"/>
                <w:sz w:val="21"/>
                <w:szCs w:val="21"/>
                <w:vertAlign w:val="superscript"/>
              </w:rPr>
              <w:t>3</w:t>
            </w:r>
          </w:p>
        </w:tc>
        <w:tc>
          <w:tcPr>
            <w:tcW w:w="709" w:type="dxa"/>
            <w:noWrap/>
            <w:tcMar>
              <w:top w:w="12" w:type="dxa"/>
              <w:left w:w="12" w:type="dxa"/>
              <w:right w:w="12" w:type="dxa"/>
            </w:tcMar>
            <w:vAlign w:val="center"/>
          </w:tcPr>
          <w:p>
            <w:pPr>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rPr>
              <w:t>0.</w:t>
            </w:r>
            <w:r>
              <w:rPr>
                <w:rFonts w:hint="eastAsia" w:ascii="Times New Roman" w:hAnsi="Times New Roman" w:eastAsia="仿宋_GB2312" w:cs="Times New Roman"/>
                <w:color w:val="auto"/>
                <w:sz w:val="21"/>
                <w:szCs w:val="21"/>
                <w:lang w:val="en-US" w:eastAsia="zh-CN"/>
              </w:rPr>
              <w:t>28</w:t>
            </w:r>
          </w:p>
        </w:tc>
        <w:tc>
          <w:tcPr>
            <w:tcW w:w="1701"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施工区域内有可剥离表土区域</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剥离厚度</w:t>
            </w:r>
            <w:r>
              <w:rPr>
                <w:rFonts w:hint="eastAsia" w:ascii="Times New Roman" w:hAnsi="Times New Roman" w:eastAsia="仿宋_GB2312" w:cs="Times New Roman"/>
                <w:color w:val="auto"/>
                <w:sz w:val="21"/>
                <w:szCs w:val="21"/>
              </w:rPr>
              <w:t>0.2m~0.3m</w:t>
            </w: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施工扰动前</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bCs/>
                <w:color w:val="auto"/>
                <w:kern w:val="0"/>
                <w:sz w:val="21"/>
                <w:szCs w:val="21"/>
              </w:rPr>
            </w:pPr>
            <w:r>
              <w:rPr>
                <w:rFonts w:hint="eastAsia" w:ascii="Times New Roman" w:hAnsi="Times New Roman" w:eastAsia="仿宋_GB2312" w:cs="Times New Roman"/>
                <w:bCs/>
                <w:color w:val="auto"/>
                <w:kern w:val="0"/>
                <w:sz w:val="21"/>
                <w:szCs w:val="21"/>
              </w:rPr>
              <w:t>场地</w:t>
            </w:r>
            <w:r>
              <w:rPr>
                <w:rFonts w:ascii="Times New Roman" w:hAnsi="Times New Roman" w:eastAsia="仿宋_GB2312" w:cs="Times New Roman"/>
                <w:bCs/>
                <w:color w:val="auto"/>
                <w:kern w:val="0"/>
                <w:sz w:val="21"/>
                <w:szCs w:val="21"/>
              </w:rPr>
              <w:t>平整</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h</w:t>
            </w:r>
            <w:r>
              <w:rPr>
                <w:rFonts w:ascii="Times New Roman" w:hAnsi="Times New Roman" w:eastAsia="仿宋_GB2312" w:cs="Times New Roman"/>
                <w:color w:val="auto"/>
                <w:kern w:val="0"/>
                <w:sz w:val="21"/>
                <w:szCs w:val="21"/>
              </w:rPr>
              <w:t>m</w:t>
            </w:r>
            <w:r>
              <w:rPr>
                <w:rFonts w:hint="eastAsia" w:ascii="Times New Roman" w:hAnsi="Times New Roman" w:eastAsia="仿宋_GB2312" w:cs="Times New Roman"/>
                <w:color w:val="auto"/>
                <w:kern w:val="0"/>
                <w:sz w:val="21"/>
                <w:szCs w:val="21"/>
                <w:vertAlign w:val="superscript"/>
              </w:rPr>
              <w:t>2</w:t>
            </w:r>
          </w:p>
        </w:tc>
        <w:tc>
          <w:tcPr>
            <w:tcW w:w="709" w:type="dxa"/>
            <w:noWrap/>
            <w:tcMar>
              <w:top w:w="12" w:type="dxa"/>
              <w:left w:w="12" w:type="dxa"/>
              <w:right w:w="12" w:type="dxa"/>
            </w:tcMar>
            <w:vAlign w:val="center"/>
          </w:tcPr>
          <w:p>
            <w:pPr>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rPr>
              <w:t>1</w:t>
            </w:r>
            <w:r>
              <w:rPr>
                <w:rFonts w:hint="eastAsia" w:ascii="Times New Roman" w:hAnsi="Times New Roman" w:eastAsia="仿宋_GB2312" w:cs="Times New Roman"/>
                <w:color w:val="auto"/>
                <w:sz w:val="21"/>
                <w:szCs w:val="21"/>
                <w:lang w:val="en-US" w:eastAsia="zh-CN"/>
              </w:rPr>
              <w:t>8.17</w:t>
            </w:r>
          </w:p>
        </w:tc>
        <w:tc>
          <w:tcPr>
            <w:tcW w:w="1701" w:type="dxa"/>
            <w:vAlign w:val="center"/>
          </w:tcPr>
          <w:p>
            <w:pPr>
              <w:jc w:val="center"/>
              <w:rPr>
                <w:rFonts w:hint="eastAsia" w:ascii="Times New Roman" w:hAnsi="Times New Roman" w:eastAsia="仿宋_GB2312" w:cs="Times New Roman"/>
                <w:color w:val="auto"/>
                <w:sz w:val="21"/>
                <w:szCs w:val="21"/>
                <w:lang w:eastAsia="zh-CN"/>
              </w:rPr>
            </w:pPr>
            <w:r>
              <w:rPr>
                <w:rFonts w:hint="eastAsia" w:ascii="Times New Roman" w:hAnsi="Times New Roman" w:eastAsia="仿宋_GB2312" w:cs="Times New Roman"/>
                <w:color w:val="auto"/>
                <w:sz w:val="21"/>
                <w:szCs w:val="21"/>
              </w:rPr>
              <w:t>E</w:t>
            </w:r>
            <w:r>
              <w:rPr>
                <w:rFonts w:hint="eastAsia" w:ascii="Times New Roman" w:hAnsi="Times New Roman" w:eastAsia="仿宋_GB2312" w:cs="Times New Roman"/>
                <w:color w:val="auto"/>
                <w:sz w:val="21"/>
                <w:szCs w:val="21"/>
                <w:lang w:val="en-US" w:eastAsia="zh-CN"/>
              </w:rPr>
              <w:t>02、</w:t>
            </w:r>
            <w:r>
              <w:rPr>
                <w:rFonts w:hint="eastAsia" w:ascii="Times New Roman" w:hAnsi="Times New Roman" w:eastAsia="仿宋_GB2312" w:cs="Times New Roman"/>
                <w:color w:val="auto"/>
                <w:sz w:val="21"/>
                <w:szCs w:val="21"/>
              </w:rPr>
              <w:t>E</w:t>
            </w:r>
            <w:r>
              <w:rPr>
                <w:rFonts w:hint="eastAsia" w:ascii="Times New Roman" w:hAnsi="Times New Roman" w:eastAsia="仿宋_GB2312" w:cs="Times New Roman"/>
                <w:color w:val="auto"/>
                <w:sz w:val="21"/>
                <w:szCs w:val="21"/>
                <w:lang w:val="en-US" w:eastAsia="zh-CN"/>
              </w:rPr>
              <w:t>06、</w:t>
            </w:r>
            <w:r>
              <w:rPr>
                <w:rFonts w:hint="eastAsia" w:ascii="Times New Roman" w:hAnsi="Times New Roman" w:eastAsia="仿宋_GB2312" w:cs="Times New Roman"/>
                <w:color w:val="auto"/>
                <w:sz w:val="21"/>
                <w:szCs w:val="21"/>
              </w:rPr>
              <w:t>E</w:t>
            </w:r>
            <w:r>
              <w:rPr>
                <w:rFonts w:hint="eastAsia" w:ascii="Times New Roman" w:hAnsi="Times New Roman" w:eastAsia="仿宋_GB2312" w:cs="Times New Roman"/>
                <w:color w:val="auto"/>
                <w:sz w:val="21"/>
                <w:szCs w:val="21"/>
                <w:lang w:val="en-US" w:eastAsia="zh-CN"/>
              </w:rPr>
              <w:t>08</w:t>
            </w:r>
            <w:r>
              <w:rPr>
                <w:rFonts w:hint="eastAsia" w:ascii="Times New Roman" w:hAnsi="Times New Roman" w:eastAsia="仿宋_GB2312" w:cs="Times New Roman"/>
                <w:color w:val="auto"/>
                <w:sz w:val="21"/>
                <w:szCs w:val="21"/>
              </w:rPr>
              <w:t>地块</w:t>
            </w:r>
          </w:p>
        </w:tc>
        <w:tc>
          <w:tcPr>
            <w:tcW w:w="1984" w:type="dxa"/>
            <w:vAlign w:val="center"/>
          </w:tcPr>
          <w:p>
            <w:pPr>
              <w:jc w:val="center"/>
              <w:rPr>
                <w:rFonts w:eastAsia="仿宋_GB2312"/>
                <w:color w:val="auto"/>
                <w:sz w:val="21"/>
                <w:szCs w:val="21"/>
                <w:highlight w:val="green"/>
              </w:rPr>
            </w:pPr>
            <w:r>
              <w:rPr>
                <w:rFonts w:hint="eastAsia" w:eastAsia="仿宋_GB2312"/>
                <w:color w:val="auto"/>
                <w:sz w:val="21"/>
                <w:szCs w:val="21"/>
              </w:rPr>
              <w:t>挖掘机或推土机推平</w:t>
            </w:r>
          </w:p>
        </w:tc>
        <w:tc>
          <w:tcPr>
            <w:tcW w:w="1560" w:type="dxa"/>
            <w:noWrap/>
            <w:tcMar>
              <w:top w:w="12" w:type="dxa"/>
              <w:left w:w="12" w:type="dxa"/>
              <w:right w:w="12" w:type="dxa"/>
            </w:tcMar>
            <w:vAlign w:val="center"/>
          </w:tcPr>
          <w:p>
            <w:pPr>
              <w:jc w:val="center"/>
              <w:rPr>
                <w:rFonts w:eastAsia="仿宋_GB2312"/>
                <w:color w:val="auto"/>
                <w:sz w:val="21"/>
                <w:szCs w:val="21"/>
              </w:rPr>
            </w:pPr>
            <w:r>
              <w:rPr>
                <w:rFonts w:hint="eastAsia" w:eastAsia="仿宋_GB2312"/>
                <w:color w:val="auto"/>
                <w:sz w:val="21"/>
                <w:szCs w:val="21"/>
              </w:rPr>
              <w:t>地块回填抬高地势至规划高程后</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二</w:t>
            </w:r>
          </w:p>
        </w:tc>
        <w:tc>
          <w:tcPr>
            <w:tcW w:w="1182"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植物措施</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1701" w:type="dxa"/>
            <w:vAlign w:val="center"/>
          </w:tcPr>
          <w:p>
            <w:pPr>
              <w:jc w:val="center"/>
              <w:rPr>
                <w:rFonts w:ascii="Times New Roman" w:hAnsi="Times New Roman" w:eastAsia="仿宋_GB2312" w:cs="Times New Roman"/>
                <w:color w:val="auto"/>
                <w:sz w:val="21"/>
                <w:szCs w:val="21"/>
              </w:rPr>
            </w:pPr>
          </w:p>
        </w:tc>
        <w:tc>
          <w:tcPr>
            <w:tcW w:w="1984" w:type="dxa"/>
            <w:vAlign w:val="center"/>
          </w:tcPr>
          <w:p>
            <w:pPr>
              <w:jc w:val="center"/>
              <w:rPr>
                <w:rFonts w:ascii="Times New Roman" w:hAnsi="Times New Roman" w:eastAsia="仿宋_GB2312" w:cs="Times New Roman"/>
                <w:color w:val="auto"/>
                <w:sz w:val="21"/>
                <w:szCs w:val="21"/>
              </w:rPr>
            </w:pP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撒播草籽</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hm</w:t>
            </w:r>
            <w:r>
              <w:rPr>
                <w:rFonts w:ascii="Times New Roman" w:hAnsi="Times New Roman" w:eastAsia="仿宋_GB2312" w:cs="Times New Roman"/>
                <w:color w:val="auto"/>
                <w:kern w:val="0"/>
                <w:sz w:val="21"/>
                <w:szCs w:val="21"/>
                <w:vertAlign w:val="superscript"/>
              </w:rPr>
              <w:t>2</w:t>
            </w:r>
          </w:p>
        </w:tc>
        <w:tc>
          <w:tcPr>
            <w:tcW w:w="709" w:type="dxa"/>
            <w:noWrap/>
            <w:tcMar>
              <w:top w:w="12" w:type="dxa"/>
              <w:left w:w="12" w:type="dxa"/>
              <w:right w:w="12" w:type="dxa"/>
            </w:tcMar>
            <w:vAlign w:val="center"/>
          </w:tcPr>
          <w:p>
            <w:pPr>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rPr>
              <w:t>1</w:t>
            </w:r>
            <w:r>
              <w:rPr>
                <w:rFonts w:hint="eastAsia" w:ascii="Times New Roman" w:hAnsi="Times New Roman" w:eastAsia="仿宋_GB2312" w:cs="Times New Roman"/>
                <w:color w:val="auto"/>
                <w:sz w:val="21"/>
                <w:szCs w:val="21"/>
                <w:lang w:val="en-US" w:eastAsia="zh-CN"/>
              </w:rPr>
              <w:t>8.17</w:t>
            </w:r>
          </w:p>
        </w:tc>
        <w:tc>
          <w:tcPr>
            <w:tcW w:w="1701"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E</w:t>
            </w:r>
            <w:r>
              <w:rPr>
                <w:rFonts w:hint="eastAsia" w:ascii="Times New Roman" w:hAnsi="Times New Roman" w:eastAsia="仿宋_GB2312" w:cs="Times New Roman"/>
                <w:color w:val="auto"/>
                <w:sz w:val="21"/>
                <w:szCs w:val="21"/>
                <w:lang w:val="en-US" w:eastAsia="zh-CN"/>
              </w:rPr>
              <w:t>02、</w:t>
            </w:r>
            <w:r>
              <w:rPr>
                <w:rFonts w:hint="eastAsia" w:ascii="Times New Roman" w:hAnsi="Times New Roman" w:eastAsia="仿宋_GB2312" w:cs="Times New Roman"/>
                <w:color w:val="auto"/>
                <w:sz w:val="21"/>
                <w:szCs w:val="21"/>
              </w:rPr>
              <w:t>E</w:t>
            </w:r>
            <w:r>
              <w:rPr>
                <w:rFonts w:hint="eastAsia" w:ascii="Times New Roman" w:hAnsi="Times New Roman" w:eastAsia="仿宋_GB2312" w:cs="Times New Roman"/>
                <w:color w:val="auto"/>
                <w:sz w:val="21"/>
                <w:szCs w:val="21"/>
                <w:lang w:val="en-US" w:eastAsia="zh-CN"/>
              </w:rPr>
              <w:t>06、</w:t>
            </w:r>
            <w:r>
              <w:rPr>
                <w:rFonts w:hint="eastAsia" w:ascii="Times New Roman" w:hAnsi="Times New Roman" w:eastAsia="仿宋_GB2312" w:cs="Times New Roman"/>
                <w:color w:val="auto"/>
                <w:sz w:val="21"/>
                <w:szCs w:val="21"/>
              </w:rPr>
              <w:t>E</w:t>
            </w:r>
            <w:r>
              <w:rPr>
                <w:rFonts w:hint="eastAsia" w:ascii="Times New Roman" w:hAnsi="Times New Roman" w:eastAsia="仿宋_GB2312" w:cs="Times New Roman"/>
                <w:color w:val="auto"/>
                <w:sz w:val="21"/>
                <w:szCs w:val="21"/>
                <w:lang w:val="en-US" w:eastAsia="zh-CN"/>
              </w:rPr>
              <w:t>08</w:t>
            </w:r>
            <w:r>
              <w:rPr>
                <w:rFonts w:hint="eastAsia" w:ascii="Times New Roman" w:hAnsi="Times New Roman" w:eastAsia="仿宋_GB2312" w:cs="Times New Roman"/>
                <w:color w:val="auto"/>
                <w:sz w:val="21"/>
                <w:szCs w:val="21"/>
              </w:rPr>
              <w:t>地块</w:t>
            </w:r>
          </w:p>
        </w:tc>
        <w:tc>
          <w:tcPr>
            <w:tcW w:w="198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混合草籽，撒播，80</w:t>
            </w:r>
            <w:r>
              <w:rPr>
                <w:rFonts w:ascii="Times New Roman" w:hAnsi="Times New Roman" w:eastAsia="仿宋_GB2312" w:cs="Times New Roman"/>
                <w:color w:val="auto"/>
                <w:sz w:val="21"/>
                <w:szCs w:val="21"/>
              </w:rPr>
              <w:t>kg/hm</w:t>
            </w:r>
            <w:r>
              <w:rPr>
                <w:rFonts w:ascii="Times New Roman" w:hAnsi="Times New Roman" w:eastAsia="仿宋_GB2312" w:cs="Times New Roman"/>
                <w:color w:val="auto"/>
                <w:sz w:val="21"/>
                <w:szCs w:val="21"/>
                <w:vertAlign w:val="superscript"/>
              </w:rPr>
              <w:t>2</w:t>
            </w: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春</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冬季</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三</w:t>
            </w:r>
          </w:p>
        </w:tc>
        <w:tc>
          <w:tcPr>
            <w:tcW w:w="1182"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临时措施</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1701" w:type="dxa"/>
            <w:vAlign w:val="center"/>
          </w:tcPr>
          <w:p>
            <w:pPr>
              <w:jc w:val="center"/>
              <w:rPr>
                <w:rFonts w:ascii="Times New Roman" w:hAnsi="Times New Roman" w:eastAsia="仿宋_GB2312" w:cs="Times New Roman"/>
                <w:color w:val="auto"/>
                <w:sz w:val="21"/>
                <w:szCs w:val="21"/>
              </w:rPr>
            </w:pPr>
          </w:p>
        </w:tc>
        <w:tc>
          <w:tcPr>
            <w:tcW w:w="1984" w:type="dxa"/>
            <w:vAlign w:val="center"/>
          </w:tcPr>
          <w:p>
            <w:pPr>
              <w:jc w:val="center"/>
              <w:rPr>
                <w:rFonts w:ascii="Times New Roman" w:hAnsi="Times New Roman" w:eastAsia="仿宋_GB2312" w:cs="Times New Roman"/>
                <w:color w:val="auto"/>
                <w:sz w:val="21"/>
                <w:szCs w:val="21"/>
              </w:rPr>
            </w:pP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苫布覆盖</w:t>
            </w:r>
          </w:p>
        </w:tc>
        <w:tc>
          <w:tcPr>
            <w:tcW w:w="709"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hm</w:t>
            </w:r>
            <w:r>
              <w:rPr>
                <w:rFonts w:ascii="Times New Roman" w:hAnsi="Times New Roman" w:eastAsia="仿宋_GB2312" w:cs="Times New Roman"/>
                <w:color w:val="auto"/>
                <w:kern w:val="0"/>
                <w:sz w:val="21"/>
                <w:szCs w:val="21"/>
                <w:vertAlign w:val="superscript"/>
              </w:rPr>
              <w:t>2</w:t>
            </w:r>
          </w:p>
        </w:tc>
        <w:tc>
          <w:tcPr>
            <w:tcW w:w="709" w:type="dxa"/>
            <w:noWrap/>
            <w:tcMar>
              <w:top w:w="12" w:type="dxa"/>
              <w:left w:w="12" w:type="dxa"/>
              <w:right w:w="12" w:type="dxa"/>
            </w:tcMar>
            <w:vAlign w:val="center"/>
          </w:tcPr>
          <w:p>
            <w:pPr>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18.17</w:t>
            </w:r>
          </w:p>
        </w:tc>
        <w:tc>
          <w:tcPr>
            <w:tcW w:w="1701"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E</w:t>
            </w:r>
            <w:r>
              <w:rPr>
                <w:rFonts w:hint="eastAsia" w:ascii="Times New Roman" w:hAnsi="Times New Roman" w:eastAsia="仿宋_GB2312" w:cs="Times New Roman"/>
                <w:color w:val="auto"/>
                <w:sz w:val="21"/>
                <w:szCs w:val="21"/>
                <w:lang w:val="en-US" w:eastAsia="zh-CN"/>
              </w:rPr>
              <w:t>02、</w:t>
            </w:r>
            <w:r>
              <w:rPr>
                <w:rFonts w:hint="eastAsia" w:ascii="Times New Roman" w:hAnsi="Times New Roman" w:eastAsia="仿宋_GB2312" w:cs="Times New Roman"/>
                <w:color w:val="auto"/>
                <w:sz w:val="21"/>
                <w:szCs w:val="21"/>
              </w:rPr>
              <w:t>E</w:t>
            </w:r>
            <w:r>
              <w:rPr>
                <w:rFonts w:hint="eastAsia" w:ascii="Times New Roman" w:hAnsi="Times New Roman" w:eastAsia="仿宋_GB2312" w:cs="Times New Roman"/>
                <w:color w:val="auto"/>
                <w:sz w:val="21"/>
                <w:szCs w:val="21"/>
                <w:lang w:val="en-US" w:eastAsia="zh-CN"/>
              </w:rPr>
              <w:t>06、</w:t>
            </w:r>
            <w:r>
              <w:rPr>
                <w:rFonts w:hint="eastAsia" w:ascii="Times New Roman" w:hAnsi="Times New Roman" w:eastAsia="仿宋_GB2312" w:cs="Times New Roman"/>
                <w:color w:val="auto"/>
                <w:sz w:val="21"/>
                <w:szCs w:val="21"/>
              </w:rPr>
              <w:t>E</w:t>
            </w:r>
            <w:r>
              <w:rPr>
                <w:rFonts w:hint="eastAsia" w:ascii="Times New Roman" w:hAnsi="Times New Roman" w:eastAsia="仿宋_GB2312" w:cs="Times New Roman"/>
                <w:color w:val="auto"/>
                <w:sz w:val="21"/>
                <w:szCs w:val="21"/>
                <w:lang w:val="en-US" w:eastAsia="zh-CN"/>
              </w:rPr>
              <w:t>08</w:t>
            </w:r>
            <w:r>
              <w:rPr>
                <w:rFonts w:hint="eastAsia" w:ascii="Times New Roman" w:hAnsi="Times New Roman" w:eastAsia="仿宋_GB2312" w:cs="Times New Roman"/>
                <w:color w:val="auto"/>
                <w:sz w:val="21"/>
                <w:szCs w:val="21"/>
              </w:rPr>
              <w:t>地块</w:t>
            </w:r>
          </w:p>
        </w:tc>
        <w:tc>
          <w:tcPr>
            <w:tcW w:w="1984" w:type="dxa"/>
            <w:vAlign w:val="center"/>
          </w:tcPr>
          <w:p>
            <w:pPr>
              <w:jc w:val="center"/>
              <w:rPr>
                <w:rFonts w:eastAsia="仿宋_GB2312"/>
                <w:color w:val="auto"/>
                <w:sz w:val="21"/>
                <w:szCs w:val="21"/>
              </w:rPr>
            </w:pPr>
            <w:r>
              <w:rPr>
                <w:rFonts w:hint="eastAsia" w:eastAsia="仿宋_GB2312"/>
                <w:color w:val="auto"/>
                <w:sz w:val="21"/>
                <w:szCs w:val="21"/>
              </w:rPr>
              <w:t>铺苫布</w:t>
            </w:r>
          </w:p>
        </w:tc>
        <w:tc>
          <w:tcPr>
            <w:tcW w:w="1560" w:type="dxa"/>
            <w:noWrap/>
            <w:tcMar>
              <w:top w:w="12" w:type="dxa"/>
              <w:left w:w="12" w:type="dxa"/>
              <w:right w:w="12" w:type="dxa"/>
            </w:tcMar>
            <w:vAlign w:val="center"/>
          </w:tcPr>
          <w:p>
            <w:pPr>
              <w:jc w:val="center"/>
              <w:rPr>
                <w:rFonts w:eastAsia="仿宋_GB2312"/>
                <w:color w:val="auto"/>
                <w:sz w:val="21"/>
                <w:szCs w:val="21"/>
              </w:rPr>
            </w:pPr>
            <w:r>
              <w:rPr>
                <w:rFonts w:eastAsia="仿宋_GB2312"/>
                <w:color w:val="auto"/>
                <w:sz w:val="21"/>
                <w:szCs w:val="21"/>
              </w:rPr>
              <w:t>场地裸露期间</w:t>
            </w:r>
            <w:r>
              <w:rPr>
                <w:rFonts w:hint="eastAsia" w:eastAsia="仿宋_GB2312"/>
                <w:color w:val="auto"/>
                <w:sz w:val="21"/>
                <w:szCs w:val="21"/>
              </w:rPr>
              <w:t>，</w:t>
            </w:r>
            <w:r>
              <w:rPr>
                <w:rFonts w:eastAsia="仿宋_GB2312"/>
                <w:color w:val="auto"/>
                <w:sz w:val="21"/>
                <w:szCs w:val="21"/>
              </w:rPr>
              <w:t>在暴雨前布置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临时排水沟</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709" w:type="dxa"/>
            <w:noWrap/>
            <w:tcMar>
              <w:top w:w="12" w:type="dxa"/>
              <w:left w:w="12" w:type="dxa"/>
              <w:right w:w="12" w:type="dxa"/>
            </w:tcMar>
            <w:vAlign w:val="center"/>
          </w:tcPr>
          <w:p>
            <w:pPr>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1826</w:t>
            </w:r>
          </w:p>
        </w:tc>
        <w:tc>
          <w:tcPr>
            <w:tcW w:w="1701"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平整E16地块的场地</w:t>
            </w:r>
            <w:r>
              <w:rPr>
                <w:rFonts w:ascii="Times New Roman" w:hAnsi="Times New Roman" w:eastAsia="仿宋_GB2312" w:cs="Times New Roman"/>
                <w:color w:val="auto"/>
                <w:sz w:val="21"/>
                <w:szCs w:val="21"/>
              </w:rPr>
              <w:t>周边</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土沟</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底宽0.2m，深0.</w:t>
            </w:r>
            <w:r>
              <w:rPr>
                <w:rFonts w:hint="eastAsia" w:ascii="Times New Roman" w:hAnsi="Times New Roman" w:eastAsia="仿宋_GB2312" w:cs="Times New Roman"/>
                <w:color w:val="auto"/>
                <w:sz w:val="21"/>
                <w:szCs w:val="21"/>
                <w:lang w:val="en-US" w:eastAsia="zh-CN"/>
              </w:rPr>
              <w:t>4</w:t>
            </w:r>
            <w:r>
              <w:rPr>
                <w:rFonts w:ascii="Times New Roman" w:hAnsi="Times New Roman" w:eastAsia="仿宋_GB2312" w:cs="Times New Roman"/>
                <w:color w:val="auto"/>
                <w:sz w:val="21"/>
                <w:szCs w:val="21"/>
              </w:rPr>
              <w:t>m，坡比1:</w:t>
            </w:r>
            <w:r>
              <w:rPr>
                <w:rFonts w:hint="eastAsia" w:ascii="Times New Roman" w:hAnsi="Times New Roman" w:eastAsia="仿宋_GB2312" w:cs="Times New Roman"/>
                <w:color w:val="auto"/>
                <w:sz w:val="21"/>
                <w:szCs w:val="21"/>
              </w:rPr>
              <w:t>1，安全超高0.2m</w:t>
            </w:r>
          </w:p>
        </w:tc>
        <w:tc>
          <w:tcPr>
            <w:tcW w:w="1560" w:type="dxa"/>
            <w:vMerge w:val="restart"/>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平整</w:t>
            </w:r>
            <w:r>
              <w:rPr>
                <w:rFonts w:ascii="Times New Roman" w:hAnsi="Times New Roman" w:eastAsia="仿宋_GB2312" w:cs="Times New Roman"/>
                <w:color w:val="auto"/>
                <w:sz w:val="21"/>
                <w:szCs w:val="21"/>
              </w:rPr>
              <w:t>施工过程中同步</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临时沉沙池</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个</w:t>
            </w:r>
          </w:p>
        </w:tc>
        <w:tc>
          <w:tcPr>
            <w:tcW w:w="709" w:type="dxa"/>
            <w:noWrap/>
            <w:tcMar>
              <w:top w:w="12" w:type="dxa"/>
              <w:left w:w="12" w:type="dxa"/>
              <w:right w:w="12" w:type="dxa"/>
            </w:tcMar>
            <w:vAlign w:val="center"/>
          </w:tcPr>
          <w:p>
            <w:pPr>
              <w:jc w:val="center"/>
              <w:rPr>
                <w:rFonts w:hint="eastAsia"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rPr>
              <w:t>1</w:t>
            </w:r>
            <w:r>
              <w:rPr>
                <w:rFonts w:hint="eastAsia" w:ascii="Times New Roman" w:hAnsi="Times New Roman" w:eastAsia="仿宋_GB2312" w:cs="Times New Roman"/>
                <w:color w:val="auto"/>
                <w:sz w:val="21"/>
                <w:szCs w:val="21"/>
                <w:lang w:val="en-US" w:eastAsia="zh-CN"/>
              </w:rPr>
              <w:t>2</w:t>
            </w:r>
          </w:p>
        </w:tc>
        <w:tc>
          <w:tcPr>
            <w:tcW w:w="1701"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临时排水沟沿线及排水出口处</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上顶</w:t>
            </w:r>
            <w:r>
              <w:rPr>
                <w:rFonts w:hint="eastAsia" w:ascii="Times New Roman" w:hAnsi="Times New Roman" w:eastAsia="仿宋_GB2312" w:cs="Times New Roman"/>
                <w:color w:val="auto"/>
                <w:sz w:val="21"/>
                <w:szCs w:val="21"/>
              </w:rPr>
              <w:t>3</w:t>
            </w:r>
            <w:r>
              <w:rPr>
                <w:rFonts w:hint="eastAsia" w:ascii="Times New Roman" w:hAnsi="Times New Roman" w:eastAsia="仿宋_GB2312" w:cs="Times New Roman"/>
                <w:color w:val="auto"/>
                <w:sz w:val="21"/>
                <w:szCs w:val="21"/>
                <w:lang w:val="en-US" w:eastAsia="zh-CN"/>
              </w:rPr>
              <w:t>.0</w:t>
            </w:r>
            <w:r>
              <w:rPr>
                <w:rFonts w:ascii="Times New Roman" w:hAnsi="Times New Roman" w:eastAsia="仿宋_GB2312" w:cs="Times New Roman"/>
                <w:color w:val="auto"/>
                <w:sz w:val="21"/>
                <w:szCs w:val="21"/>
              </w:rPr>
              <w:t>m×1</w:t>
            </w:r>
            <w:r>
              <w:rPr>
                <w:rFonts w:hint="eastAsia" w:ascii="Times New Roman" w:hAnsi="Times New Roman" w:eastAsia="仿宋_GB2312" w:cs="Times New Roman"/>
                <w:color w:val="auto"/>
                <w:sz w:val="21"/>
                <w:szCs w:val="21"/>
                <w:lang w:val="en-US" w:eastAsia="zh-CN"/>
              </w:rPr>
              <w:t>.5</w:t>
            </w:r>
            <w:r>
              <w:rPr>
                <w:rFonts w:ascii="Times New Roman" w:hAnsi="Times New Roman" w:eastAsia="仿宋_GB2312" w:cs="Times New Roman"/>
                <w:color w:val="auto"/>
                <w:sz w:val="21"/>
                <w:szCs w:val="21"/>
              </w:rPr>
              <w:t>m，下底1</w:t>
            </w:r>
            <w:r>
              <w:rPr>
                <w:rFonts w:hint="eastAsia" w:ascii="Times New Roman" w:hAnsi="Times New Roman" w:eastAsia="仿宋_GB2312" w:cs="Times New Roman"/>
                <w:color w:val="auto"/>
                <w:sz w:val="21"/>
                <w:szCs w:val="21"/>
              </w:rPr>
              <w:t>.</w:t>
            </w:r>
            <w:r>
              <w:rPr>
                <w:rFonts w:hint="eastAsia" w:ascii="Times New Roman" w:hAnsi="Times New Roman" w:eastAsia="仿宋_GB2312" w:cs="Times New Roman"/>
                <w:color w:val="auto"/>
                <w:sz w:val="21"/>
                <w:szCs w:val="21"/>
                <w:lang w:val="en-US" w:eastAsia="zh-CN"/>
              </w:rPr>
              <w:t>0</w:t>
            </w:r>
            <w:r>
              <w:rPr>
                <w:rFonts w:ascii="Times New Roman" w:hAnsi="Times New Roman" w:eastAsia="仿宋_GB2312" w:cs="Times New Roman"/>
                <w:color w:val="auto"/>
                <w:sz w:val="21"/>
                <w:szCs w:val="21"/>
              </w:rPr>
              <w:t>×0.5m，池厢深度1m</w:t>
            </w:r>
          </w:p>
        </w:tc>
        <w:tc>
          <w:tcPr>
            <w:tcW w:w="1560" w:type="dxa"/>
            <w:vMerge w:val="continue"/>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r>
    </w:tbl>
    <w:p>
      <w:pPr>
        <w:widowControl/>
        <w:snapToGrid w:val="0"/>
        <w:spacing w:line="360" w:lineRule="auto"/>
        <w:ind w:firstLine="482" w:firstLineChars="200"/>
        <w:jc w:val="left"/>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（三）施工临时设施防治区</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（1）</w:t>
      </w:r>
      <w:r>
        <w:rPr>
          <w:rFonts w:hint="eastAsia" w:ascii="Times New Roman" w:hAnsi="Times New Roman" w:eastAsia="仿宋_GB2312" w:cs="Times New Roman"/>
          <w:color w:val="auto"/>
          <w:szCs w:val="24"/>
          <w:lang w:eastAsia="zh-CN"/>
        </w:rPr>
        <w:t>临时堆土</w:t>
      </w:r>
      <w:r>
        <w:rPr>
          <w:rFonts w:hint="eastAsia" w:ascii="Times New Roman" w:hAnsi="Times New Roman" w:eastAsia="仿宋_GB2312" w:cs="Times New Roman"/>
          <w:color w:val="auto"/>
          <w:szCs w:val="24"/>
        </w:rPr>
        <w:t>场防治区</w:t>
      </w:r>
    </w:p>
    <w:p>
      <w:pPr>
        <w:widowControl/>
        <w:snapToGrid w:val="0"/>
        <w:spacing w:line="360" w:lineRule="auto"/>
        <w:ind w:firstLine="480" w:firstLineChars="200"/>
        <w:jc w:val="left"/>
        <w:rPr>
          <w:rFonts w:ascii="Times New Roman" w:hAnsi="Times New Roman" w:eastAsia="仿宋_GB2312"/>
          <w:color w:val="auto"/>
        </w:rPr>
      </w:pPr>
      <w:r>
        <w:rPr>
          <w:rFonts w:hint="eastAsia" w:ascii="Times New Roman" w:hAnsi="Times New Roman" w:eastAsia="仿宋_GB2312" w:cs="Times New Roman"/>
          <w:color w:val="auto"/>
          <w:szCs w:val="24"/>
        </w:rPr>
        <w:t>土</w:t>
      </w:r>
      <w:r>
        <w:rPr>
          <w:rFonts w:hint="eastAsia" w:ascii="Times New Roman" w:hAnsi="Times New Roman" w:eastAsia="仿宋_GB2312" w:cs="Times New Roman"/>
          <w:color w:val="auto"/>
          <w:szCs w:val="24"/>
          <w:lang w:eastAsia="zh-CN"/>
        </w:rPr>
        <w:t>放</w:t>
      </w:r>
      <w:r>
        <w:rPr>
          <w:rFonts w:hint="eastAsia" w:ascii="Times New Roman" w:hAnsi="Times New Roman" w:eastAsia="仿宋_GB2312" w:cs="Times New Roman"/>
          <w:color w:val="auto"/>
          <w:szCs w:val="24"/>
        </w:rPr>
        <w:t>堆放前</w:t>
      </w:r>
      <w:r>
        <w:rPr>
          <w:rFonts w:hint="eastAsia" w:ascii="Times New Roman" w:hAnsi="Times New Roman" w:eastAsia="仿宋_GB2312"/>
          <w:color w:val="auto"/>
        </w:rPr>
        <w:t>先于堆土场周边布设编织袋拦挡，并沿堆土场周边组织布设临时排水沉沙措施，收集坡面雨水，土方堆放后，于其表面进行撒播草籽防护，并对其进行苫盖。</w:t>
      </w:r>
    </w:p>
    <w:p>
      <w:pPr>
        <w:widowControl/>
        <w:snapToGrid w:val="0"/>
        <w:spacing w:line="360" w:lineRule="auto"/>
        <w:jc w:val="center"/>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表</w:t>
      </w:r>
      <w:r>
        <w:rPr>
          <w:rFonts w:ascii="Times New Roman" w:hAnsi="Times New Roman" w:eastAsia="仿宋_GB2312" w:cs="Times New Roman"/>
          <w:b/>
          <w:color w:val="auto"/>
          <w:szCs w:val="24"/>
        </w:rPr>
        <w:t>1</w:t>
      </w:r>
      <w:r>
        <w:rPr>
          <w:rFonts w:hint="eastAsia" w:ascii="Times New Roman" w:hAnsi="Times New Roman" w:eastAsia="仿宋_GB2312" w:cs="Times New Roman"/>
          <w:b/>
          <w:color w:val="auto"/>
          <w:szCs w:val="24"/>
        </w:rPr>
        <w:t>.</w:t>
      </w:r>
      <w:r>
        <w:rPr>
          <w:rFonts w:ascii="Times New Roman" w:hAnsi="Times New Roman" w:eastAsia="仿宋_GB2312" w:cs="Times New Roman"/>
          <w:b/>
          <w:color w:val="auto"/>
          <w:szCs w:val="24"/>
        </w:rPr>
        <w:t>8-</w:t>
      </w:r>
      <w:r>
        <w:rPr>
          <w:rFonts w:hint="eastAsia" w:ascii="Times New Roman" w:hAnsi="Times New Roman" w:eastAsia="仿宋_GB2312" w:cs="Times New Roman"/>
          <w:b/>
          <w:color w:val="auto"/>
          <w:szCs w:val="24"/>
        </w:rPr>
        <w:t>6</w:t>
      </w:r>
      <w:r>
        <w:rPr>
          <w:rFonts w:ascii="Times New Roman" w:hAnsi="Times New Roman" w:eastAsia="仿宋_GB2312" w:cs="Times New Roman"/>
          <w:b/>
          <w:color w:val="auto"/>
          <w:szCs w:val="24"/>
        </w:rPr>
        <w:t>：</w:t>
      </w:r>
      <w:r>
        <w:rPr>
          <w:rFonts w:hint="eastAsia" w:ascii="Times New Roman" w:hAnsi="Times New Roman" w:eastAsia="仿宋_GB2312" w:cs="Times New Roman"/>
          <w:b/>
          <w:color w:val="auto"/>
          <w:szCs w:val="24"/>
        </w:rPr>
        <w:t>临时堆土场防治区</w:t>
      </w:r>
      <w:r>
        <w:rPr>
          <w:rFonts w:ascii="Times New Roman" w:hAnsi="Times New Roman" w:eastAsia="仿宋_GB2312" w:cs="Times New Roman"/>
          <w:b/>
          <w:color w:val="auto"/>
          <w:szCs w:val="24"/>
        </w:rPr>
        <w:t>措施布设表</w:t>
      </w:r>
    </w:p>
    <w:tbl>
      <w:tblPr>
        <w:tblStyle w:val="37"/>
        <w:tblW w:w="8423"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578"/>
        <w:gridCol w:w="1182"/>
        <w:gridCol w:w="709"/>
        <w:gridCol w:w="709"/>
        <w:gridCol w:w="1701"/>
        <w:gridCol w:w="1984"/>
        <w:gridCol w:w="156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60" w:hRule="atLeast"/>
          <w:tblHeader/>
          <w:jc w:val="center"/>
        </w:trPr>
        <w:tc>
          <w:tcPr>
            <w:tcW w:w="578" w:type="dxa"/>
            <w:noWrap/>
            <w:tcMar>
              <w:top w:w="12" w:type="dxa"/>
              <w:left w:w="12" w:type="dxa"/>
              <w:right w:w="12" w:type="dxa"/>
            </w:tcMar>
            <w:vAlign w:val="center"/>
          </w:tcPr>
          <w:p>
            <w:pPr>
              <w:widowControl/>
              <w:spacing w:line="240" w:lineRule="exact"/>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序号</w:t>
            </w:r>
          </w:p>
        </w:tc>
        <w:tc>
          <w:tcPr>
            <w:tcW w:w="1182" w:type="dxa"/>
            <w:noWrap/>
            <w:tcMar>
              <w:top w:w="12" w:type="dxa"/>
              <w:left w:w="12" w:type="dxa"/>
              <w:right w:w="12" w:type="dxa"/>
            </w:tcMar>
            <w:vAlign w:val="center"/>
          </w:tcPr>
          <w:p>
            <w:pPr>
              <w:widowControl/>
              <w:spacing w:line="240" w:lineRule="exact"/>
              <w:jc w:val="center"/>
              <w:textAlignment w:val="center"/>
              <w:rPr>
                <w:rFonts w:ascii="Times New Roman" w:hAnsi="Times New Roman" w:eastAsia="仿宋_GB2312" w:cs="Times New Roman"/>
                <w:b/>
                <w:color w:val="auto"/>
                <w:sz w:val="21"/>
                <w:szCs w:val="21"/>
              </w:rPr>
            </w:pPr>
            <w:r>
              <w:rPr>
                <w:rFonts w:hint="eastAsia" w:ascii="Times New Roman" w:hAnsi="Times New Roman" w:eastAsia="仿宋_GB2312" w:cs="Times New Roman"/>
                <w:b/>
                <w:color w:val="auto"/>
                <w:kern w:val="0"/>
                <w:sz w:val="21"/>
                <w:szCs w:val="21"/>
                <w:lang w:val="en-US" w:eastAsia="zh-CN"/>
              </w:rPr>
              <w:t>措施</w:t>
            </w:r>
            <w:r>
              <w:rPr>
                <w:rFonts w:ascii="Times New Roman" w:hAnsi="Times New Roman" w:eastAsia="仿宋_GB2312" w:cs="Times New Roman"/>
                <w:b/>
                <w:color w:val="auto"/>
                <w:kern w:val="0"/>
                <w:sz w:val="21"/>
                <w:szCs w:val="21"/>
              </w:rPr>
              <w:t>名称</w:t>
            </w:r>
          </w:p>
        </w:tc>
        <w:tc>
          <w:tcPr>
            <w:tcW w:w="709" w:type="dxa"/>
            <w:noWrap/>
            <w:tcMar>
              <w:top w:w="12" w:type="dxa"/>
              <w:left w:w="12" w:type="dxa"/>
              <w:right w:w="12" w:type="dxa"/>
            </w:tcMar>
            <w:vAlign w:val="center"/>
          </w:tcPr>
          <w:p>
            <w:pPr>
              <w:widowControl/>
              <w:spacing w:line="240" w:lineRule="exact"/>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单位</w:t>
            </w:r>
          </w:p>
        </w:tc>
        <w:tc>
          <w:tcPr>
            <w:tcW w:w="709" w:type="dxa"/>
            <w:noWrap/>
            <w:tcMar>
              <w:top w:w="12" w:type="dxa"/>
              <w:left w:w="12" w:type="dxa"/>
              <w:right w:w="12" w:type="dxa"/>
            </w:tcMar>
            <w:vAlign w:val="center"/>
          </w:tcPr>
          <w:p>
            <w:pPr>
              <w:widowControl/>
              <w:spacing w:line="240" w:lineRule="exact"/>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工程量</w:t>
            </w:r>
          </w:p>
        </w:tc>
        <w:tc>
          <w:tcPr>
            <w:tcW w:w="1701" w:type="dxa"/>
            <w:vAlign w:val="center"/>
          </w:tcPr>
          <w:p>
            <w:pPr>
              <w:widowControl/>
              <w:spacing w:line="240" w:lineRule="exact"/>
              <w:jc w:val="center"/>
              <w:textAlignment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布设位置</w:t>
            </w:r>
          </w:p>
        </w:tc>
        <w:tc>
          <w:tcPr>
            <w:tcW w:w="1984" w:type="dxa"/>
            <w:vAlign w:val="center"/>
          </w:tcPr>
          <w:p>
            <w:pPr>
              <w:widowControl/>
              <w:spacing w:line="240" w:lineRule="exact"/>
              <w:jc w:val="center"/>
              <w:textAlignment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结构形式</w:t>
            </w:r>
          </w:p>
        </w:tc>
        <w:tc>
          <w:tcPr>
            <w:tcW w:w="1560" w:type="dxa"/>
            <w:noWrap/>
            <w:tcMar>
              <w:top w:w="12" w:type="dxa"/>
              <w:left w:w="12" w:type="dxa"/>
              <w:right w:w="12" w:type="dxa"/>
            </w:tcMar>
            <w:vAlign w:val="center"/>
          </w:tcPr>
          <w:p>
            <w:pPr>
              <w:widowControl/>
              <w:spacing w:line="240" w:lineRule="exact"/>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布设时间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02" w:hRule="atLeast"/>
          <w:tblHeader/>
          <w:jc w:val="center"/>
        </w:trPr>
        <w:tc>
          <w:tcPr>
            <w:tcW w:w="578" w:type="dxa"/>
            <w:noWrap/>
            <w:tcMar>
              <w:top w:w="12" w:type="dxa"/>
              <w:left w:w="12" w:type="dxa"/>
              <w:right w:w="12" w:type="dxa"/>
            </w:tcMar>
            <w:vAlign w:val="center"/>
          </w:tcPr>
          <w:p>
            <w:pPr>
              <w:spacing w:line="240" w:lineRule="exact"/>
              <w:jc w:val="center"/>
              <w:rPr>
                <w:rFonts w:ascii="Times New Roman" w:hAnsi="Times New Roman" w:eastAsia="仿宋_GB2312" w:cs="Times New Roman"/>
                <w:b/>
                <w:color w:val="auto"/>
                <w:sz w:val="21"/>
                <w:szCs w:val="21"/>
              </w:rPr>
            </w:pPr>
            <w:r>
              <w:rPr>
                <w:rFonts w:hint="eastAsia" w:ascii="Times New Roman" w:hAnsi="Times New Roman" w:eastAsia="仿宋_GB2312" w:cs="Times New Roman"/>
                <w:b/>
                <w:color w:val="auto"/>
                <w:sz w:val="21"/>
                <w:szCs w:val="21"/>
              </w:rPr>
              <w:t>一</w:t>
            </w:r>
          </w:p>
        </w:tc>
        <w:tc>
          <w:tcPr>
            <w:tcW w:w="1182" w:type="dxa"/>
            <w:noWrap/>
            <w:tcMar>
              <w:top w:w="12" w:type="dxa"/>
              <w:left w:w="12" w:type="dxa"/>
              <w:right w:w="12" w:type="dxa"/>
            </w:tcMar>
            <w:vAlign w:val="center"/>
          </w:tcPr>
          <w:p>
            <w:pPr>
              <w:spacing w:line="240" w:lineRule="exac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临时措施</w:t>
            </w:r>
          </w:p>
        </w:tc>
        <w:tc>
          <w:tcPr>
            <w:tcW w:w="709" w:type="dxa"/>
            <w:noWrap/>
            <w:tcMar>
              <w:top w:w="12" w:type="dxa"/>
              <w:left w:w="12" w:type="dxa"/>
              <w:right w:w="12" w:type="dxa"/>
            </w:tcMar>
            <w:vAlign w:val="center"/>
          </w:tcPr>
          <w:p>
            <w:pPr>
              <w:spacing w:line="240" w:lineRule="exact"/>
              <w:jc w:val="center"/>
              <w:rPr>
                <w:rFonts w:ascii="Times New Roman" w:hAnsi="Times New Roman" w:eastAsia="仿宋_GB2312" w:cs="Times New Roman"/>
                <w:color w:val="auto"/>
                <w:sz w:val="21"/>
                <w:szCs w:val="21"/>
              </w:rPr>
            </w:pPr>
          </w:p>
        </w:tc>
        <w:tc>
          <w:tcPr>
            <w:tcW w:w="709" w:type="dxa"/>
            <w:noWrap/>
            <w:tcMar>
              <w:top w:w="12" w:type="dxa"/>
              <w:left w:w="12" w:type="dxa"/>
              <w:right w:w="12" w:type="dxa"/>
            </w:tcMar>
            <w:vAlign w:val="center"/>
          </w:tcPr>
          <w:p>
            <w:pPr>
              <w:spacing w:line="240" w:lineRule="exact"/>
              <w:jc w:val="center"/>
              <w:rPr>
                <w:rFonts w:ascii="Times New Roman" w:hAnsi="Times New Roman" w:eastAsia="仿宋_GB2312" w:cs="Times New Roman"/>
                <w:color w:val="auto"/>
                <w:sz w:val="21"/>
                <w:szCs w:val="21"/>
              </w:rPr>
            </w:pPr>
          </w:p>
        </w:tc>
        <w:tc>
          <w:tcPr>
            <w:tcW w:w="1701" w:type="dxa"/>
            <w:vAlign w:val="center"/>
          </w:tcPr>
          <w:p>
            <w:pPr>
              <w:spacing w:line="240" w:lineRule="exact"/>
              <w:jc w:val="center"/>
              <w:rPr>
                <w:rFonts w:ascii="Times New Roman" w:hAnsi="Times New Roman" w:eastAsia="仿宋_GB2312" w:cs="Times New Roman"/>
                <w:color w:val="auto"/>
                <w:sz w:val="21"/>
                <w:szCs w:val="21"/>
              </w:rPr>
            </w:pPr>
          </w:p>
        </w:tc>
        <w:tc>
          <w:tcPr>
            <w:tcW w:w="1984" w:type="dxa"/>
            <w:vAlign w:val="center"/>
          </w:tcPr>
          <w:p>
            <w:pPr>
              <w:spacing w:line="240" w:lineRule="exact"/>
              <w:jc w:val="center"/>
              <w:rPr>
                <w:rFonts w:ascii="Times New Roman" w:hAnsi="Times New Roman" w:eastAsia="仿宋_GB2312" w:cs="Times New Roman"/>
                <w:color w:val="auto"/>
                <w:sz w:val="21"/>
                <w:szCs w:val="21"/>
              </w:rPr>
            </w:pPr>
          </w:p>
        </w:tc>
        <w:tc>
          <w:tcPr>
            <w:tcW w:w="1560" w:type="dxa"/>
            <w:noWrap/>
            <w:tcMar>
              <w:top w:w="12" w:type="dxa"/>
              <w:left w:w="12" w:type="dxa"/>
              <w:right w:w="12" w:type="dxa"/>
            </w:tcMar>
            <w:vAlign w:val="center"/>
          </w:tcPr>
          <w:p>
            <w:pPr>
              <w:spacing w:line="240" w:lineRule="exact"/>
              <w:jc w:val="center"/>
              <w:rPr>
                <w:rFonts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82" w:type="dxa"/>
            <w:noWrap/>
            <w:tcMar>
              <w:top w:w="12" w:type="dxa"/>
              <w:left w:w="12" w:type="dxa"/>
              <w:right w:w="12" w:type="dxa"/>
            </w:tcMar>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苫布覆盖</w:t>
            </w:r>
          </w:p>
        </w:tc>
        <w:tc>
          <w:tcPr>
            <w:tcW w:w="709" w:type="dxa"/>
            <w:noWrap/>
            <w:tcMar>
              <w:top w:w="12" w:type="dxa"/>
              <w:left w:w="12" w:type="dxa"/>
              <w:right w:w="12" w:type="dxa"/>
            </w:tcMar>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hm</w:t>
            </w:r>
            <w:r>
              <w:rPr>
                <w:rFonts w:ascii="Times New Roman" w:hAnsi="Times New Roman" w:eastAsia="仿宋_GB2312" w:cs="Times New Roman"/>
                <w:color w:val="auto"/>
                <w:kern w:val="0"/>
                <w:sz w:val="21"/>
                <w:szCs w:val="21"/>
                <w:vertAlign w:val="superscript"/>
              </w:rPr>
              <w:t>2</w:t>
            </w:r>
          </w:p>
        </w:tc>
        <w:tc>
          <w:tcPr>
            <w:tcW w:w="709" w:type="dxa"/>
            <w:noWrap/>
            <w:tcMar>
              <w:top w:w="12" w:type="dxa"/>
              <w:left w:w="12" w:type="dxa"/>
              <w:right w:w="12" w:type="dxa"/>
            </w:tcMar>
            <w:vAlign w:val="center"/>
          </w:tcPr>
          <w:p>
            <w:pPr>
              <w:spacing w:line="240" w:lineRule="exact"/>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4.49</w:t>
            </w:r>
          </w:p>
        </w:tc>
        <w:tc>
          <w:tcPr>
            <w:tcW w:w="1701" w:type="dxa"/>
            <w:vAlign w:val="center"/>
          </w:tcPr>
          <w:p>
            <w:pPr>
              <w:spacing w:line="240" w:lineRule="exac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临时堆土场</w:t>
            </w:r>
          </w:p>
        </w:tc>
        <w:tc>
          <w:tcPr>
            <w:tcW w:w="1984" w:type="dxa"/>
            <w:vAlign w:val="center"/>
          </w:tcPr>
          <w:p>
            <w:pPr>
              <w:spacing w:line="240" w:lineRule="exact"/>
              <w:jc w:val="center"/>
              <w:rPr>
                <w:rFonts w:eastAsia="仿宋_GB2312"/>
                <w:color w:val="auto"/>
                <w:sz w:val="21"/>
                <w:szCs w:val="21"/>
              </w:rPr>
            </w:pPr>
            <w:r>
              <w:rPr>
                <w:rFonts w:hint="eastAsia" w:eastAsia="仿宋_GB2312"/>
                <w:color w:val="auto"/>
                <w:sz w:val="21"/>
                <w:szCs w:val="21"/>
              </w:rPr>
              <w:t>铺苫布</w:t>
            </w:r>
          </w:p>
        </w:tc>
        <w:tc>
          <w:tcPr>
            <w:tcW w:w="1560" w:type="dxa"/>
            <w:noWrap/>
            <w:tcMar>
              <w:top w:w="12" w:type="dxa"/>
              <w:left w:w="12" w:type="dxa"/>
              <w:right w:w="12" w:type="dxa"/>
            </w:tcMar>
            <w:vAlign w:val="center"/>
          </w:tcPr>
          <w:p>
            <w:pPr>
              <w:spacing w:line="240" w:lineRule="exact"/>
              <w:jc w:val="center"/>
              <w:rPr>
                <w:rFonts w:eastAsia="仿宋_GB2312"/>
                <w:color w:val="auto"/>
                <w:sz w:val="21"/>
                <w:szCs w:val="21"/>
              </w:rPr>
            </w:pPr>
            <w:r>
              <w:rPr>
                <w:rFonts w:hint="eastAsia" w:eastAsia="仿宋_GB2312"/>
                <w:color w:val="auto"/>
                <w:sz w:val="21"/>
                <w:szCs w:val="21"/>
              </w:rPr>
              <w:t>堆土</w:t>
            </w:r>
            <w:r>
              <w:rPr>
                <w:rFonts w:eastAsia="仿宋_GB2312"/>
                <w:color w:val="auto"/>
                <w:sz w:val="21"/>
                <w:szCs w:val="21"/>
              </w:rPr>
              <w:t>裸露期间</w:t>
            </w:r>
            <w:r>
              <w:rPr>
                <w:rFonts w:hint="eastAsia" w:eastAsia="仿宋_GB2312"/>
                <w:color w:val="auto"/>
                <w:sz w:val="21"/>
                <w:szCs w:val="21"/>
              </w:rPr>
              <w:t>，</w:t>
            </w:r>
            <w:r>
              <w:rPr>
                <w:rFonts w:eastAsia="仿宋_GB2312"/>
                <w:color w:val="auto"/>
                <w:sz w:val="21"/>
                <w:szCs w:val="21"/>
              </w:rPr>
              <w:t>在暴雨前布置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182" w:type="dxa"/>
            <w:noWrap/>
            <w:tcMar>
              <w:top w:w="12" w:type="dxa"/>
              <w:left w:w="12" w:type="dxa"/>
              <w:right w:w="12" w:type="dxa"/>
            </w:tcMar>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临时排水沟</w:t>
            </w:r>
          </w:p>
        </w:tc>
        <w:tc>
          <w:tcPr>
            <w:tcW w:w="709" w:type="dxa"/>
            <w:noWrap/>
            <w:tcMar>
              <w:top w:w="12" w:type="dxa"/>
              <w:left w:w="12" w:type="dxa"/>
              <w:right w:w="12" w:type="dxa"/>
            </w:tcMar>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709" w:type="dxa"/>
            <w:noWrap/>
            <w:tcMar>
              <w:top w:w="12" w:type="dxa"/>
              <w:left w:w="12" w:type="dxa"/>
              <w:right w:w="12" w:type="dxa"/>
            </w:tcMar>
            <w:vAlign w:val="center"/>
          </w:tcPr>
          <w:p>
            <w:pPr>
              <w:spacing w:line="240" w:lineRule="exact"/>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1038</w:t>
            </w:r>
          </w:p>
        </w:tc>
        <w:tc>
          <w:tcPr>
            <w:tcW w:w="1701" w:type="dxa"/>
            <w:vAlign w:val="center"/>
          </w:tcPr>
          <w:p>
            <w:pPr>
              <w:spacing w:line="240" w:lineRule="exac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临时堆土场</w:t>
            </w:r>
            <w:r>
              <w:rPr>
                <w:rFonts w:ascii="Times New Roman" w:hAnsi="Times New Roman" w:eastAsia="仿宋_GB2312" w:cs="Times New Roman"/>
                <w:color w:val="auto"/>
                <w:sz w:val="21"/>
                <w:szCs w:val="21"/>
              </w:rPr>
              <w:t>周边</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编织袋拦挡外侧</w:t>
            </w:r>
          </w:p>
        </w:tc>
        <w:tc>
          <w:tcPr>
            <w:tcW w:w="1984" w:type="dxa"/>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土沟</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底宽0.2m，深0.</w:t>
            </w:r>
            <w:r>
              <w:rPr>
                <w:rFonts w:hint="eastAsia" w:ascii="Times New Roman" w:hAnsi="Times New Roman" w:eastAsia="仿宋_GB2312" w:cs="Times New Roman"/>
                <w:color w:val="auto"/>
                <w:sz w:val="21"/>
                <w:szCs w:val="21"/>
                <w:lang w:val="en-US" w:eastAsia="zh-CN"/>
              </w:rPr>
              <w:t>4</w:t>
            </w:r>
            <w:r>
              <w:rPr>
                <w:rFonts w:ascii="Times New Roman" w:hAnsi="Times New Roman" w:eastAsia="仿宋_GB2312" w:cs="Times New Roman"/>
                <w:color w:val="auto"/>
                <w:sz w:val="21"/>
                <w:szCs w:val="21"/>
              </w:rPr>
              <w:t>m，坡比1:</w:t>
            </w:r>
            <w:r>
              <w:rPr>
                <w:rFonts w:hint="eastAsia" w:ascii="Times New Roman" w:hAnsi="Times New Roman" w:eastAsia="仿宋_GB2312" w:cs="Times New Roman"/>
                <w:color w:val="auto"/>
                <w:sz w:val="21"/>
                <w:szCs w:val="21"/>
              </w:rPr>
              <w:t>1，安全超高0.2m</w:t>
            </w:r>
          </w:p>
        </w:tc>
        <w:tc>
          <w:tcPr>
            <w:tcW w:w="1560" w:type="dxa"/>
            <w:vMerge w:val="restart"/>
            <w:noWrap/>
            <w:tcMar>
              <w:top w:w="12" w:type="dxa"/>
              <w:left w:w="12" w:type="dxa"/>
              <w:right w:w="12" w:type="dxa"/>
            </w:tcMar>
            <w:vAlign w:val="center"/>
          </w:tcPr>
          <w:p>
            <w:pPr>
              <w:spacing w:line="240" w:lineRule="exac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堆土前，编织袋拦挡</w:t>
            </w:r>
            <w:r>
              <w:rPr>
                <w:rFonts w:ascii="Times New Roman" w:hAnsi="Times New Roman" w:eastAsia="仿宋_GB2312" w:cs="Times New Roman"/>
                <w:color w:val="auto"/>
                <w:sz w:val="21"/>
                <w:szCs w:val="21"/>
              </w:rPr>
              <w:t>同步</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1182" w:type="dxa"/>
            <w:noWrap/>
            <w:tcMar>
              <w:top w:w="12" w:type="dxa"/>
              <w:left w:w="12" w:type="dxa"/>
              <w:right w:w="12" w:type="dxa"/>
            </w:tcMar>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临时沉沙池</w:t>
            </w:r>
          </w:p>
        </w:tc>
        <w:tc>
          <w:tcPr>
            <w:tcW w:w="709" w:type="dxa"/>
            <w:noWrap/>
            <w:tcMar>
              <w:top w:w="12" w:type="dxa"/>
              <w:left w:w="12" w:type="dxa"/>
              <w:right w:w="12" w:type="dxa"/>
            </w:tcMar>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个</w:t>
            </w:r>
          </w:p>
        </w:tc>
        <w:tc>
          <w:tcPr>
            <w:tcW w:w="709" w:type="dxa"/>
            <w:noWrap/>
            <w:tcMar>
              <w:top w:w="12" w:type="dxa"/>
              <w:left w:w="12" w:type="dxa"/>
              <w:right w:w="12" w:type="dxa"/>
            </w:tcMar>
            <w:vAlign w:val="center"/>
          </w:tcPr>
          <w:p>
            <w:pPr>
              <w:spacing w:line="240" w:lineRule="exact"/>
              <w:jc w:val="center"/>
              <w:rPr>
                <w:rFonts w:hint="eastAsia"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6</w:t>
            </w:r>
          </w:p>
        </w:tc>
        <w:tc>
          <w:tcPr>
            <w:tcW w:w="1701" w:type="dxa"/>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临时排水沟沿线及排水出口处</w:t>
            </w:r>
          </w:p>
        </w:tc>
        <w:tc>
          <w:tcPr>
            <w:tcW w:w="1984" w:type="dxa"/>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上顶</w:t>
            </w:r>
            <w:r>
              <w:rPr>
                <w:rFonts w:hint="eastAsia" w:ascii="Times New Roman" w:hAnsi="Times New Roman" w:eastAsia="仿宋_GB2312" w:cs="Times New Roman"/>
                <w:color w:val="auto"/>
                <w:sz w:val="21"/>
                <w:szCs w:val="21"/>
              </w:rPr>
              <w:t>3</w:t>
            </w:r>
            <w:r>
              <w:rPr>
                <w:rFonts w:hint="eastAsia" w:ascii="Times New Roman" w:hAnsi="Times New Roman" w:eastAsia="仿宋_GB2312" w:cs="Times New Roman"/>
                <w:color w:val="auto"/>
                <w:sz w:val="21"/>
                <w:szCs w:val="21"/>
                <w:lang w:val="en-US" w:eastAsia="zh-CN"/>
              </w:rPr>
              <w:t>.0</w:t>
            </w:r>
            <w:r>
              <w:rPr>
                <w:rFonts w:ascii="Times New Roman" w:hAnsi="Times New Roman" w:eastAsia="仿宋_GB2312" w:cs="Times New Roman"/>
                <w:color w:val="auto"/>
                <w:sz w:val="21"/>
                <w:szCs w:val="21"/>
              </w:rPr>
              <w:t>m×1</w:t>
            </w:r>
            <w:r>
              <w:rPr>
                <w:rFonts w:hint="eastAsia" w:ascii="Times New Roman" w:hAnsi="Times New Roman" w:eastAsia="仿宋_GB2312" w:cs="Times New Roman"/>
                <w:color w:val="auto"/>
                <w:sz w:val="21"/>
                <w:szCs w:val="21"/>
                <w:lang w:val="en-US" w:eastAsia="zh-CN"/>
              </w:rPr>
              <w:t>.5</w:t>
            </w:r>
            <w:r>
              <w:rPr>
                <w:rFonts w:ascii="Times New Roman" w:hAnsi="Times New Roman" w:eastAsia="仿宋_GB2312" w:cs="Times New Roman"/>
                <w:color w:val="auto"/>
                <w:sz w:val="21"/>
                <w:szCs w:val="21"/>
              </w:rPr>
              <w:t>m，下底1</w:t>
            </w:r>
            <w:r>
              <w:rPr>
                <w:rFonts w:hint="eastAsia" w:ascii="Times New Roman" w:hAnsi="Times New Roman" w:eastAsia="仿宋_GB2312" w:cs="Times New Roman"/>
                <w:color w:val="auto"/>
                <w:sz w:val="21"/>
                <w:szCs w:val="21"/>
              </w:rPr>
              <w:t>.</w:t>
            </w:r>
            <w:r>
              <w:rPr>
                <w:rFonts w:hint="eastAsia" w:ascii="Times New Roman" w:hAnsi="Times New Roman" w:eastAsia="仿宋_GB2312" w:cs="Times New Roman"/>
                <w:color w:val="auto"/>
                <w:sz w:val="21"/>
                <w:szCs w:val="21"/>
                <w:lang w:val="en-US" w:eastAsia="zh-CN"/>
              </w:rPr>
              <w:t>0</w:t>
            </w:r>
            <w:r>
              <w:rPr>
                <w:rFonts w:ascii="Times New Roman" w:hAnsi="Times New Roman" w:eastAsia="仿宋_GB2312" w:cs="Times New Roman"/>
                <w:color w:val="auto"/>
                <w:sz w:val="21"/>
                <w:szCs w:val="21"/>
              </w:rPr>
              <w:t>×0.5m，池厢深度1m</w:t>
            </w:r>
          </w:p>
        </w:tc>
        <w:tc>
          <w:tcPr>
            <w:tcW w:w="1560" w:type="dxa"/>
            <w:vMerge w:val="continue"/>
            <w:noWrap/>
            <w:tcMar>
              <w:top w:w="12" w:type="dxa"/>
              <w:left w:w="12" w:type="dxa"/>
              <w:right w:w="12" w:type="dxa"/>
            </w:tcMar>
            <w:vAlign w:val="center"/>
          </w:tcPr>
          <w:p>
            <w:pPr>
              <w:spacing w:line="240" w:lineRule="exact"/>
              <w:jc w:val="center"/>
              <w:rPr>
                <w:rFonts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spacing w:line="240" w:lineRule="exac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4</w:t>
            </w:r>
          </w:p>
        </w:tc>
        <w:tc>
          <w:tcPr>
            <w:tcW w:w="1182" w:type="dxa"/>
            <w:noWrap/>
            <w:tcMar>
              <w:top w:w="12" w:type="dxa"/>
              <w:left w:w="12" w:type="dxa"/>
              <w:right w:w="12" w:type="dxa"/>
            </w:tcMar>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编织袋拦挡</w:t>
            </w:r>
          </w:p>
        </w:tc>
        <w:tc>
          <w:tcPr>
            <w:tcW w:w="709" w:type="dxa"/>
            <w:noWrap/>
            <w:tcMar>
              <w:top w:w="12" w:type="dxa"/>
              <w:left w:w="12" w:type="dxa"/>
              <w:right w:w="12" w:type="dxa"/>
            </w:tcMar>
            <w:vAlign w:val="center"/>
          </w:tcPr>
          <w:p>
            <w:pPr>
              <w:spacing w:line="240" w:lineRule="exac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m</w:t>
            </w:r>
          </w:p>
        </w:tc>
        <w:tc>
          <w:tcPr>
            <w:tcW w:w="709" w:type="dxa"/>
            <w:noWrap/>
            <w:tcMar>
              <w:top w:w="12" w:type="dxa"/>
              <w:left w:w="12" w:type="dxa"/>
              <w:right w:w="12" w:type="dxa"/>
            </w:tcMar>
            <w:vAlign w:val="center"/>
          </w:tcPr>
          <w:p>
            <w:pPr>
              <w:spacing w:line="240" w:lineRule="exact"/>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1028</w:t>
            </w:r>
          </w:p>
        </w:tc>
        <w:tc>
          <w:tcPr>
            <w:tcW w:w="1701" w:type="dxa"/>
            <w:vAlign w:val="center"/>
          </w:tcPr>
          <w:p>
            <w:pPr>
              <w:spacing w:line="240" w:lineRule="exac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临时堆土场</w:t>
            </w:r>
            <w:r>
              <w:rPr>
                <w:rFonts w:ascii="Times New Roman" w:hAnsi="Times New Roman" w:eastAsia="仿宋_GB2312" w:cs="Times New Roman"/>
                <w:color w:val="auto"/>
                <w:sz w:val="21"/>
                <w:szCs w:val="21"/>
              </w:rPr>
              <w:t>周边</w:t>
            </w:r>
          </w:p>
        </w:tc>
        <w:tc>
          <w:tcPr>
            <w:tcW w:w="1984" w:type="dxa"/>
            <w:vAlign w:val="center"/>
          </w:tcPr>
          <w:p>
            <w:pPr>
              <w:spacing w:line="240" w:lineRule="exact"/>
              <w:jc w:val="center"/>
              <w:rPr>
                <w:rFonts w:ascii="Times New Roman" w:hAnsi="Times New Roman" w:eastAsia="仿宋_GB2312" w:cs="Times New Roman"/>
                <w:color w:val="auto"/>
                <w:sz w:val="21"/>
                <w:szCs w:val="21"/>
              </w:rPr>
            </w:pPr>
            <w:r>
              <w:rPr>
                <w:rFonts w:ascii="Times New Roman" w:eastAsia="仿宋_GB2312" w:cs="Times New Roman"/>
                <w:color w:val="auto"/>
                <w:sz w:val="21"/>
                <w:szCs w:val="21"/>
              </w:rPr>
              <w:t>高</w:t>
            </w:r>
            <w:r>
              <w:rPr>
                <w:rFonts w:ascii="Times New Roman" w:hAnsi="Times New Roman" w:eastAsia="仿宋_GB2312" w:cs="Times New Roman"/>
                <w:color w:val="auto"/>
                <w:sz w:val="21"/>
                <w:szCs w:val="21"/>
              </w:rPr>
              <w:t>×</w:t>
            </w:r>
            <w:r>
              <w:rPr>
                <w:rFonts w:ascii="Times New Roman" w:eastAsia="仿宋_GB2312" w:cs="Times New Roman"/>
                <w:color w:val="auto"/>
                <w:sz w:val="21"/>
                <w:szCs w:val="21"/>
              </w:rPr>
              <w:t>顶宽</w:t>
            </w:r>
            <w:r>
              <w:rPr>
                <w:rFonts w:ascii="Times New Roman" w:hAnsi="Times New Roman" w:eastAsia="仿宋_GB2312" w:cs="Times New Roman"/>
                <w:color w:val="auto"/>
                <w:sz w:val="21"/>
                <w:szCs w:val="21"/>
              </w:rPr>
              <w:t>×</w:t>
            </w:r>
            <w:r>
              <w:rPr>
                <w:rFonts w:ascii="Times New Roman" w:eastAsia="仿宋_GB2312" w:cs="Times New Roman"/>
                <w:color w:val="auto"/>
                <w:sz w:val="21"/>
                <w:szCs w:val="21"/>
              </w:rPr>
              <w:t>底宽：</w:t>
            </w:r>
            <w:r>
              <w:rPr>
                <w:rFonts w:ascii="Times New Roman" w:hAnsi="Times New Roman" w:eastAsia="仿宋_GB2312" w:cs="Times New Roman"/>
                <w:color w:val="auto"/>
                <w:sz w:val="21"/>
                <w:szCs w:val="21"/>
              </w:rPr>
              <w:t>1m×0.5m×2m</w:t>
            </w:r>
          </w:p>
        </w:tc>
        <w:tc>
          <w:tcPr>
            <w:tcW w:w="1560" w:type="dxa"/>
            <w:noWrap/>
            <w:tcMar>
              <w:top w:w="12" w:type="dxa"/>
              <w:left w:w="12" w:type="dxa"/>
              <w:right w:w="12" w:type="dxa"/>
            </w:tcMar>
            <w:vAlign w:val="center"/>
          </w:tcPr>
          <w:p>
            <w:pPr>
              <w:spacing w:line="240" w:lineRule="exact"/>
              <w:jc w:val="center"/>
              <w:rPr>
                <w:rFonts w:ascii="Times New Roman" w:hAnsi="Times New Roman" w:eastAsia="仿宋_GB2312" w:cs="Times New Roman"/>
                <w:color w:val="auto"/>
                <w:sz w:val="21"/>
                <w:szCs w:val="21"/>
              </w:rPr>
            </w:pPr>
            <w:r>
              <w:rPr>
                <w:rFonts w:ascii="Times New Roman" w:eastAsia="仿宋_GB2312" w:cs="Times New Roman"/>
                <w:color w:val="auto"/>
                <w:sz w:val="21"/>
                <w:szCs w:val="21"/>
              </w:rPr>
              <w:t>临时堆土场投入使用前</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spacing w:line="240" w:lineRule="exac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5</w:t>
            </w:r>
          </w:p>
        </w:tc>
        <w:tc>
          <w:tcPr>
            <w:tcW w:w="1182" w:type="dxa"/>
            <w:noWrap/>
            <w:tcMar>
              <w:top w:w="12" w:type="dxa"/>
              <w:left w:w="12" w:type="dxa"/>
              <w:right w:w="12" w:type="dxa"/>
            </w:tcMar>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撒播草籽</w:t>
            </w:r>
          </w:p>
        </w:tc>
        <w:tc>
          <w:tcPr>
            <w:tcW w:w="709" w:type="dxa"/>
            <w:noWrap/>
            <w:tcMar>
              <w:top w:w="12" w:type="dxa"/>
              <w:left w:w="12" w:type="dxa"/>
              <w:right w:w="12" w:type="dxa"/>
            </w:tcMar>
            <w:vAlign w:val="center"/>
          </w:tcPr>
          <w:p>
            <w:pPr>
              <w:spacing w:line="240" w:lineRule="exact"/>
              <w:jc w:val="center"/>
              <w:rPr>
                <w:rFonts w:ascii="Times New Roman" w:hAnsi="Times New Roman" w:eastAsia="仿宋_GB2312" w:cs="Times New Roman"/>
                <w:color w:val="auto"/>
                <w:sz w:val="21"/>
                <w:szCs w:val="21"/>
                <w:vertAlign w:val="superscript"/>
              </w:rPr>
            </w:pPr>
            <w:r>
              <w:rPr>
                <w:rFonts w:hint="eastAsia" w:ascii="Times New Roman" w:hAnsi="Times New Roman" w:eastAsia="仿宋_GB2312" w:cs="Times New Roman"/>
                <w:color w:val="auto"/>
                <w:sz w:val="21"/>
                <w:szCs w:val="21"/>
              </w:rPr>
              <w:t>hm</w:t>
            </w:r>
            <w:r>
              <w:rPr>
                <w:rFonts w:hint="eastAsia" w:ascii="Times New Roman" w:hAnsi="Times New Roman" w:eastAsia="仿宋_GB2312" w:cs="Times New Roman"/>
                <w:color w:val="auto"/>
                <w:sz w:val="21"/>
                <w:szCs w:val="21"/>
                <w:vertAlign w:val="superscript"/>
              </w:rPr>
              <w:t>2</w:t>
            </w:r>
          </w:p>
        </w:tc>
        <w:tc>
          <w:tcPr>
            <w:tcW w:w="709" w:type="dxa"/>
            <w:noWrap/>
            <w:tcMar>
              <w:top w:w="12" w:type="dxa"/>
              <w:left w:w="12" w:type="dxa"/>
              <w:right w:w="12" w:type="dxa"/>
            </w:tcMar>
            <w:vAlign w:val="center"/>
          </w:tcPr>
          <w:p>
            <w:pPr>
              <w:spacing w:line="240" w:lineRule="exact"/>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4.49</w:t>
            </w:r>
          </w:p>
        </w:tc>
        <w:tc>
          <w:tcPr>
            <w:tcW w:w="1701" w:type="dxa"/>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临时堆</w:t>
            </w:r>
            <w:r>
              <w:rPr>
                <w:rFonts w:hint="eastAsia" w:ascii="Times New Roman" w:hAnsi="Times New Roman" w:eastAsia="仿宋_GB2312" w:cs="Times New Roman"/>
                <w:color w:val="auto"/>
                <w:sz w:val="21"/>
                <w:szCs w:val="21"/>
                <w:lang w:eastAsia="zh-CN"/>
              </w:rPr>
              <w:t>土</w:t>
            </w:r>
            <w:r>
              <w:rPr>
                <w:rFonts w:hint="eastAsia" w:ascii="Times New Roman" w:hAnsi="Times New Roman" w:eastAsia="仿宋_GB2312" w:cs="Times New Roman"/>
                <w:color w:val="auto"/>
                <w:sz w:val="21"/>
                <w:szCs w:val="21"/>
              </w:rPr>
              <w:t>顶部</w:t>
            </w:r>
          </w:p>
        </w:tc>
        <w:tc>
          <w:tcPr>
            <w:tcW w:w="1984" w:type="dxa"/>
            <w:vAlign w:val="center"/>
          </w:tcPr>
          <w:p>
            <w:pPr>
              <w:spacing w:line="240" w:lineRule="exac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混合草籽，撒播，80</w:t>
            </w:r>
            <w:r>
              <w:rPr>
                <w:rFonts w:ascii="Times New Roman" w:hAnsi="Times New Roman" w:eastAsia="仿宋_GB2312" w:cs="Times New Roman"/>
                <w:color w:val="auto"/>
                <w:sz w:val="21"/>
                <w:szCs w:val="21"/>
              </w:rPr>
              <w:t>kg/hm</w:t>
            </w:r>
            <w:r>
              <w:rPr>
                <w:rFonts w:ascii="Times New Roman" w:hAnsi="Times New Roman" w:eastAsia="仿宋_GB2312" w:cs="Times New Roman"/>
                <w:color w:val="auto"/>
                <w:sz w:val="21"/>
                <w:szCs w:val="21"/>
                <w:vertAlign w:val="superscript"/>
              </w:rPr>
              <w:t>2</w:t>
            </w:r>
          </w:p>
        </w:tc>
        <w:tc>
          <w:tcPr>
            <w:tcW w:w="1560" w:type="dxa"/>
            <w:noWrap/>
            <w:tcMar>
              <w:top w:w="12" w:type="dxa"/>
              <w:left w:w="12" w:type="dxa"/>
              <w:right w:w="12" w:type="dxa"/>
            </w:tcMar>
            <w:vAlign w:val="center"/>
          </w:tcPr>
          <w:p>
            <w:pPr>
              <w:spacing w:line="240" w:lineRule="exac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堆土后的</w:t>
            </w:r>
            <w:r>
              <w:rPr>
                <w:rFonts w:ascii="Times New Roman" w:hAnsi="Times New Roman" w:eastAsia="仿宋_GB2312" w:cs="Times New Roman"/>
                <w:color w:val="auto"/>
                <w:sz w:val="21"/>
                <w:szCs w:val="21"/>
              </w:rPr>
              <w:t>春</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冬季</w:t>
            </w:r>
          </w:p>
        </w:tc>
      </w:tr>
    </w:tbl>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lang w:val="en-US" w:eastAsia="zh-CN"/>
        </w:rPr>
        <w:t>2</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苗木</w:t>
      </w:r>
      <w:r>
        <w:rPr>
          <w:rFonts w:ascii="Times New Roman" w:hAnsi="Times New Roman" w:eastAsia="仿宋_GB2312" w:cs="Times New Roman"/>
          <w:color w:val="auto"/>
          <w:szCs w:val="24"/>
        </w:rPr>
        <w:t>移栽防治区</w:t>
      </w:r>
    </w:p>
    <w:p>
      <w:pPr>
        <w:widowControl/>
        <w:snapToGrid w:val="0"/>
        <w:spacing w:line="360" w:lineRule="auto"/>
        <w:ind w:firstLine="480" w:firstLineChars="200"/>
        <w:jc w:val="left"/>
        <w:rPr>
          <w:rFonts w:ascii="Times New Roman" w:hAnsi="Times New Roman" w:eastAsia="仿宋_GB2312"/>
          <w:color w:val="auto"/>
        </w:rPr>
      </w:pPr>
      <w:r>
        <w:rPr>
          <w:rFonts w:hint="eastAsia" w:ascii="Times New Roman" w:hAnsi="Times New Roman" w:eastAsia="仿宋_GB2312"/>
          <w:color w:val="auto"/>
        </w:rPr>
        <w:t>苗木移栽期间，将产生大面积裸露区域，根据实际需求，于苗木移栽区补充设置临时排水沉沙措施，组织场地内雨水走向，防止发生大面积水土流失。</w:t>
      </w:r>
    </w:p>
    <w:p>
      <w:pPr>
        <w:widowControl/>
        <w:snapToGrid w:val="0"/>
        <w:spacing w:line="360" w:lineRule="auto"/>
        <w:jc w:val="center"/>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表</w:t>
      </w:r>
      <w:r>
        <w:rPr>
          <w:rFonts w:ascii="Times New Roman" w:hAnsi="Times New Roman" w:eastAsia="仿宋_GB2312" w:cs="Times New Roman"/>
          <w:b/>
          <w:color w:val="auto"/>
          <w:szCs w:val="24"/>
        </w:rPr>
        <w:t>1</w:t>
      </w:r>
      <w:r>
        <w:rPr>
          <w:rFonts w:hint="eastAsia" w:ascii="Times New Roman" w:hAnsi="Times New Roman" w:eastAsia="仿宋_GB2312" w:cs="Times New Roman"/>
          <w:b/>
          <w:color w:val="auto"/>
          <w:szCs w:val="24"/>
        </w:rPr>
        <w:t>.</w:t>
      </w:r>
      <w:r>
        <w:rPr>
          <w:rFonts w:ascii="Times New Roman" w:hAnsi="Times New Roman" w:eastAsia="仿宋_GB2312" w:cs="Times New Roman"/>
          <w:b/>
          <w:color w:val="auto"/>
          <w:szCs w:val="24"/>
        </w:rPr>
        <w:t>8-</w:t>
      </w:r>
      <w:r>
        <w:rPr>
          <w:rFonts w:hint="eastAsia" w:ascii="Times New Roman" w:hAnsi="Times New Roman" w:eastAsia="仿宋_GB2312" w:cs="Times New Roman"/>
          <w:b/>
          <w:color w:val="auto"/>
          <w:szCs w:val="24"/>
          <w:lang w:val="en-US" w:eastAsia="zh-CN"/>
        </w:rPr>
        <w:t>7</w:t>
      </w:r>
      <w:r>
        <w:rPr>
          <w:rFonts w:ascii="Times New Roman" w:hAnsi="Times New Roman" w:eastAsia="仿宋_GB2312" w:cs="Times New Roman"/>
          <w:b/>
          <w:color w:val="auto"/>
          <w:szCs w:val="24"/>
        </w:rPr>
        <w:t>：</w:t>
      </w:r>
      <w:r>
        <w:rPr>
          <w:rFonts w:hint="eastAsia" w:ascii="Times New Roman" w:hAnsi="Times New Roman" w:eastAsia="仿宋_GB2312" w:cs="Times New Roman"/>
          <w:b/>
          <w:color w:val="auto"/>
          <w:szCs w:val="24"/>
        </w:rPr>
        <w:t>苗木移栽</w:t>
      </w:r>
      <w:r>
        <w:rPr>
          <w:rFonts w:ascii="Times New Roman" w:hAnsi="Times New Roman" w:eastAsia="仿宋_GB2312" w:cs="Times New Roman"/>
          <w:b/>
          <w:color w:val="auto"/>
          <w:szCs w:val="24"/>
        </w:rPr>
        <w:t>防治区措施布设表</w:t>
      </w:r>
    </w:p>
    <w:tbl>
      <w:tblPr>
        <w:tblStyle w:val="37"/>
        <w:tblW w:w="8423"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578"/>
        <w:gridCol w:w="1182"/>
        <w:gridCol w:w="709"/>
        <w:gridCol w:w="709"/>
        <w:gridCol w:w="1701"/>
        <w:gridCol w:w="1984"/>
        <w:gridCol w:w="156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序号</w:t>
            </w:r>
          </w:p>
        </w:tc>
        <w:tc>
          <w:tcPr>
            <w:tcW w:w="1182"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hint="eastAsia" w:ascii="Times New Roman" w:hAnsi="Times New Roman" w:eastAsia="仿宋_GB2312" w:cs="Times New Roman"/>
                <w:b/>
                <w:color w:val="auto"/>
                <w:kern w:val="0"/>
                <w:sz w:val="21"/>
                <w:szCs w:val="21"/>
                <w:lang w:val="en-US" w:eastAsia="zh-CN"/>
              </w:rPr>
              <w:t>措施</w:t>
            </w:r>
            <w:r>
              <w:rPr>
                <w:rFonts w:ascii="Times New Roman" w:hAnsi="Times New Roman" w:eastAsia="仿宋_GB2312" w:cs="Times New Roman"/>
                <w:b/>
                <w:color w:val="auto"/>
                <w:kern w:val="0"/>
                <w:sz w:val="21"/>
                <w:szCs w:val="21"/>
              </w:rPr>
              <w:t>名称</w:t>
            </w:r>
          </w:p>
        </w:tc>
        <w:tc>
          <w:tcPr>
            <w:tcW w:w="709"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单位</w:t>
            </w:r>
          </w:p>
        </w:tc>
        <w:tc>
          <w:tcPr>
            <w:tcW w:w="709"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工程量</w:t>
            </w:r>
          </w:p>
        </w:tc>
        <w:tc>
          <w:tcPr>
            <w:tcW w:w="1701" w:type="dxa"/>
            <w:vAlign w:val="center"/>
          </w:tcPr>
          <w:p>
            <w:pPr>
              <w:widowControl/>
              <w:jc w:val="center"/>
              <w:textAlignment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布设位置</w:t>
            </w:r>
          </w:p>
        </w:tc>
        <w:tc>
          <w:tcPr>
            <w:tcW w:w="1984" w:type="dxa"/>
            <w:vAlign w:val="center"/>
          </w:tcPr>
          <w:p>
            <w:pPr>
              <w:widowControl/>
              <w:jc w:val="center"/>
              <w:textAlignment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结构形式</w:t>
            </w:r>
          </w:p>
        </w:tc>
        <w:tc>
          <w:tcPr>
            <w:tcW w:w="1560" w:type="dxa"/>
            <w:noWrap/>
            <w:tcMar>
              <w:top w:w="12" w:type="dxa"/>
              <w:left w:w="12" w:type="dxa"/>
              <w:right w:w="12" w:type="dxa"/>
            </w:tcMar>
            <w:vAlign w:val="center"/>
          </w:tcPr>
          <w:p>
            <w:pPr>
              <w:widowControl/>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布设时间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hint="eastAsia" w:ascii="Times New Roman" w:hAnsi="Times New Roman" w:eastAsia="仿宋_GB2312" w:cs="Times New Roman"/>
                <w:b/>
                <w:color w:val="auto"/>
                <w:sz w:val="21"/>
                <w:szCs w:val="21"/>
              </w:rPr>
              <w:t>一</w:t>
            </w:r>
          </w:p>
        </w:tc>
        <w:tc>
          <w:tcPr>
            <w:tcW w:w="1182" w:type="dxa"/>
            <w:noWrap/>
            <w:tcMar>
              <w:top w:w="12" w:type="dxa"/>
              <w:left w:w="12" w:type="dxa"/>
              <w:right w:w="12" w:type="dxa"/>
            </w:tcMar>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临时措施</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c>
          <w:tcPr>
            <w:tcW w:w="1701" w:type="dxa"/>
            <w:vAlign w:val="center"/>
          </w:tcPr>
          <w:p>
            <w:pPr>
              <w:jc w:val="center"/>
              <w:rPr>
                <w:rFonts w:ascii="Times New Roman" w:hAnsi="Times New Roman" w:eastAsia="仿宋_GB2312" w:cs="Times New Roman"/>
                <w:color w:val="auto"/>
                <w:sz w:val="21"/>
                <w:szCs w:val="21"/>
              </w:rPr>
            </w:pPr>
          </w:p>
        </w:tc>
        <w:tc>
          <w:tcPr>
            <w:tcW w:w="1984" w:type="dxa"/>
            <w:vAlign w:val="center"/>
          </w:tcPr>
          <w:p>
            <w:pPr>
              <w:jc w:val="center"/>
              <w:rPr>
                <w:rFonts w:ascii="Times New Roman" w:hAnsi="Times New Roman" w:eastAsia="仿宋_GB2312" w:cs="Times New Roman"/>
                <w:color w:val="auto"/>
                <w:sz w:val="21"/>
                <w:szCs w:val="21"/>
              </w:rPr>
            </w:pPr>
          </w:p>
        </w:tc>
        <w:tc>
          <w:tcPr>
            <w:tcW w:w="1560"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临时排水沟</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182</w:t>
            </w:r>
          </w:p>
        </w:tc>
        <w:tc>
          <w:tcPr>
            <w:tcW w:w="1701"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苗木移栽范围周边</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土沟</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底宽0.2m，深0.</w:t>
            </w:r>
            <w:r>
              <w:rPr>
                <w:rFonts w:hint="eastAsia" w:ascii="Times New Roman" w:hAnsi="Times New Roman" w:eastAsia="仿宋_GB2312" w:cs="Times New Roman"/>
                <w:color w:val="auto"/>
                <w:sz w:val="21"/>
                <w:szCs w:val="21"/>
                <w:lang w:val="en-US" w:eastAsia="zh-CN"/>
              </w:rPr>
              <w:t>4</w:t>
            </w:r>
            <w:r>
              <w:rPr>
                <w:rFonts w:ascii="Times New Roman" w:hAnsi="Times New Roman" w:eastAsia="仿宋_GB2312" w:cs="Times New Roman"/>
                <w:color w:val="auto"/>
                <w:sz w:val="21"/>
                <w:szCs w:val="21"/>
              </w:rPr>
              <w:t>m，坡比1:</w:t>
            </w:r>
            <w:r>
              <w:rPr>
                <w:rFonts w:hint="eastAsia" w:ascii="Times New Roman" w:hAnsi="Times New Roman" w:eastAsia="仿宋_GB2312" w:cs="Times New Roman"/>
                <w:color w:val="auto"/>
                <w:sz w:val="21"/>
                <w:szCs w:val="21"/>
              </w:rPr>
              <w:t>1，安全超高0.2m</w:t>
            </w:r>
          </w:p>
        </w:tc>
        <w:tc>
          <w:tcPr>
            <w:tcW w:w="1560" w:type="dxa"/>
            <w:vMerge w:val="restart"/>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苗木移栽前</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blHeader/>
          <w:jc w:val="center"/>
        </w:trPr>
        <w:tc>
          <w:tcPr>
            <w:tcW w:w="578"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w:t>
            </w:r>
          </w:p>
        </w:tc>
        <w:tc>
          <w:tcPr>
            <w:tcW w:w="1182" w:type="dxa"/>
            <w:noWrap/>
            <w:tcMar>
              <w:top w:w="12" w:type="dxa"/>
              <w:left w:w="12" w:type="dxa"/>
              <w:right w:w="12" w:type="dxa"/>
            </w:tcMar>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临时沉沙池</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个</w:t>
            </w:r>
          </w:p>
        </w:tc>
        <w:tc>
          <w:tcPr>
            <w:tcW w:w="709" w:type="dxa"/>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c>
          <w:tcPr>
            <w:tcW w:w="1701"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临时排水沟沿线及排水出口处</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上顶</w:t>
            </w:r>
            <w:r>
              <w:rPr>
                <w:rFonts w:hint="eastAsia" w:ascii="Times New Roman" w:hAnsi="Times New Roman" w:eastAsia="仿宋_GB2312" w:cs="Times New Roman"/>
                <w:color w:val="auto"/>
                <w:sz w:val="21"/>
                <w:szCs w:val="21"/>
              </w:rPr>
              <w:t>3</w:t>
            </w:r>
            <w:r>
              <w:rPr>
                <w:rFonts w:hint="eastAsia" w:ascii="Times New Roman" w:hAnsi="Times New Roman" w:eastAsia="仿宋_GB2312" w:cs="Times New Roman"/>
                <w:color w:val="auto"/>
                <w:sz w:val="21"/>
                <w:szCs w:val="21"/>
                <w:lang w:val="en-US" w:eastAsia="zh-CN"/>
              </w:rPr>
              <w:t>.0</w:t>
            </w:r>
            <w:r>
              <w:rPr>
                <w:rFonts w:ascii="Times New Roman" w:hAnsi="Times New Roman" w:eastAsia="仿宋_GB2312" w:cs="Times New Roman"/>
                <w:color w:val="auto"/>
                <w:sz w:val="21"/>
                <w:szCs w:val="21"/>
              </w:rPr>
              <w:t>m×1</w:t>
            </w:r>
            <w:r>
              <w:rPr>
                <w:rFonts w:hint="eastAsia" w:ascii="Times New Roman" w:hAnsi="Times New Roman" w:eastAsia="仿宋_GB2312" w:cs="Times New Roman"/>
                <w:color w:val="auto"/>
                <w:sz w:val="21"/>
                <w:szCs w:val="21"/>
                <w:lang w:val="en-US" w:eastAsia="zh-CN"/>
              </w:rPr>
              <w:t>.5</w:t>
            </w:r>
            <w:r>
              <w:rPr>
                <w:rFonts w:ascii="Times New Roman" w:hAnsi="Times New Roman" w:eastAsia="仿宋_GB2312" w:cs="Times New Roman"/>
                <w:color w:val="auto"/>
                <w:sz w:val="21"/>
                <w:szCs w:val="21"/>
              </w:rPr>
              <w:t>m，下底1</w:t>
            </w:r>
            <w:r>
              <w:rPr>
                <w:rFonts w:hint="eastAsia" w:ascii="Times New Roman" w:hAnsi="Times New Roman" w:eastAsia="仿宋_GB2312" w:cs="Times New Roman"/>
                <w:color w:val="auto"/>
                <w:sz w:val="21"/>
                <w:szCs w:val="21"/>
              </w:rPr>
              <w:t>.</w:t>
            </w:r>
            <w:r>
              <w:rPr>
                <w:rFonts w:hint="eastAsia" w:ascii="Times New Roman" w:hAnsi="Times New Roman" w:eastAsia="仿宋_GB2312" w:cs="Times New Roman"/>
                <w:color w:val="auto"/>
                <w:sz w:val="21"/>
                <w:szCs w:val="21"/>
                <w:lang w:val="en-US" w:eastAsia="zh-CN"/>
              </w:rPr>
              <w:t>0</w:t>
            </w:r>
            <w:r>
              <w:rPr>
                <w:rFonts w:ascii="Times New Roman" w:hAnsi="Times New Roman" w:eastAsia="仿宋_GB2312" w:cs="Times New Roman"/>
                <w:color w:val="auto"/>
                <w:sz w:val="21"/>
                <w:szCs w:val="21"/>
              </w:rPr>
              <w:t>×0.5m，池厢深度1m</w:t>
            </w:r>
          </w:p>
        </w:tc>
        <w:tc>
          <w:tcPr>
            <w:tcW w:w="1560" w:type="dxa"/>
            <w:vMerge w:val="continue"/>
            <w:noWrap/>
            <w:tcMar>
              <w:top w:w="12" w:type="dxa"/>
              <w:left w:w="12" w:type="dxa"/>
              <w:right w:w="12" w:type="dxa"/>
            </w:tcMar>
            <w:vAlign w:val="center"/>
          </w:tcPr>
          <w:p>
            <w:pPr>
              <w:jc w:val="center"/>
              <w:rPr>
                <w:rFonts w:ascii="Times New Roman" w:hAnsi="Times New Roman" w:eastAsia="仿宋_GB2312" w:cs="Times New Roman"/>
                <w:color w:val="auto"/>
                <w:sz w:val="21"/>
                <w:szCs w:val="21"/>
              </w:rPr>
            </w:pPr>
          </w:p>
        </w:tc>
      </w:tr>
    </w:tbl>
    <w:p>
      <w:pPr>
        <w:pStyle w:val="5"/>
        <w:rPr>
          <w:color w:val="auto"/>
        </w:rPr>
      </w:pPr>
      <w:bookmarkStart w:id="99" w:name="_Toc21542"/>
      <w:r>
        <w:rPr>
          <w:color w:val="auto"/>
        </w:rPr>
        <w:t>1.9</w:t>
      </w:r>
      <w:r>
        <w:rPr>
          <w:rFonts w:eastAsia="仿宋_GB2312"/>
          <w:color w:val="auto"/>
        </w:rPr>
        <w:t>水土保持监测</w:t>
      </w:r>
      <w:bookmarkEnd w:id="88"/>
      <w:bookmarkEnd w:id="89"/>
      <w:bookmarkEnd w:id="90"/>
      <w:bookmarkEnd w:id="91"/>
      <w:bookmarkEnd w:id="92"/>
      <w:bookmarkEnd w:id="93"/>
      <w:bookmarkEnd w:id="94"/>
      <w:bookmarkEnd w:id="95"/>
      <w:bookmarkEnd w:id="96"/>
      <w:bookmarkEnd w:id="97"/>
      <w:bookmarkEnd w:id="98"/>
      <w:r>
        <w:rPr>
          <w:rFonts w:eastAsia="仿宋_GB2312"/>
          <w:color w:val="auto"/>
        </w:rPr>
        <w:t>方案</w:t>
      </w:r>
      <w:bookmarkEnd w:id="99"/>
    </w:p>
    <w:p>
      <w:pPr>
        <w:snapToGrid w:val="0"/>
        <w:spacing w:line="360" w:lineRule="auto"/>
        <w:ind w:firstLine="482"/>
        <w:rPr>
          <w:rFonts w:ascii="Times New Roman" w:hAnsi="Times New Roman" w:eastAsia="仿宋_GB2312" w:cs="Times New Roman"/>
          <w:color w:val="auto"/>
          <w:kern w:val="0"/>
          <w:szCs w:val="24"/>
        </w:rPr>
      </w:pPr>
      <w:bookmarkStart w:id="100" w:name="_Toc17320"/>
      <w:bookmarkStart w:id="101" w:name="_Toc15833"/>
      <w:bookmarkStart w:id="102" w:name="_Toc22193"/>
      <w:bookmarkStart w:id="103" w:name="_Toc451799191"/>
      <w:bookmarkStart w:id="104" w:name="_Toc28857"/>
      <w:bookmarkStart w:id="105" w:name="_Toc8833"/>
      <w:bookmarkStart w:id="106" w:name="_Toc499039853"/>
      <w:bookmarkStart w:id="107" w:name="_Toc28580"/>
      <w:r>
        <w:rPr>
          <w:rFonts w:ascii="Times New Roman" w:hAnsi="Times New Roman" w:eastAsia="仿宋_GB2312" w:cs="Times New Roman"/>
          <w:color w:val="auto"/>
          <w:szCs w:val="24"/>
        </w:rPr>
        <w:t>本</w:t>
      </w: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区域水土保持监测内容包括水土流失自然影响因素、扰动土地</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水土流失状况、水土保持措施和水土流失危害等。监测时段为202</w:t>
      </w:r>
      <w:r>
        <w:rPr>
          <w:rFonts w:hint="eastAsia" w:ascii="Times New Roman" w:hAnsi="Times New Roman" w:eastAsia="仿宋_GB2312" w:cs="Times New Roman"/>
          <w:color w:val="auto"/>
          <w:szCs w:val="24"/>
        </w:rPr>
        <w:t>1</w:t>
      </w:r>
      <w:r>
        <w:rPr>
          <w:rFonts w:ascii="Times New Roman" w:hAnsi="Times New Roman" w:eastAsia="仿宋_GB2312" w:cs="Times New Roman"/>
          <w:color w:val="auto"/>
          <w:szCs w:val="24"/>
        </w:rPr>
        <w:t>年</w:t>
      </w:r>
      <w:r>
        <w:rPr>
          <w:rFonts w:hint="eastAsia" w:ascii="Times New Roman" w:hAnsi="Times New Roman" w:eastAsia="仿宋_GB2312" w:cs="Times New Roman"/>
          <w:color w:val="auto"/>
          <w:szCs w:val="24"/>
        </w:rPr>
        <w:t>1</w:t>
      </w:r>
      <w:r>
        <w:rPr>
          <w:rFonts w:ascii="Times New Roman" w:hAnsi="Times New Roman" w:eastAsia="仿宋_GB2312" w:cs="Times New Roman"/>
          <w:color w:val="auto"/>
          <w:szCs w:val="24"/>
        </w:rPr>
        <w:t>月至202</w:t>
      </w:r>
      <w:r>
        <w:rPr>
          <w:rFonts w:hint="eastAsia" w:ascii="Times New Roman" w:hAnsi="Times New Roman" w:eastAsia="仿宋_GB2312" w:cs="Times New Roman"/>
          <w:color w:val="auto"/>
          <w:szCs w:val="24"/>
        </w:rPr>
        <w:t>6</w:t>
      </w:r>
      <w:r>
        <w:rPr>
          <w:rFonts w:ascii="Times New Roman" w:hAnsi="Times New Roman" w:eastAsia="仿宋_GB2312" w:cs="Times New Roman"/>
          <w:color w:val="auto"/>
          <w:szCs w:val="24"/>
        </w:rPr>
        <w:t>年</w:t>
      </w:r>
      <w:r>
        <w:rPr>
          <w:rFonts w:hint="eastAsia" w:ascii="Times New Roman" w:hAnsi="Times New Roman" w:eastAsia="仿宋_GB2312" w:cs="Times New Roman"/>
          <w:color w:val="auto"/>
          <w:szCs w:val="24"/>
        </w:rPr>
        <w:t>12</w:t>
      </w:r>
      <w:r>
        <w:rPr>
          <w:rFonts w:ascii="Times New Roman" w:hAnsi="Times New Roman" w:eastAsia="仿宋_GB2312" w:cs="Times New Roman"/>
          <w:color w:val="auto"/>
          <w:szCs w:val="24"/>
        </w:rPr>
        <w:t>月，监测范围为</w:t>
      </w:r>
      <w:r>
        <w:rPr>
          <w:rFonts w:ascii="Times New Roman" w:hAnsi="Times New Roman" w:eastAsia="仿宋_GB2312" w:cs="Times New Roman"/>
          <w:color w:val="auto"/>
          <w:kern w:val="0"/>
          <w:szCs w:val="24"/>
        </w:rPr>
        <w:t>为水土流失防治责任范围</w:t>
      </w:r>
      <w:r>
        <w:rPr>
          <w:rFonts w:hint="eastAsia" w:ascii="Times New Roman" w:hAnsi="Times New Roman" w:eastAsia="仿宋_GB2312" w:cs="Times New Roman"/>
          <w:color w:val="auto"/>
          <w:kern w:val="0"/>
          <w:szCs w:val="24"/>
        </w:rPr>
        <w:t>100hm</w:t>
      </w:r>
      <w:r>
        <w:rPr>
          <w:rFonts w:hint="eastAsia" w:ascii="Times New Roman" w:hAnsi="Times New Roman" w:eastAsia="仿宋_GB2312" w:cs="Times New Roman"/>
          <w:color w:val="auto"/>
          <w:kern w:val="0"/>
          <w:szCs w:val="24"/>
          <w:vertAlign w:val="superscript"/>
        </w:rPr>
        <w:t>2</w:t>
      </w:r>
      <w:r>
        <w:rPr>
          <w:rFonts w:hint="eastAsia" w:ascii="Times New Roman" w:hAnsi="Times New Roman" w:eastAsia="仿宋_GB2312" w:cs="Times New Roman"/>
          <w:color w:val="auto"/>
          <w:kern w:val="0"/>
          <w:szCs w:val="24"/>
        </w:rPr>
        <w:t>，</w:t>
      </w:r>
      <w:r>
        <w:rPr>
          <w:rFonts w:ascii="Times New Roman" w:hAnsi="Times New Roman" w:eastAsia="仿宋_GB2312" w:cs="Times New Roman"/>
          <w:color w:val="auto"/>
          <w:szCs w:val="24"/>
        </w:rPr>
        <w:t>监测采用定位观测和调查监测相结合方</w:t>
      </w:r>
      <w:r>
        <w:rPr>
          <w:rFonts w:hint="eastAsia" w:ascii="Times New Roman" w:hAnsi="Times New Roman" w:eastAsia="仿宋_GB2312" w:cs="Times New Roman"/>
          <w:color w:val="auto"/>
          <w:szCs w:val="24"/>
        </w:rPr>
        <w:t>法，采用调查监测、定点监测、遥感监测和无人机航拍法等监测方法进行监测</w:t>
      </w:r>
      <w:r>
        <w:rPr>
          <w:rFonts w:ascii="Times New Roman" w:hAnsi="Times New Roman" w:eastAsia="仿宋_GB2312" w:cs="Times New Roman"/>
          <w:color w:val="auto"/>
          <w:szCs w:val="24"/>
        </w:rPr>
        <w:t>。共布设</w:t>
      </w:r>
      <w:r>
        <w:rPr>
          <w:rFonts w:hint="eastAsia" w:ascii="Times New Roman" w:hAnsi="Times New Roman" w:eastAsia="仿宋_GB2312" w:cs="Times New Roman"/>
          <w:color w:val="auto"/>
          <w:szCs w:val="24"/>
          <w:lang w:val="en-US" w:eastAsia="zh-CN"/>
        </w:rPr>
        <w:t>28</w:t>
      </w:r>
      <w:r>
        <w:rPr>
          <w:rFonts w:ascii="Times New Roman" w:hAnsi="Times New Roman" w:eastAsia="仿宋_GB2312" w:cs="Times New Roman"/>
          <w:color w:val="auto"/>
          <w:szCs w:val="24"/>
        </w:rPr>
        <w:t>个水土保持监测点，其中调查样地</w:t>
      </w:r>
      <w:r>
        <w:rPr>
          <w:rFonts w:hint="eastAsia" w:ascii="Times New Roman" w:hAnsi="Times New Roman" w:eastAsia="仿宋_GB2312" w:cs="Times New Roman"/>
          <w:color w:val="auto"/>
          <w:szCs w:val="24"/>
          <w:lang w:val="en-US" w:eastAsia="zh-CN"/>
        </w:rPr>
        <w:t>19</w:t>
      </w:r>
      <w:r>
        <w:rPr>
          <w:rFonts w:ascii="Times New Roman" w:hAnsi="Times New Roman" w:eastAsia="仿宋_GB2312" w:cs="Times New Roman"/>
          <w:color w:val="auto"/>
          <w:szCs w:val="24"/>
        </w:rPr>
        <w:t>个，观测样地</w:t>
      </w:r>
      <w:r>
        <w:rPr>
          <w:rFonts w:hint="eastAsia" w:ascii="Times New Roman" w:hAnsi="Times New Roman" w:eastAsia="仿宋_GB2312" w:cs="Times New Roman"/>
          <w:color w:val="auto"/>
          <w:szCs w:val="24"/>
        </w:rPr>
        <w:t>9</w:t>
      </w:r>
      <w:r>
        <w:rPr>
          <w:rFonts w:ascii="Times New Roman" w:hAnsi="Times New Roman" w:eastAsia="仿宋_GB2312" w:cs="Times New Roman"/>
          <w:color w:val="auto"/>
          <w:szCs w:val="24"/>
        </w:rPr>
        <w:t>个。</w:t>
      </w:r>
    </w:p>
    <w:p>
      <w:pPr>
        <w:pStyle w:val="5"/>
        <w:rPr>
          <w:color w:val="auto"/>
        </w:rPr>
      </w:pPr>
      <w:bookmarkStart w:id="108" w:name="_Toc514432579"/>
      <w:bookmarkStart w:id="109" w:name="_Toc514430825"/>
      <w:bookmarkStart w:id="110" w:name="_Toc514431435"/>
      <w:bookmarkStart w:id="111" w:name="_Toc12066"/>
      <w:r>
        <w:rPr>
          <w:color w:val="auto"/>
        </w:rPr>
        <w:t>1.10</w:t>
      </w:r>
      <w:r>
        <w:rPr>
          <w:rFonts w:eastAsia="仿宋_GB2312"/>
          <w:color w:val="auto"/>
        </w:rPr>
        <w:t>水土保持投资及效益分析</w:t>
      </w:r>
      <w:bookmarkEnd w:id="100"/>
      <w:bookmarkEnd w:id="101"/>
      <w:bookmarkEnd w:id="102"/>
      <w:bookmarkEnd w:id="103"/>
      <w:bookmarkEnd w:id="104"/>
      <w:bookmarkEnd w:id="105"/>
      <w:bookmarkEnd w:id="106"/>
      <w:bookmarkEnd w:id="107"/>
      <w:bookmarkEnd w:id="108"/>
      <w:bookmarkEnd w:id="109"/>
      <w:bookmarkEnd w:id="110"/>
      <w:r>
        <w:rPr>
          <w:rFonts w:eastAsia="仿宋_GB2312"/>
          <w:color w:val="auto"/>
        </w:rPr>
        <w:t>成果</w:t>
      </w:r>
      <w:bookmarkEnd w:id="111"/>
    </w:p>
    <w:p>
      <w:pPr>
        <w:snapToGrid w:val="0"/>
        <w:spacing w:line="360" w:lineRule="auto"/>
        <w:ind w:firstLine="480" w:firstLineChars="200"/>
        <w:jc w:val="left"/>
        <w:rPr>
          <w:rFonts w:ascii="Times New Roman" w:hAnsi="Times New Roman" w:eastAsia="仿宋_GB2312" w:cs="Times New Roman"/>
          <w:color w:val="auto"/>
          <w:szCs w:val="24"/>
        </w:rPr>
      </w:pPr>
      <w:bookmarkStart w:id="112" w:name="_Toc883"/>
      <w:bookmarkStart w:id="113" w:name="_Toc18159"/>
      <w:bookmarkStart w:id="114" w:name="_Toc21703"/>
      <w:bookmarkStart w:id="115" w:name="_Toc451799192"/>
      <w:bookmarkStart w:id="116" w:name="_Toc11411"/>
      <w:bookmarkStart w:id="117" w:name="_Toc29056"/>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区域水土保持总投资</w:t>
      </w:r>
      <w:r>
        <w:rPr>
          <w:rFonts w:hint="eastAsia" w:ascii="Times New Roman" w:hAnsi="Times New Roman" w:eastAsia="仿宋_GB2312" w:cs="Times New Roman"/>
          <w:color w:val="auto"/>
          <w:szCs w:val="24"/>
          <w:lang w:val="en-US" w:eastAsia="zh-CN"/>
        </w:rPr>
        <w:t>2718.61</w:t>
      </w:r>
      <w:r>
        <w:rPr>
          <w:rFonts w:ascii="Times New Roman" w:hAnsi="Times New Roman" w:eastAsia="仿宋_GB2312" w:cs="Times New Roman"/>
          <w:color w:val="auto"/>
          <w:szCs w:val="24"/>
        </w:rPr>
        <w:t>万元（包括主体已列投资</w:t>
      </w:r>
      <w:r>
        <w:rPr>
          <w:rFonts w:hint="eastAsia" w:ascii="Times New Roman" w:hAnsi="Times New Roman" w:eastAsia="仿宋_GB2312" w:cs="Times New Roman"/>
          <w:color w:val="auto"/>
          <w:szCs w:val="24"/>
          <w:lang w:val="en-US" w:eastAsia="zh-CN"/>
        </w:rPr>
        <w:t>2087.93</w:t>
      </w:r>
      <w:r>
        <w:rPr>
          <w:rFonts w:ascii="Times New Roman" w:hAnsi="Times New Roman" w:eastAsia="仿宋_GB2312" w:cs="Times New Roman"/>
          <w:color w:val="auto"/>
          <w:szCs w:val="24"/>
        </w:rPr>
        <w:t>万元），其中：工程措施费</w:t>
      </w:r>
      <w:r>
        <w:rPr>
          <w:rFonts w:hint="eastAsia" w:ascii="Times New Roman" w:hAnsi="Times New Roman" w:eastAsia="仿宋_GB2312" w:cs="Times New Roman"/>
          <w:color w:val="auto"/>
          <w:szCs w:val="24"/>
          <w:lang w:val="en-US" w:eastAsia="zh-CN"/>
        </w:rPr>
        <w:t>779.11</w:t>
      </w:r>
      <w:r>
        <w:rPr>
          <w:rFonts w:ascii="Times New Roman" w:hAnsi="Times New Roman" w:eastAsia="仿宋_GB2312" w:cs="Times New Roman"/>
          <w:color w:val="auto"/>
          <w:szCs w:val="24"/>
        </w:rPr>
        <w:t>万元，植物措施费</w:t>
      </w:r>
      <w:r>
        <w:rPr>
          <w:rFonts w:hint="eastAsia" w:ascii="Times New Roman" w:hAnsi="Times New Roman" w:eastAsia="仿宋_GB2312" w:cs="Times New Roman"/>
          <w:color w:val="auto"/>
          <w:szCs w:val="24"/>
          <w:lang w:val="en-US" w:eastAsia="zh-CN"/>
        </w:rPr>
        <w:t>1027.56</w:t>
      </w:r>
      <w:r>
        <w:rPr>
          <w:rFonts w:ascii="Times New Roman" w:hAnsi="Times New Roman" w:eastAsia="仿宋_GB2312" w:cs="Times New Roman"/>
          <w:color w:val="auto"/>
          <w:szCs w:val="24"/>
        </w:rPr>
        <w:t>万元，临时措施费</w:t>
      </w:r>
      <w:r>
        <w:rPr>
          <w:rFonts w:hint="eastAsia" w:ascii="Times New Roman" w:hAnsi="Times New Roman" w:eastAsia="仿宋_GB2312" w:cs="Times New Roman"/>
          <w:color w:val="auto"/>
          <w:szCs w:val="24"/>
          <w:lang w:val="en-US" w:eastAsia="zh-CN"/>
        </w:rPr>
        <w:t>375.62</w:t>
      </w:r>
      <w:r>
        <w:rPr>
          <w:rFonts w:ascii="Times New Roman" w:hAnsi="Times New Roman" w:eastAsia="仿宋_GB2312" w:cs="Times New Roman"/>
          <w:color w:val="auto"/>
          <w:szCs w:val="24"/>
        </w:rPr>
        <w:t>万元，独立费用</w:t>
      </w:r>
      <w:r>
        <w:rPr>
          <w:rFonts w:hint="eastAsia" w:ascii="Times New Roman" w:hAnsi="Times New Roman" w:eastAsia="仿宋_GB2312" w:cs="Times New Roman"/>
          <w:color w:val="auto"/>
          <w:szCs w:val="24"/>
          <w:lang w:val="en-US" w:eastAsia="zh-CN"/>
        </w:rPr>
        <w:t>288.11</w:t>
      </w:r>
      <w:r>
        <w:rPr>
          <w:rFonts w:ascii="Times New Roman" w:hAnsi="Times New Roman" w:eastAsia="仿宋_GB2312" w:cs="Times New Roman"/>
          <w:color w:val="auto"/>
          <w:szCs w:val="24"/>
        </w:rPr>
        <w:t>万元（其中水土保持监理费</w:t>
      </w:r>
      <w:r>
        <w:rPr>
          <w:rFonts w:hint="eastAsia" w:ascii="Times New Roman" w:hAnsi="Times New Roman" w:eastAsia="仿宋_GB2312" w:cs="Times New Roman"/>
          <w:color w:val="auto"/>
          <w:szCs w:val="24"/>
          <w:lang w:val="en-US" w:eastAsia="zh-CN"/>
        </w:rPr>
        <w:t>81.26</w:t>
      </w:r>
      <w:r>
        <w:rPr>
          <w:rFonts w:ascii="Times New Roman" w:hAnsi="Times New Roman" w:eastAsia="仿宋_GB2312" w:cs="Times New Roman"/>
          <w:color w:val="auto"/>
          <w:szCs w:val="24"/>
        </w:rPr>
        <w:t>万元，水土保持监测费</w:t>
      </w:r>
      <w:r>
        <w:rPr>
          <w:rFonts w:hint="eastAsia" w:ascii="Times New Roman" w:hAnsi="Times New Roman" w:eastAsia="仿宋_GB2312" w:cs="Times New Roman"/>
          <w:color w:val="auto"/>
          <w:szCs w:val="24"/>
          <w:lang w:val="en-US" w:eastAsia="zh-CN"/>
        </w:rPr>
        <w:t>48.66</w:t>
      </w:r>
      <w:r>
        <w:rPr>
          <w:rFonts w:ascii="Times New Roman" w:hAnsi="Times New Roman" w:eastAsia="仿宋_GB2312" w:cs="Times New Roman"/>
          <w:color w:val="auto"/>
          <w:szCs w:val="24"/>
        </w:rPr>
        <w:t>万元），基本预备费</w:t>
      </w:r>
      <w:r>
        <w:rPr>
          <w:rFonts w:hint="eastAsia" w:ascii="Times New Roman" w:hAnsi="Times New Roman" w:eastAsia="仿宋_GB2312" w:cs="Times New Roman"/>
          <w:color w:val="auto"/>
          <w:szCs w:val="24"/>
          <w:lang w:val="en-US" w:eastAsia="zh-CN"/>
        </w:rPr>
        <w:t>148.22</w:t>
      </w:r>
      <w:r>
        <w:rPr>
          <w:rFonts w:ascii="Times New Roman" w:hAnsi="Times New Roman" w:eastAsia="仿宋_GB2312" w:cs="Times New Roman"/>
          <w:color w:val="auto"/>
          <w:szCs w:val="24"/>
        </w:rPr>
        <w:t>万元，水土保持补偿费</w:t>
      </w:r>
      <w:r>
        <w:rPr>
          <w:rFonts w:hint="eastAsia" w:ascii="Times New Roman" w:hAnsi="Times New Roman" w:eastAsia="仿宋_GB2312" w:cs="Times New Roman"/>
          <w:color w:val="auto"/>
          <w:szCs w:val="24"/>
        </w:rPr>
        <w:t>100</w:t>
      </w:r>
      <w:r>
        <w:rPr>
          <w:rFonts w:ascii="Times New Roman" w:hAnsi="Times New Roman" w:eastAsia="仿宋_GB2312" w:cs="Times New Roman"/>
          <w:color w:val="auto"/>
          <w:szCs w:val="24"/>
        </w:rPr>
        <w:t>万元。</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区域水土保持措施实施后到</w:t>
      </w:r>
      <w:r>
        <w:rPr>
          <w:rFonts w:hint="eastAsia" w:ascii="Times New Roman" w:hAnsi="Times New Roman" w:eastAsia="仿宋_GB2312" w:cs="Times New Roman"/>
          <w:color w:val="auto"/>
          <w:szCs w:val="24"/>
          <w:lang w:val="en-US" w:eastAsia="zh-CN"/>
        </w:rPr>
        <w:t>评估报告</w:t>
      </w:r>
      <w:r>
        <w:rPr>
          <w:rFonts w:ascii="Times New Roman" w:hAnsi="Times New Roman" w:eastAsia="仿宋_GB2312" w:cs="Times New Roman"/>
          <w:color w:val="auto"/>
          <w:szCs w:val="24"/>
        </w:rPr>
        <w:t>设计水平年，项目建设区域内水土流失治理达标面积可达到</w:t>
      </w:r>
      <w:r>
        <w:rPr>
          <w:rFonts w:hint="eastAsia" w:ascii="Times New Roman" w:hAnsi="Times New Roman" w:eastAsia="仿宋_GB2312" w:cs="Times New Roman"/>
          <w:color w:val="auto"/>
          <w:szCs w:val="24"/>
          <w:lang w:val="en-US" w:eastAsia="zh-CN"/>
        </w:rPr>
        <w:t>99.98</w:t>
      </w:r>
      <w:r>
        <w:rPr>
          <w:rFonts w:ascii="Times New Roman" w:hAnsi="Times New Roman" w:eastAsia="仿宋_GB2312" w:cs="Times New Roman"/>
          <w:color w:val="auto"/>
          <w:szCs w:val="24"/>
        </w:rPr>
        <w:t>hm</w:t>
      </w:r>
      <w:r>
        <w:rPr>
          <w:rFonts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，林草植被建设面积可达到</w:t>
      </w:r>
      <w:r>
        <w:rPr>
          <w:rFonts w:hint="eastAsia" w:ascii="Times New Roman" w:hAnsi="Times New Roman" w:eastAsia="仿宋_GB2312" w:cs="Times New Roman"/>
          <w:color w:val="auto"/>
          <w:szCs w:val="24"/>
        </w:rPr>
        <w:t>55.23</w:t>
      </w:r>
      <w:r>
        <w:rPr>
          <w:rFonts w:ascii="Times New Roman" w:hAnsi="Times New Roman" w:eastAsia="仿宋_GB2312" w:cs="Times New Roman"/>
          <w:color w:val="auto"/>
          <w:szCs w:val="24"/>
        </w:rPr>
        <w:t>hm</w:t>
      </w:r>
      <w:r>
        <w:rPr>
          <w:rFonts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，保护表土</w:t>
      </w:r>
      <w:r>
        <w:rPr>
          <w:rFonts w:hint="eastAsia" w:ascii="Times New Roman" w:hAnsi="Times New Roman" w:eastAsia="仿宋_GB2312" w:cs="Times New Roman"/>
          <w:color w:val="auto"/>
          <w:szCs w:val="24"/>
        </w:rPr>
        <w:t>4.90</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w:t>
      </w:r>
      <w:r>
        <w:rPr>
          <w:rFonts w:ascii="Times New Roman" w:hAnsi="Times New Roman" w:eastAsia="仿宋_GB2312"/>
          <w:color w:val="auto"/>
        </w:rPr>
        <w:t>水土流失治理度达到</w:t>
      </w:r>
      <w:r>
        <w:rPr>
          <w:rFonts w:hint="eastAsia" w:ascii="Times New Roman" w:hAnsi="Times New Roman" w:eastAsia="仿宋_GB2312"/>
          <w:color w:val="auto"/>
        </w:rPr>
        <w:t>99.98</w:t>
      </w:r>
      <w:r>
        <w:rPr>
          <w:rFonts w:ascii="Times New Roman" w:hAnsi="Times New Roman" w:eastAsia="仿宋_GB2312"/>
          <w:color w:val="auto"/>
        </w:rPr>
        <w:t>%，土壤流失控制比达到1.11，渣土</w:t>
      </w:r>
      <w:r>
        <w:rPr>
          <w:rFonts w:hint="eastAsia" w:ascii="Times New Roman" w:hAnsi="Times New Roman" w:eastAsia="仿宋_GB2312"/>
          <w:color w:val="auto"/>
        </w:rPr>
        <w:t>防护率</w:t>
      </w:r>
      <w:r>
        <w:rPr>
          <w:rFonts w:ascii="Times New Roman" w:hAnsi="Times New Roman" w:eastAsia="仿宋_GB2312"/>
          <w:color w:val="auto"/>
        </w:rPr>
        <w:t>达到</w:t>
      </w:r>
      <w:r>
        <w:rPr>
          <w:rFonts w:hint="eastAsia" w:ascii="Times New Roman" w:hAnsi="Times New Roman" w:eastAsia="仿宋_GB2312"/>
          <w:color w:val="auto"/>
        </w:rPr>
        <w:t>99.79</w:t>
      </w:r>
      <w:r>
        <w:rPr>
          <w:rFonts w:ascii="Times New Roman" w:hAnsi="Times New Roman" w:eastAsia="仿宋_GB2312"/>
          <w:color w:val="auto"/>
        </w:rPr>
        <w:t>%，表土保护率达到</w:t>
      </w:r>
      <w:r>
        <w:rPr>
          <w:rFonts w:hint="eastAsia" w:ascii="Times New Roman" w:hAnsi="Times New Roman" w:eastAsia="仿宋_GB2312"/>
          <w:color w:val="auto"/>
        </w:rPr>
        <w:t>99.98</w:t>
      </w:r>
      <w:r>
        <w:rPr>
          <w:rFonts w:ascii="Times New Roman" w:hAnsi="Times New Roman" w:eastAsia="仿宋_GB2312"/>
          <w:color w:val="auto"/>
        </w:rPr>
        <w:t>%，林草植被恢复率达到</w:t>
      </w:r>
      <w:r>
        <w:rPr>
          <w:rFonts w:hint="eastAsia" w:ascii="Times New Roman" w:hAnsi="Times New Roman" w:eastAsia="仿宋_GB2312"/>
          <w:color w:val="auto"/>
        </w:rPr>
        <w:t>99.98</w:t>
      </w:r>
      <w:r>
        <w:rPr>
          <w:rFonts w:ascii="Times New Roman" w:hAnsi="Times New Roman" w:eastAsia="仿宋_GB2312"/>
          <w:color w:val="auto"/>
        </w:rPr>
        <w:t>%，林草覆盖率为</w:t>
      </w:r>
      <w:r>
        <w:rPr>
          <w:rFonts w:hint="eastAsia" w:ascii="Times New Roman" w:hAnsi="Times New Roman" w:eastAsia="仿宋_GB2312"/>
          <w:color w:val="auto"/>
          <w:lang w:eastAsia="zh-CN"/>
        </w:rPr>
        <w:t>60.47%</w:t>
      </w:r>
      <w:r>
        <w:rPr>
          <w:rFonts w:ascii="Times New Roman" w:hAnsi="Times New Roman" w:eastAsia="仿宋_GB2312" w:cs="Times New Roman"/>
          <w:color w:val="auto"/>
          <w:kern w:val="0"/>
          <w:szCs w:val="24"/>
        </w:rPr>
        <w:t>，</w:t>
      </w:r>
      <w:r>
        <w:rPr>
          <w:rFonts w:ascii="Times New Roman" w:hAnsi="Times New Roman" w:eastAsia="仿宋_GB2312" w:cs="Times New Roman"/>
          <w:color w:val="auto"/>
          <w:szCs w:val="24"/>
        </w:rPr>
        <w:t>各项指标都将达到水土流失防治指标值。</w:t>
      </w:r>
    </w:p>
    <w:p>
      <w:pPr>
        <w:pStyle w:val="5"/>
        <w:rPr>
          <w:rFonts w:eastAsia="仿宋_GB2312"/>
          <w:color w:val="auto"/>
        </w:rPr>
      </w:pPr>
      <w:bookmarkStart w:id="118" w:name="_Toc23921"/>
      <w:bookmarkStart w:id="119" w:name="_Toc514430826"/>
      <w:bookmarkStart w:id="120" w:name="_Toc514431436"/>
      <w:bookmarkStart w:id="121" w:name="_Toc19484"/>
      <w:bookmarkStart w:id="122" w:name="_Toc514432580"/>
      <w:bookmarkStart w:id="123" w:name="_Toc499039854"/>
      <w:r>
        <w:rPr>
          <w:rFonts w:eastAsia="仿宋_GB2312"/>
          <w:color w:val="auto"/>
        </w:rPr>
        <w:t>1.11结论</w:t>
      </w:r>
      <w:bookmarkEnd w:id="112"/>
      <w:bookmarkEnd w:id="113"/>
      <w:bookmarkEnd w:id="114"/>
      <w:bookmarkEnd w:id="115"/>
      <w:bookmarkEnd w:id="116"/>
      <w:bookmarkEnd w:id="117"/>
      <w:bookmarkEnd w:id="118"/>
      <w:bookmarkEnd w:id="119"/>
      <w:bookmarkEnd w:id="120"/>
      <w:bookmarkEnd w:id="121"/>
      <w:bookmarkEnd w:id="122"/>
      <w:bookmarkEnd w:id="123"/>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（1）</w:t>
      </w: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区域在选址、工程建设方案、水土流失防治等方面满足《中华人民共和国水土保持法》、《生产建设项目水土保持技术标准》（GB50433-2018）关于对主体工程的水土保持约束性要求。</w:t>
      </w:r>
    </w:p>
    <w:p>
      <w:pPr>
        <w:adjustRightInd w:val="0"/>
        <w:snapToGrid w:val="0"/>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szCs w:val="24"/>
        </w:rPr>
        <w:t>（2）规划区域的</w:t>
      </w:r>
      <w:r>
        <w:rPr>
          <w:rFonts w:hint="eastAsia" w:ascii="Times New Roman" w:hAnsi="Times New Roman" w:eastAsia="仿宋_GB2312" w:cs="Times New Roman"/>
          <w:color w:val="auto"/>
          <w:szCs w:val="24"/>
        </w:rPr>
        <w:t>建设符合国家及地方和地方经济发展的规划，主体设计中已考虑到水土保持和生态环境保护，尽量减少地表扰动和造成的新的水土流失，符合水土保持的要求。项目在总体布局、主体工程设计、占地、施工组织等方面基本合理，土方挖填符合实际情况，不存在明显的水土保持制约因素，主体工程设计的排水、绿化等措施，具有一定的水土保持功能。项目总体设计较为合理，利于减少水土流失。工程在施工工艺、道路布置、施工场地布置等方面进行了充分论证，都考虑了水土保持的要求，从设计上体现了水土保持的理念，从源头上减少水土流失及其危害。因此从水土保持角度项目建设是可行的。</w:t>
      </w:r>
    </w:p>
    <w:p>
      <w:pPr>
        <w:adjustRightInd w:val="0"/>
        <w:snapToGrid w:val="0"/>
        <w:spacing w:line="360" w:lineRule="auto"/>
        <w:ind w:firstLine="482" w:firstLineChars="200"/>
        <w:rPr>
          <w:rFonts w:ascii="Times New Roman" w:hAnsi="Times New Roman" w:eastAsia="仿宋_GB2312" w:cs="Times New Roman"/>
          <w:b/>
          <w:color w:val="auto"/>
          <w:szCs w:val="24"/>
        </w:rPr>
      </w:pPr>
      <w:r>
        <w:rPr>
          <w:rFonts w:ascii="Times New Roman" w:hAnsi="Times New Roman" w:eastAsia="仿宋_GB2312" w:cs="Times New Roman"/>
          <w:b/>
          <w:color w:val="auto"/>
          <w:szCs w:val="24"/>
        </w:rPr>
        <w:t>同时对本项目提出如下要求或建议：</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（1）水土保持临时措施是预防和控制施工期水土流失的关键，应与主体工程永久性设施的建设有机结合，避免重复建设造成浪费。</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（2）建议工程施工过程中需要随时优化主体工程施工方案、施工工艺和施工进度，保证本</w:t>
      </w:r>
      <w:r>
        <w:rPr>
          <w:rFonts w:hint="eastAsia" w:ascii="Times New Roman" w:hAnsi="Times New Roman" w:eastAsia="仿宋_GB2312" w:cs="Times New Roman"/>
          <w:color w:val="auto"/>
          <w:szCs w:val="24"/>
          <w:lang w:val="en-US" w:eastAsia="zh-CN"/>
        </w:rPr>
        <w:t>区域评估报告</w:t>
      </w:r>
      <w:r>
        <w:rPr>
          <w:rFonts w:hint="eastAsia" w:ascii="Times New Roman" w:hAnsi="Times New Roman" w:eastAsia="仿宋_GB2312" w:cs="Times New Roman"/>
          <w:color w:val="auto"/>
          <w:szCs w:val="24"/>
        </w:rPr>
        <w:t>措施落实到位，尽量减少水土流失量，同时按照水土保持设计要求布设措施，将水土流失控制在最低。</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（3）结合主体工程监理工作开展本项目水土保持监理，监理单位必须配备具有水土保持专业监理资格的工程师。</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4）建设单位应自行或委托具有水土保持监测相应能力的单位开展水土保持监测工作，水土保持监测单位依据规程规范编制监测实施方案并做好水土保持过程监测，及时向建设单位提交监测报告，并根据监测安排及时编报监测季度和年度监测报告，在工程竣工验收时提交项目监测总结报告。</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（5）建议做好水土保持的管理工作，把水土保持工程实施纳入有关合同条款，施工单位应合理安排施工组织计划，采取各类预防措施防止施工过程中的水土流失，确保水土保持工程与主体工程同时实施。</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6）区域评估报告批复后，入园企业在项目开发中需重视水土保持措施的组织设计和施工安排、水土保持监理和监测等，做到水土保持措施与主体工程“三同时”。园区开发建设项目按要求编报水土保持方案报告书（表），并作为水土保持承诺制和自主验收的依据。</w:t>
      </w:r>
    </w:p>
    <w:p>
      <w:pPr>
        <w:widowControl/>
        <w:snapToGrid w:val="0"/>
        <w:spacing w:line="360" w:lineRule="auto"/>
        <w:ind w:firstLine="560" w:firstLineChars="200"/>
        <w:jc w:val="left"/>
        <w:rPr>
          <w:rFonts w:ascii="Times New Roman" w:hAnsi="Times New Roman" w:cs="Times New Roman"/>
          <w:color w:val="auto"/>
          <w:sz w:val="28"/>
          <w:szCs w:val="28"/>
        </w:rPr>
      </w:pPr>
      <w:r>
        <w:rPr>
          <w:rFonts w:ascii="Times New Roman" w:hAnsi="Times New Roman" w:cs="Times New Roman"/>
          <w:color w:val="auto"/>
          <w:sz w:val="28"/>
          <w:szCs w:val="28"/>
        </w:rPr>
        <w:br w:type="page"/>
      </w:r>
    </w:p>
    <w:p>
      <w:pPr>
        <w:tabs>
          <w:tab w:val="left" w:pos="7905"/>
        </w:tabs>
        <w:spacing w:line="360" w:lineRule="auto"/>
        <w:jc w:val="center"/>
        <w:rPr>
          <w:rFonts w:ascii="Times New Roman" w:hAnsi="Times New Roman" w:eastAsia="仿宋_GB2312" w:cs="Times New Roman"/>
          <w:b/>
          <w:bCs/>
          <w:color w:val="auto"/>
          <w:szCs w:val="24"/>
        </w:rPr>
      </w:pPr>
      <w:r>
        <w:rPr>
          <w:rFonts w:ascii="Times New Roman" w:hAnsi="Times New Roman" w:eastAsia="仿宋_GB2312" w:cs="Times New Roman"/>
          <w:b/>
          <w:bCs/>
          <w:color w:val="auto"/>
          <w:szCs w:val="24"/>
        </w:rPr>
        <w:t>青山湖高新技术产业园部分区域水土保持</w:t>
      </w:r>
      <w:r>
        <w:rPr>
          <w:rFonts w:hint="eastAsia" w:ascii="Times New Roman" w:hAnsi="Times New Roman" w:eastAsia="仿宋_GB2312" w:cs="Times New Roman"/>
          <w:b/>
          <w:bCs/>
          <w:color w:val="auto"/>
          <w:szCs w:val="24"/>
        </w:rPr>
        <w:t>区域</w:t>
      </w:r>
      <w:r>
        <w:rPr>
          <w:rFonts w:ascii="Times New Roman" w:hAnsi="Times New Roman" w:eastAsia="仿宋_GB2312" w:cs="Times New Roman"/>
          <w:b/>
          <w:bCs/>
          <w:color w:val="auto"/>
          <w:szCs w:val="24"/>
        </w:rPr>
        <w:t>评估</w:t>
      </w:r>
      <w:r>
        <w:rPr>
          <w:rFonts w:hint="eastAsia" w:ascii="Times New Roman" w:hAnsi="Times New Roman" w:eastAsia="仿宋_GB2312" w:cs="Times New Roman"/>
          <w:b/>
          <w:bCs/>
          <w:color w:val="auto"/>
          <w:szCs w:val="24"/>
        </w:rPr>
        <w:t>报告</w:t>
      </w:r>
      <w:r>
        <w:rPr>
          <w:rFonts w:ascii="Times New Roman" w:hAnsi="Times New Roman" w:eastAsia="仿宋_GB2312" w:cs="Times New Roman"/>
          <w:b/>
          <w:bCs/>
          <w:color w:val="auto"/>
          <w:szCs w:val="24"/>
        </w:rPr>
        <w:t>特性表</w:t>
      </w:r>
    </w:p>
    <w:tbl>
      <w:tblPr>
        <w:tblStyle w:val="37"/>
        <w:tblW w:w="1046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511"/>
        <w:gridCol w:w="567"/>
        <w:gridCol w:w="556"/>
        <w:gridCol w:w="284"/>
        <w:gridCol w:w="1842"/>
        <w:gridCol w:w="709"/>
        <w:gridCol w:w="851"/>
        <w:gridCol w:w="141"/>
        <w:gridCol w:w="142"/>
        <w:gridCol w:w="284"/>
        <w:gridCol w:w="392"/>
        <w:gridCol w:w="742"/>
        <w:gridCol w:w="425"/>
        <w:gridCol w:w="850"/>
        <w:gridCol w:w="402"/>
        <w:gridCol w:w="24"/>
        <w:gridCol w:w="283"/>
        <w:gridCol w:w="145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44" w:hRule="atLeast"/>
          <w:jc w:val="center"/>
        </w:trPr>
        <w:tc>
          <w:tcPr>
            <w:tcW w:w="1634" w:type="dxa"/>
            <w:gridSpan w:val="3"/>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项目名称</w:t>
            </w:r>
          </w:p>
        </w:tc>
        <w:tc>
          <w:tcPr>
            <w:tcW w:w="3969" w:type="dxa"/>
            <w:gridSpan w:val="6"/>
            <w:vAlign w:val="center"/>
          </w:tcPr>
          <w:p>
            <w:pPr>
              <w:adjustRightInd w:val="0"/>
              <w:snapToGrid w:val="0"/>
              <w:jc w:val="center"/>
              <w:rPr>
                <w:rFonts w:ascii="Times New Roman" w:hAnsi="Times New Roman" w:eastAsia="仿宋_GB2312" w:cs="Times New Roman"/>
                <w:color w:val="auto"/>
                <w:sz w:val="18"/>
                <w:szCs w:val="18"/>
              </w:rPr>
            </w:pPr>
            <w:r>
              <w:rPr>
                <w:rFonts w:hint="eastAsia" w:ascii="Times New Roman" w:hAnsi="Times New Roman" w:eastAsia="仿宋_GB2312" w:cs="Times New Roman"/>
                <w:color w:val="auto"/>
                <w:kern w:val="0"/>
                <w:sz w:val="18"/>
                <w:szCs w:val="18"/>
              </w:rPr>
              <w:t>青山湖高新技术产业园部分区域</w:t>
            </w:r>
          </w:p>
        </w:tc>
        <w:tc>
          <w:tcPr>
            <w:tcW w:w="3119" w:type="dxa"/>
            <w:gridSpan w:val="7"/>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流域管理机构</w:t>
            </w:r>
          </w:p>
        </w:tc>
        <w:tc>
          <w:tcPr>
            <w:tcW w:w="1740" w:type="dxa"/>
            <w:gridSpan w:val="2"/>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长江水利委员会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1634" w:type="dxa"/>
            <w:gridSpan w:val="3"/>
            <w:vAlign w:val="center"/>
          </w:tcPr>
          <w:p>
            <w:pPr>
              <w:widowControl/>
              <w:snapToGrid w:val="0"/>
              <w:spacing w:beforeLines="15" w:afterLines="15" w:line="240" w:lineRule="exact"/>
              <w:jc w:val="center"/>
              <w:rPr>
                <w:rFonts w:ascii="Times New Roman" w:hAnsi="Times New Roman" w:eastAsia="仿宋_GB2312" w:cs="Times New Roman"/>
                <w:color w:val="auto"/>
                <w:kern w:val="0"/>
                <w:sz w:val="18"/>
                <w:szCs w:val="18"/>
              </w:rPr>
            </w:pPr>
            <w:r>
              <w:rPr>
                <w:rFonts w:ascii="Times New Roman" w:hAnsi="Times New Roman" w:eastAsia="仿宋_GB2312" w:cs="Times New Roman"/>
                <w:color w:val="auto"/>
                <w:kern w:val="0"/>
                <w:sz w:val="18"/>
                <w:szCs w:val="18"/>
              </w:rPr>
              <w:t>涉及省（市、区）</w:t>
            </w:r>
          </w:p>
        </w:tc>
        <w:tc>
          <w:tcPr>
            <w:tcW w:w="2126" w:type="dxa"/>
            <w:gridSpan w:val="2"/>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ascii="Times New Roman" w:hAnsi="Times New Roman" w:eastAsia="仿宋_GB2312" w:cs="Times New Roman"/>
                <w:color w:val="auto"/>
                <w:kern w:val="0"/>
                <w:sz w:val="18"/>
                <w:szCs w:val="18"/>
              </w:rPr>
              <w:t>江西省</w:t>
            </w:r>
          </w:p>
        </w:tc>
        <w:tc>
          <w:tcPr>
            <w:tcW w:w="1843" w:type="dxa"/>
            <w:gridSpan w:val="4"/>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ascii="Times New Roman" w:hAnsi="Times New Roman" w:eastAsia="仿宋_GB2312" w:cs="Times New Roman"/>
                <w:color w:val="auto"/>
                <w:kern w:val="0"/>
                <w:sz w:val="18"/>
                <w:szCs w:val="18"/>
              </w:rPr>
              <w:t>涉及地市或个数</w:t>
            </w:r>
          </w:p>
        </w:tc>
        <w:tc>
          <w:tcPr>
            <w:tcW w:w="1418" w:type="dxa"/>
            <w:gridSpan w:val="3"/>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hint="eastAsia" w:ascii="Times New Roman" w:hAnsi="Times New Roman" w:eastAsia="仿宋_GB2312" w:cs="Times New Roman"/>
                <w:color w:val="auto"/>
                <w:kern w:val="0"/>
                <w:sz w:val="18"/>
                <w:szCs w:val="18"/>
              </w:rPr>
              <w:t>南昌市</w:t>
            </w:r>
          </w:p>
        </w:tc>
        <w:tc>
          <w:tcPr>
            <w:tcW w:w="1701" w:type="dxa"/>
            <w:gridSpan w:val="4"/>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ascii="Times New Roman" w:hAnsi="Times New Roman" w:eastAsia="仿宋_GB2312" w:cs="Times New Roman"/>
                <w:color w:val="auto"/>
                <w:kern w:val="0"/>
                <w:sz w:val="18"/>
                <w:szCs w:val="18"/>
              </w:rPr>
              <w:t>涉及县或个数</w:t>
            </w:r>
          </w:p>
        </w:tc>
        <w:tc>
          <w:tcPr>
            <w:tcW w:w="1740" w:type="dxa"/>
            <w:gridSpan w:val="2"/>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hint="eastAsia" w:ascii="Times New Roman" w:hAnsi="Times New Roman" w:eastAsia="仿宋_GB2312" w:cs="Times New Roman"/>
                <w:color w:val="auto"/>
                <w:kern w:val="0"/>
                <w:sz w:val="18"/>
                <w:szCs w:val="18"/>
              </w:rPr>
              <w:t>青山湖区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1634" w:type="dxa"/>
            <w:gridSpan w:val="3"/>
            <w:vAlign w:val="center"/>
          </w:tcPr>
          <w:p>
            <w:pPr>
              <w:widowControl/>
              <w:snapToGrid w:val="0"/>
              <w:spacing w:beforeLines="15" w:afterLines="15" w:line="240" w:lineRule="exact"/>
              <w:jc w:val="center"/>
              <w:rPr>
                <w:rFonts w:ascii="Times New Roman" w:hAnsi="Times New Roman" w:eastAsia="仿宋_GB2312" w:cs="Times New Roman"/>
                <w:color w:val="auto"/>
                <w:kern w:val="0"/>
                <w:sz w:val="18"/>
                <w:szCs w:val="18"/>
              </w:rPr>
            </w:pPr>
            <w:r>
              <w:rPr>
                <w:rFonts w:ascii="Times New Roman" w:hAnsi="Times New Roman" w:eastAsia="仿宋_GB2312" w:cs="Times New Roman"/>
                <w:color w:val="auto"/>
                <w:kern w:val="0"/>
                <w:sz w:val="18"/>
                <w:szCs w:val="18"/>
              </w:rPr>
              <w:t>项目规模</w:t>
            </w:r>
          </w:p>
        </w:tc>
        <w:tc>
          <w:tcPr>
            <w:tcW w:w="2126" w:type="dxa"/>
            <w:gridSpan w:val="2"/>
            <w:vAlign w:val="center"/>
          </w:tcPr>
          <w:p>
            <w:pPr>
              <w:widowControl/>
              <w:snapToGrid w:val="0"/>
              <w:spacing w:line="240" w:lineRule="exact"/>
              <w:jc w:val="center"/>
              <w:rPr>
                <w:rFonts w:ascii="Times New Roman" w:hAnsi="Times New Roman" w:eastAsia="仿宋_GB2312" w:cs="Times New Roman"/>
                <w:color w:val="auto"/>
                <w:kern w:val="0"/>
                <w:sz w:val="18"/>
                <w:szCs w:val="18"/>
                <w:vertAlign w:val="superscript"/>
              </w:rPr>
            </w:pPr>
            <w:r>
              <w:rPr>
                <w:rFonts w:hint="eastAsia" w:ascii="Times New Roman" w:hAnsi="Times New Roman" w:eastAsia="仿宋_GB2312" w:cs="Times New Roman"/>
                <w:color w:val="auto"/>
                <w:kern w:val="0"/>
                <w:sz w:val="18"/>
                <w:szCs w:val="18"/>
              </w:rPr>
              <w:t>规划</w:t>
            </w:r>
            <w:r>
              <w:rPr>
                <w:rFonts w:ascii="Times New Roman" w:hAnsi="Times New Roman" w:eastAsia="仿宋_GB2312" w:cs="Times New Roman"/>
                <w:color w:val="auto"/>
                <w:kern w:val="0"/>
                <w:sz w:val="18"/>
                <w:szCs w:val="18"/>
              </w:rPr>
              <w:t>总用地面积</w:t>
            </w:r>
            <w:r>
              <w:rPr>
                <w:rFonts w:hint="eastAsia" w:ascii="Times New Roman" w:hAnsi="Times New Roman" w:eastAsia="仿宋_GB2312" w:cs="Times New Roman"/>
                <w:color w:val="auto"/>
                <w:kern w:val="0"/>
                <w:sz w:val="18"/>
                <w:szCs w:val="18"/>
              </w:rPr>
              <w:t>100hm</w:t>
            </w:r>
            <w:r>
              <w:rPr>
                <w:rFonts w:hint="eastAsia" w:ascii="Times New Roman" w:hAnsi="Times New Roman" w:eastAsia="仿宋_GB2312" w:cs="Times New Roman"/>
                <w:color w:val="auto"/>
                <w:kern w:val="0"/>
                <w:sz w:val="18"/>
                <w:szCs w:val="18"/>
                <w:vertAlign w:val="superscript"/>
              </w:rPr>
              <w:t>2</w:t>
            </w:r>
          </w:p>
        </w:tc>
        <w:tc>
          <w:tcPr>
            <w:tcW w:w="1843" w:type="dxa"/>
            <w:gridSpan w:val="4"/>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ascii="Times New Roman" w:hAnsi="Times New Roman" w:eastAsia="仿宋_GB2312" w:cs="Times New Roman"/>
                <w:color w:val="auto"/>
                <w:kern w:val="0"/>
                <w:sz w:val="18"/>
                <w:szCs w:val="18"/>
              </w:rPr>
              <w:t>总投资（万元）</w:t>
            </w:r>
          </w:p>
        </w:tc>
        <w:tc>
          <w:tcPr>
            <w:tcW w:w="1418" w:type="dxa"/>
            <w:gridSpan w:val="3"/>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hint="eastAsia" w:ascii="Times New Roman" w:hAnsi="Times New Roman" w:eastAsia="仿宋_GB2312" w:cs="Times New Roman"/>
                <w:color w:val="auto"/>
                <w:kern w:val="0"/>
                <w:sz w:val="18"/>
                <w:szCs w:val="18"/>
              </w:rPr>
              <w:t>562361</w:t>
            </w:r>
          </w:p>
        </w:tc>
        <w:tc>
          <w:tcPr>
            <w:tcW w:w="1701" w:type="dxa"/>
            <w:gridSpan w:val="4"/>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ascii="Times New Roman" w:hAnsi="Times New Roman" w:eastAsia="仿宋_GB2312" w:cs="Times New Roman"/>
                <w:color w:val="auto"/>
                <w:kern w:val="0"/>
                <w:sz w:val="18"/>
                <w:szCs w:val="18"/>
              </w:rPr>
              <w:t>土建投资（万元）</w:t>
            </w:r>
          </w:p>
        </w:tc>
        <w:tc>
          <w:tcPr>
            <w:tcW w:w="1740" w:type="dxa"/>
            <w:gridSpan w:val="2"/>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hint="eastAsia" w:ascii="Times New Roman" w:hAnsi="Times New Roman" w:eastAsia="仿宋_GB2312" w:cs="Times New Roman"/>
                <w:color w:val="auto"/>
                <w:kern w:val="0"/>
                <w:sz w:val="18"/>
                <w:szCs w:val="18"/>
              </w:rPr>
              <w:t>20000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80" w:hRule="atLeast"/>
          <w:jc w:val="center"/>
        </w:trPr>
        <w:tc>
          <w:tcPr>
            <w:tcW w:w="1634" w:type="dxa"/>
            <w:gridSpan w:val="3"/>
            <w:vAlign w:val="center"/>
          </w:tcPr>
          <w:p>
            <w:pPr>
              <w:widowControl/>
              <w:snapToGrid w:val="0"/>
              <w:spacing w:beforeLines="15" w:afterLines="15" w:line="240" w:lineRule="exact"/>
              <w:jc w:val="center"/>
              <w:rPr>
                <w:rFonts w:ascii="Times New Roman" w:hAnsi="Times New Roman" w:eastAsia="仿宋_GB2312" w:cs="Times New Roman"/>
                <w:color w:val="auto"/>
                <w:kern w:val="0"/>
                <w:sz w:val="18"/>
                <w:szCs w:val="18"/>
              </w:rPr>
            </w:pPr>
            <w:r>
              <w:rPr>
                <w:rFonts w:ascii="Times New Roman" w:hAnsi="Times New Roman" w:eastAsia="仿宋_GB2312" w:cs="Times New Roman"/>
                <w:color w:val="auto"/>
                <w:kern w:val="0"/>
                <w:sz w:val="18"/>
                <w:szCs w:val="18"/>
              </w:rPr>
              <w:t>动工时间</w:t>
            </w:r>
          </w:p>
        </w:tc>
        <w:tc>
          <w:tcPr>
            <w:tcW w:w="2126" w:type="dxa"/>
            <w:gridSpan w:val="2"/>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ascii="Times New Roman" w:hAnsi="Times New Roman" w:eastAsia="仿宋_GB2312" w:cs="Times New Roman"/>
                <w:color w:val="auto"/>
                <w:kern w:val="0"/>
                <w:sz w:val="18"/>
                <w:szCs w:val="18"/>
              </w:rPr>
              <w:t>20</w:t>
            </w:r>
            <w:r>
              <w:rPr>
                <w:rFonts w:hint="eastAsia" w:ascii="Times New Roman" w:hAnsi="Times New Roman" w:eastAsia="仿宋_GB2312" w:cs="Times New Roman"/>
                <w:color w:val="auto"/>
                <w:kern w:val="0"/>
                <w:sz w:val="18"/>
                <w:szCs w:val="18"/>
              </w:rPr>
              <w:t>21</w:t>
            </w:r>
            <w:r>
              <w:rPr>
                <w:rFonts w:ascii="Times New Roman" w:hAnsi="Times New Roman" w:eastAsia="仿宋_GB2312" w:cs="Times New Roman"/>
                <w:color w:val="auto"/>
                <w:kern w:val="0"/>
                <w:sz w:val="18"/>
                <w:szCs w:val="18"/>
              </w:rPr>
              <w:t>年</w:t>
            </w:r>
            <w:r>
              <w:rPr>
                <w:rFonts w:hint="eastAsia" w:ascii="Times New Roman" w:hAnsi="Times New Roman" w:eastAsia="仿宋_GB2312" w:cs="Times New Roman"/>
                <w:color w:val="auto"/>
                <w:kern w:val="0"/>
                <w:sz w:val="18"/>
                <w:szCs w:val="18"/>
              </w:rPr>
              <w:t>1</w:t>
            </w:r>
            <w:r>
              <w:rPr>
                <w:rFonts w:ascii="Times New Roman" w:hAnsi="Times New Roman" w:eastAsia="仿宋_GB2312" w:cs="Times New Roman"/>
                <w:color w:val="auto"/>
                <w:kern w:val="0"/>
                <w:sz w:val="18"/>
                <w:szCs w:val="18"/>
              </w:rPr>
              <w:t>月</w:t>
            </w:r>
          </w:p>
        </w:tc>
        <w:tc>
          <w:tcPr>
            <w:tcW w:w="1843" w:type="dxa"/>
            <w:gridSpan w:val="4"/>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ascii="Times New Roman" w:hAnsi="Times New Roman" w:eastAsia="仿宋_GB2312" w:cs="Times New Roman"/>
                <w:color w:val="auto"/>
                <w:kern w:val="0"/>
                <w:sz w:val="18"/>
                <w:szCs w:val="18"/>
              </w:rPr>
              <w:t>完工时间</w:t>
            </w:r>
          </w:p>
        </w:tc>
        <w:tc>
          <w:tcPr>
            <w:tcW w:w="1418" w:type="dxa"/>
            <w:gridSpan w:val="3"/>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ascii="Times New Roman" w:hAnsi="Times New Roman" w:eastAsia="仿宋_GB2312" w:cs="Times New Roman"/>
                <w:color w:val="auto"/>
                <w:kern w:val="0"/>
                <w:sz w:val="18"/>
                <w:szCs w:val="18"/>
              </w:rPr>
              <w:t>202</w:t>
            </w:r>
            <w:r>
              <w:rPr>
                <w:rFonts w:hint="eastAsia" w:ascii="Times New Roman" w:hAnsi="Times New Roman" w:eastAsia="仿宋_GB2312" w:cs="Times New Roman"/>
                <w:color w:val="auto"/>
                <w:kern w:val="0"/>
                <w:sz w:val="18"/>
                <w:szCs w:val="18"/>
              </w:rPr>
              <w:t>5</w:t>
            </w:r>
            <w:r>
              <w:rPr>
                <w:rFonts w:ascii="Times New Roman" w:hAnsi="Times New Roman" w:eastAsia="仿宋_GB2312" w:cs="Times New Roman"/>
                <w:color w:val="auto"/>
                <w:kern w:val="0"/>
                <w:sz w:val="18"/>
                <w:szCs w:val="18"/>
              </w:rPr>
              <w:t>年</w:t>
            </w:r>
            <w:r>
              <w:rPr>
                <w:rFonts w:hint="eastAsia" w:ascii="Times New Roman" w:hAnsi="Times New Roman" w:eastAsia="仿宋_GB2312" w:cs="Times New Roman"/>
                <w:color w:val="auto"/>
                <w:kern w:val="0"/>
                <w:sz w:val="18"/>
                <w:szCs w:val="18"/>
              </w:rPr>
              <w:t>12</w:t>
            </w:r>
            <w:r>
              <w:rPr>
                <w:rFonts w:ascii="Times New Roman" w:hAnsi="Times New Roman" w:eastAsia="仿宋_GB2312" w:cs="Times New Roman"/>
                <w:color w:val="auto"/>
                <w:kern w:val="0"/>
                <w:sz w:val="18"/>
                <w:szCs w:val="18"/>
              </w:rPr>
              <w:t>月</w:t>
            </w:r>
          </w:p>
        </w:tc>
        <w:tc>
          <w:tcPr>
            <w:tcW w:w="1701" w:type="dxa"/>
            <w:gridSpan w:val="4"/>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ascii="Times New Roman" w:hAnsi="Times New Roman" w:eastAsia="仿宋_GB2312" w:cs="Times New Roman"/>
                <w:color w:val="auto"/>
                <w:kern w:val="0"/>
                <w:sz w:val="18"/>
                <w:szCs w:val="18"/>
              </w:rPr>
              <w:t>设计水平年</w:t>
            </w:r>
          </w:p>
        </w:tc>
        <w:tc>
          <w:tcPr>
            <w:tcW w:w="1740" w:type="dxa"/>
            <w:gridSpan w:val="2"/>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ascii="Times New Roman" w:hAnsi="Times New Roman" w:eastAsia="仿宋_GB2312" w:cs="Times New Roman"/>
                <w:color w:val="auto"/>
                <w:kern w:val="0"/>
                <w:sz w:val="18"/>
                <w:szCs w:val="18"/>
              </w:rPr>
              <w:t>202</w:t>
            </w:r>
            <w:r>
              <w:rPr>
                <w:rFonts w:hint="eastAsia" w:ascii="Times New Roman" w:hAnsi="Times New Roman" w:eastAsia="仿宋_GB2312" w:cs="Times New Roman"/>
                <w:color w:val="auto"/>
                <w:kern w:val="0"/>
                <w:sz w:val="18"/>
                <w:szCs w:val="18"/>
              </w:rPr>
              <w:t>6</w:t>
            </w:r>
            <w:r>
              <w:rPr>
                <w:rFonts w:ascii="Times New Roman" w:hAnsi="Times New Roman" w:eastAsia="仿宋_GB2312" w:cs="Times New Roman"/>
                <w:color w:val="auto"/>
                <w:kern w:val="0"/>
                <w:sz w:val="18"/>
                <w:szCs w:val="18"/>
              </w:rPr>
              <w:t>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1634" w:type="dxa"/>
            <w:gridSpan w:val="3"/>
            <w:vAlign w:val="center"/>
          </w:tcPr>
          <w:p>
            <w:pPr>
              <w:widowControl/>
              <w:snapToGrid w:val="0"/>
              <w:spacing w:beforeLines="15" w:afterLines="15" w:line="240" w:lineRule="exact"/>
              <w:jc w:val="center"/>
              <w:rPr>
                <w:rFonts w:ascii="Times New Roman" w:hAnsi="Times New Roman" w:eastAsia="仿宋_GB2312" w:cs="Times New Roman"/>
                <w:color w:val="auto"/>
                <w:kern w:val="0"/>
                <w:sz w:val="18"/>
                <w:szCs w:val="18"/>
              </w:rPr>
            </w:pPr>
            <w:r>
              <w:rPr>
                <w:rFonts w:ascii="Times New Roman" w:hAnsi="Times New Roman" w:eastAsia="仿宋_GB2312" w:cs="Times New Roman"/>
                <w:color w:val="auto"/>
                <w:kern w:val="0"/>
                <w:sz w:val="18"/>
                <w:szCs w:val="18"/>
              </w:rPr>
              <w:t>项目占地（hm</w:t>
            </w:r>
            <w:r>
              <w:rPr>
                <w:rFonts w:ascii="Times New Roman" w:hAnsi="Times New Roman" w:eastAsia="仿宋_GB2312" w:cs="Times New Roman"/>
                <w:color w:val="auto"/>
                <w:kern w:val="0"/>
                <w:sz w:val="18"/>
                <w:szCs w:val="18"/>
                <w:vertAlign w:val="superscript"/>
              </w:rPr>
              <w:t>2</w:t>
            </w:r>
            <w:r>
              <w:rPr>
                <w:rFonts w:ascii="Times New Roman" w:hAnsi="Times New Roman" w:eastAsia="仿宋_GB2312" w:cs="Times New Roman"/>
                <w:color w:val="auto"/>
                <w:kern w:val="0"/>
                <w:sz w:val="18"/>
                <w:szCs w:val="18"/>
              </w:rPr>
              <w:t>）</w:t>
            </w:r>
          </w:p>
        </w:tc>
        <w:tc>
          <w:tcPr>
            <w:tcW w:w="2126" w:type="dxa"/>
            <w:gridSpan w:val="2"/>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hint="eastAsia" w:ascii="Times New Roman" w:hAnsi="Times New Roman" w:eastAsia="仿宋_GB2312" w:cs="Times New Roman"/>
                <w:color w:val="auto"/>
                <w:kern w:val="0"/>
                <w:sz w:val="18"/>
                <w:szCs w:val="18"/>
              </w:rPr>
              <w:t>100</w:t>
            </w:r>
          </w:p>
        </w:tc>
        <w:tc>
          <w:tcPr>
            <w:tcW w:w="1843" w:type="dxa"/>
            <w:gridSpan w:val="4"/>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ascii="Times New Roman" w:hAnsi="Times New Roman" w:eastAsia="仿宋_GB2312" w:cs="Times New Roman"/>
                <w:color w:val="auto"/>
                <w:kern w:val="0"/>
                <w:sz w:val="18"/>
                <w:szCs w:val="18"/>
              </w:rPr>
              <w:t>永久占地（hm</w:t>
            </w:r>
            <w:r>
              <w:rPr>
                <w:rFonts w:ascii="Times New Roman" w:hAnsi="Times New Roman" w:eastAsia="仿宋_GB2312" w:cs="Times New Roman"/>
                <w:color w:val="auto"/>
                <w:kern w:val="0"/>
                <w:sz w:val="18"/>
                <w:szCs w:val="18"/>
                <w:vertAlign w:val="superscript"/>
              </w:rPr>
              <w:t>2</w:t>
            </w:r>
            <w:r>
              <w:rPr>
                <w:rFonts w:ascii="Times New Roman" w:hAnsi="Times New Roman" w:eastAsia="仿宋_GB2312" w:cs="Times New Roman"/>
                <w:color w:val="auto"/>
                <w:kern w:val="0"/>
                <w:sz w:val="18"/>
                <w:szCs w:val="18"/>
              </w:rPr>
              <w:t>）</w:t>
            </w:r>
          </w:p>
        </w:tc>
        <w:tc>
          <w:tcPr>
            <w:tcW w:w="1418" w:type="dxa"/>
            <w:gridSpan w:val="3"/>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hint="eastAsia" w:ascii="Times New Roman" w:hAnsi="Times New Roman" w:eastAsia="仿宋_GB2312" w:cs="Times New Roman"/>
                <w:color w:val="auto"/>
                <w:kern w:val="0"/>
                <w:sz w:val="18"/>
                <w:szCs w:val="18"/>
              </w:rPr>
              <w:t>100</w:t>
            </w:r>
          </w:p>
        </w:tc>
        <w:tc>
          <w:tcPr>
            <w:tcW w:w="1701" w:type="dxa"/>
            <w:gridSpan w:val="4"/>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ascii="Times New Roman" w:hAnsi="Times New Roman" w:eastAsia="仿宋_GB2312" w:cs="Times New Roman"/>
                <w:color w:val="auto"/>
                <w:kern w:val="0"/>
                <w:sz w:val="18"/>
                <w:szCs w:val="18"/>
              </w:rPr>
              <w:t>临时占地（hm</w:t>
            </w:r>
            <w:r>
              <w:rPr>
                <w:rFonts w:ascii="Times New Roman" w:hAnsi="Times New Roman" w:eastAsia="仿宋_GB2312" w:cs="Times New Roman"/>
                <w:color w:val="auto"/>
                <w:kern w:val="0"/>
                <w:sz w:val="18"/>
                <w:szCs w:val="18"/>
                <w:vertAlign w:val="superscript"/>
              </w:rPr>
              <w:t>2</w:t>
            </w:r>
            <w:r>
              <w:rPr>
                <w:rFonts w:ascii="Times New Roman" w:hAnsi="Times New Roman" w:eastAsia="仿宋_GB2312" w:cs="Times New Roman"/>
                <w:color w:val="auto"/>
                <w:kern w:val="0"/>
                <w:sz w:val="18"/>
                <w:szCs w:val="18"/>
              </w:rPr>
              <w:t>）</w:t>
            </w:r>
          </w:p>
        </w:tc>
        <w:tc>
          <w:tcPr>
            <w:tcW w:w="1740" w:type="dxa"/>
            <w:gridSpan w:val="2"/>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hint="eastAsia" w:ascii="Times New Roman" w:hAnsi="Times New Roman" w:eastAsia="仿宋_GB2312" w:cs="Times New Roman"/>
                <w:color w:val="auto"/>
                <w:kern w:val="0"/>
                <w:sz w:val="18"/>
                <w:szCs w:val="18"/>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80" w:hRule="atLeast"/>
          <w:jc w:val="center"/>
        </w:trPr>
        <w:tc>
          <w:tcPr>
            <w:tcW w:w="3760" w:type="dxa"/>
            <w:gridSpan w:val="5"/>
            <w:vMerge w:val="restart"/>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土石方量（万m</w:t>
            </w:r>
            <w:r>
              <w:rPr>
                <w:rFonts w:ascii="Times New Roman" w:hAnsi="Times New Roman" w:eastAsia="仿宋_GB2312" w:cs="Times New Roman"/>
                <w:color w:val="auto"/>
                <w:sz w:val="18"/>
                <w:szCs w:val="18"/>
                <w:vertAlign w:val="superscript"/>
              </w:rPr>
              <w:t>3</w:t>
            </w:r>
            <w:r>
              <w:rPr>
                <w:rFonts w:ascii="Times New Roman" w:hAnsi="Times New Roman" w:eastAsia="仿宋_GB2312" w:cs="Times New Roman"/>
                <w:color w:val="auto"/>
                <w:sz w:val="18"/>
                <w:szCs w:val="18"/>
              </w:rPr>
              <w:t>）</w:t>
            </w:r>
          </w:p>
        </w:tc>
        <w:tc>
          <w:tcPr>
            <w:tcW w:w="1843" w:type="dxa"/>
            <w:gridSpan w:val="4"/>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挖方</w:t>
            </w:r>
          </w:p>
        </w:tc>
        <w:tc>
          <w:tcPr>
            <w:tcW w:w="1418" w:type="dxa"/>
            <w:gridSpan w:val="3"/>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填方</w:t>
            </w:r>
          </w:p>
        </w:tc>
        <w:tc>
          <w:tcPr>
            <w:tcW w:w="1701" w:type="dxa"/>
            <w:gridSpan w:val="4"/>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借方</w:t>
            </w:r>
          </w:p>
        </w:tc>
        <w:tc>
          <w:tcPr>
            <w:tcW w:w="1740" w:type="dxa"/>
            <w:gridSpan w:val="2"/>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余方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35" w:hRule="atLeast"/>
          <w:jc w:val="center"/>
        </w:trPr>
        <w:tc>
          <w:tcPr>
            <w:tcW w:w="3760" w:type="dxa"/>
            <w:gridSpan w:val="5"/>
            <w:vMerge w:val="continue"/>
            <w:vAlign w:val="center"/>
          </w:tcPr>
          <w:p>
            <w:pPr>
              <w:widowControl/>
              <w:jc w:val="left"/>
              <w:rPr>
                <w:rFonts w:ascii="Times New Roman" w:hAnsi="Times New Roman" w:eastAsia="仿宋_GB2312" w:cs="Times New Roman"/>
                <w:color w:val="auto"/>
                <w:sz w:val="18"/>
                <w:szCs w:val="18"/>
              </w:rPr>
            </w:pPr>
          </w:p>
        </w:tc>
        <w:tc>
          <w:tcPr>
            <w:tcW w:w="1843" w:type="dxa"/>
            <w:gridSpan w:val="4"/>
            <w:vAlign w:val="center"/>
          </w:tcPr>
          <w:p>
            <w:pPr>
              <w:spacing w:line="240" w:lineRule="exact"/>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25.91</w:t>
            </w:r>
          </w:p>
        </w:tc>
        <w:tc>
          <w:tcPr>
            <w:tcW w:w="1418" w:type="dxa"/>
            <w:gridSpan w:val="3"/>
            <w:vAlign w:val="center"/>
          </w:tcPr>
          <w:p>
            <w:pPr>
              <w:spacing w:line="240" w:lineRule="exact"/>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131.86</w:t>
            </w:r>
          </w:p>
        </w:tc>
        <w:tc>
          <w:tcPr>
            <w:tcW w:w="1701" w:type="dxa"/>
            <w:gridSpan w:val="4"/>
            <w:vAlign w:val="center"/>
          </w:tcPr>
          <w:p>
            <w:pPr>
              <w:spacing w:line="240" w:lineRule="exact"/>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105.95</w:t>
            </w:r>
          </w:p>
        </w:tc>
        <w:tc>
          <w:tcPr>
            <w:tcW w:w="1740" w:type="dxa"/>
            <w:gridSpan w:val="2"/>
            <w:vAlign w:val="center"/>
          </w:tcPr>
          <w:p>
            <w:pPr>
              <w:spacing w:line="240" w:lineRule="exact"/>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3760"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重点防治区名称</w:t>
            </w:r>
          </w:p>
        </w:tc>
        <w:tc>
          <w:tcPr>
            <w:tcW w:w="6702" w:type="dxa"/>
            <w:gridSpan w:val="13"/>
            <w:vAlign w:val="center"/>
          </w:tcPr>
          <w:p>
            <w:pPr>
              <w:adjustRightInd w:val="0"/>
              <w:snapToGrid w:val="0"/>
              <w:jc w:val="center"/>
              <w:rPr>
                <w:rFonts w:ascii="Times New Roman" w:hAnsi="Times New Roman" w:eastAsia="仿宋_GB2312" w:cs="Times New Roman"/>
                <w:color w:val="auto"/>
                <w:sz w:val="18"/>
                <w:szCs w:val="18"/>
              </w:rPr>
            </w:pPr>
            <w:r>
              <w:rPr>
                <w:rFonts w:hint="eastAsia" w:ascii="Times New Roman" w:hAnsi="Times New Roman" w:eastAsia="仿宋_GB2312" w:cs="Times New Roman"/>
                <w:color w:val="auto"/>
                <w:kern w:val="0"/>
                <w:sz w:val="18"/>
                <w:szCs w:val="18"/>
              </w:rPr>
              <w:t>青山湖区水土流失</w:t>
            </w:r>
            <w:r>
              <w:rPr>
                <w:rFonts w:ascii="Times New Roman" w:hAnsi="Times New Roman" w:eastAsia="仿宋_GB2312" w:cs="Times New Roman"/>
                <w:color w:val="auto"/>
                <w:kern w:val="0"/>
                <w:sz w:val="18"/>
                <w:szCs w:val="18"/>
              </w:rPr>
              <w:t>重点预防区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3760"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地貌类型</w:t>
            </w:r>
          </w:p>
        </w:tc>
        <w:tc>
          <w:tcPr>
            <w:tcW w:w="1560" w:type="dxa"/>
            <w:gridSpan w:val="2"/>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ascii="Times New Roman" w:hAnsi="Times New Roman" w:eastAsia="仿宋_GB2312" w:cs="Times New Roman"/>
                <w:color w:val="auto"/>
                <w:sz w:val="18"/>
                <w:szCs w:val="18"/>
              </w:rPr>
              <w:t>赣抚冲积平原</w:t>
            </w:r>
          </w:p>
        </w:tc>
        <w:tc>
          <w:tcPr>
            <w:tcW w:w="2976" w:type="dxa"/>
            <w:gridSpan w:val="7"/>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水土保持区划</w:t>
            </w:r>
          </w:p>
        </w:tc>
        <w:tc>
          <w:tcPr>
            <w:tcW w:w="2166" w:type="dxa"/>
            <w:gridSpan w:val="4"/>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ascii="Times New Roman" w:hAnsi="Times New Roman" w:eastAsia="仿宋_GB2312" w:cs="Times New Roman"/>
                <w:color w:val="auto"/>
                <w:kern w:val="0"/>
                <w:sz w:val="18"/>
                <w:szCs w:val="18"/>
              </w:rPr>
              <w:t>南方红壤区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3760"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土壤侵蚀类型</w:t>
            </w:r>
          </w:p>
        </w:tc>
        <w:tc>
          <w:tcPr>
            <w:tcW w:w="1560" w:type="dxa"/>
            <w:gridSpan w:val="2"/>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ascii="Times New Roman" w:hAnsi="Times New Roman" w:eastAsia="仿宋_GB2312" w:cs="Times New Roman"/>
                <w:color w:val="auto"/>
                <w:kern w:val="0"/>
                <w:sz w:val="18"/>
                <w:szCs w:val="18"/>
              </w:rPr>
              <w:t>水力侵蚀</w:t>
            </w:r>
          </w:p>
        </w:tc>
        <w:tc>
          <w:tcPr>
            <w:tcW w:w="2976" w:type="dxa"/>
            <w:gridSpan w:val="7"/>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土壤侵蚀强度</w:t>
            </w:r>
          </w:p>
        </w:tc>
        <w:tc>
          <w:tcPr>
            <w:tcW w:w="2166" w:type="dxa"/>
            <w:gridSpan w:val="4"/>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hint="eastAsia" w:ascii="Times New Roman" w:hAnsi="Times New Roman" w:eastAsia="仿宋_GB2312" w:cs="Times New Roman"/>
                <w:color w:val="auto"/>
                <w:kern w:val="0"/>
                <w:sz w:val="18"/>
                <w:szCs w:val="18"/>
              </w:rPr>
              <w:t>微度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3760"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防治责任范围面积（hm</w:t>
            </w:r>
            <w:r>
              <w:rPr>
                <w:rFonts w:ascii="Times New Roman" w:hAnsi="Times New Roman" w:eastAsia="仿宋_GB2312" w:cs="Times New Roman"/>
                <w:color w:val="auto"/>
                <w:sz w:val="18"/>
                <w:szCs w:val="18"/>
                <w:vertAlign w:val="superscript"/>
              </w:rPr>
              <w:t>2</w:t>
            </w:r>
            <w:r>
              <w:rPr>
                <w:rFonts w:ascii="Times New Roman" w:hAnsi="Times New Roman" w:eastAsia="仿宋_GB2312" w:cs="Times New Roman"/>
                <w:color w:val="auto"/>
                <w:sz w:val="18"/>
                <w:szCs w:val="18"/>
              </w:rPr>
              <w:t>）</w:t>
            </w:r>
          </w:p>
        </w:tc>
        <w:tc>
          <w:tcPr>
            <w:tcW w:w="1560" w:type="dxa"/>
            <w:gridSpan w:val="2"/>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hint="eastAsia" w:ascii="Times New Roman" w:hAnsi="Times New Roman" w:eastAsia="仿宋_GB2312" w:cs="Times New Roman"/>
                <w:color w:val="auto"/>
                <w:kern w:val="0"/>
                <w:sz w:val="18"/>
                <w:szCs w:val="18"/>
              </w:rPr>
              <w:t>100</w:t>
            </w:r>
          </w:p>
        </w:tc>
        <w:tc>
          <w:tcPr>
            <w:tcW w:w="2976" w:type="dxa"/>
            <w:gridSpan w:val="7"/>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容许土壤流失量[t/(km</w:t>
            </w:r>
            <w:r>
              <w:rPr>
                <w:rFonts w:ascii="Times New Roman" w:hAnsi="Times New Roman" w:eastAsia="仿宋_GB2312" w:cs="Times New Roman"/>
                <w:color w:val="auto"/>
                <w:sz w:val="18"/>
                <w:szCs w:val="18"/>
                <w:vertAlign w:val="superscript"/>
              </w:rPr>
              <w:t>2</w:t>
            </w:r>
            <w:r>
              <w:rPr>
                <w:rFonts w:ascii="Times New Roman" w:hAnsi="Times New Roman" w:eastAsia="仿宋_GB2312" w:cs="Times New Roman"/>
                <w:color w:val="auto"/>
                <w:sz w:val="18"/>
                <w:szCs w:val="18"/>
              </w:rPr>
              <w:t>·a)]</w:t>
            </w:r>
          </w:p>
        </w:tc>
        <w:tc>
          <w:tcPr>
            <w:tcW w:w="2166" w:type="dxa"/>
            <w:gridSpan w:val="4"/>
            <w:vAlign w:val="center"/>
          </w:tcPr>
          <w:p>
            <w:pPr>
              <w:widowControl/>
              <w:snapToGrid w:val="0"/>
              <w:spacing w:line="240" w:lineRule="exact"/>
              <w:jc w:val="center"/>
              <w:rPr>
                <w:rFonts w:ascii="Times New Roman" w:hAnsi="Times New Roman" w:eastAsia="仿宋_GB2312" w:cs="Times New Roman"/>
                <w:color w:val="auto"/>
                <w:kern w:val="0"/>
                <w:sz w:val="18"/>
                <w:szCs w:val="18"/>
              </w:rPr>
            </w:pPr>
            <w:r>
              <w:rPr>
                <w:rFonts w:ascii="Times New Roman" w:hAnsi="Times New Roman" w:eastAsia="仿宋_GB2312" w:cs="Times New Roman"/>
                <w:color w:val="auto"/>
                <w:kern w:val="0"/>
                <w:sz w:val="18"/>
                <w:szCs w:val="18"/>
              </w:rPr>
              <w:t>500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3760"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土壤流失预测总量（t）</w:t>
            </w:r>
          </w:p>
        </w:tc>
        <w:tc>
          <w:tcPr>
            <w:tcW w:w="1560" w:type="dxa"/>
            <w:gridSpan w:val="2"/>
            <w:vAlign w:val="center"/>
          </w:tcPr>
          <w:p>
            <w:pPr>
              <w:widowControl/>
              <w:snapToGrid w:val="0"/>
              <w:spacing w:line="240" w:lineRule="exact"/>
              <w:jc w:val="center"/>
              <w:rPr>
                <w:rFonts w:hint="default" w:ascii="Times New Roman" w:hAnsi="Times New Roman" w:eastAsia="仿宋_GB2312" w:cs="Times New Roman"/>
                <w:color w:val="auto"/>
                <w:kern w:val="0"/>
                <w:sz w:val="18"/>
                <w:szCs w:val="18"/>
                <w:lang w:val="en-US" w:eastAsia="zh-CN"/>
              </w:rPr>
            </w:pPr>
            <w:r>
              <w:rPr>
                <w:rFonts w:hint="eastAsia" w:ascii="Times New Roman" w:hAnsi="Times New Roman" w:eastAsia="仿宋_GB2312" w:cs="Times New Roman"/>
                <w:color w:val="auto"/>
                <w:kern w:val="0"/>
                <w:sz w:val="18"/>
                <w:szCs w:val="18"/>
                <w:lang w:val="en-US" w:eastAsia="zh-CN"/>
              </w:rPr>
              <w:t>12367</w:t>
            </w:r>
          </w:p>
        </w:tc>
        <w:tc>
          <w:tcPr>
            <w:tcW w:w="2976" w:type="dxa"/>
            <w:gridSpan w:val="7"/>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新增土壤流失量（t）</w:t>
            </w:r>
          </w:p>
        </w:tc>
        <w:tc>
          <w:tcPr>
            <w:tcW w:w="2166" w:type="dxa"/>
            <w:gridSpan w:val="4"/>
            <w:vAlign w:val="center"/>
          </w:tcPr>
          <w:p>
            <w:pPr>
              <w:widowControl/>
              <w:snapToGrid w:val="0"/>
              <w:spacing w:line="240" w:lineRule="exact"/>
              <w:jc w:val="center"/>
              <w:rPr>
                <w:rFonts w:hint="default" w:ascii="Times New Roman" w:hAnsi="Times New Roman" w:eastAsia="仿宋_GB2312" w:cs="Times New Roman"/>
                <w:color w:val="auto"/>
                <w:kern w:val="0"/>
                <w:sz w:val="18"/>
                <w:szCs w:val="18"/>
                <w:lang w:val="en-US" w:eastAsia="zh-CN"/>
              </w:rPr>
            </w:pPr>
            <w:r>
              <w:rPr>
                <w:rFonts w:hint="eastAsia" w:ascii="Times New Roman" w:hAnsi="Times New Roman" w:eastAsia="仿宋_GB2312" w:cs="Times New Roman"/>
                <w:color w:val="auto"/>
                <w:kern w:val="0"/>
                <w:sz w:val="18"/>
                <w:szCs w:val="18"/>
                <w:lang w:val="en-US" w:eastAsia="zh-CN"/>
              </w:rPr>
              <w:t>11461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3760"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水土流失防治标准执行等级</w:t>
            </w:r>
          </w:p>
        </w:tc>
        <w:tc>
          <w:tcPr>
            <w:tcW w:w="6702" w:type="dxa"/>
            <w:gridSpan w:val="13"/>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南方红壤区水土流失防治一级标准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1918" w:type="dxa"/>
            <w:gridSpan w:val="4"/>
            <w:vMerge w:val="restart"/>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防治指标</w:t>
            </w:r>
          </w:p>
        </w:tc>
        <w:tc>
          <w:tcPr>
            <w:tcW w:w="1842" w:type="dxa"/>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水土流失治理度（%）</w:t>
            </w:r>
          </w:p>
        </w:tc>
        <w:tc>
          <w:tcPr>
            <w:tcW w:w="1560" w:type="dxa"/>
            <w:gridSpan w:val="2"/>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98</w:t>
            </w:r>
          </w:p>
        </w:tc>
        <w:tc>
          <w:tcPr>
            <w:tcW w:w="2976" w:type="dxa"/>
            <w:gridSpan w:val="7"/>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土壤流失控制比</w:t>
            </w:r>
          </w:p>
        </w:tc>
        <w:tc>
          <w:tcPr>
            <w:tcW w:w="2166" w:type="dxa"/>
            <w:gridSpan w:val="4"/>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1918" w:type="dxa"/>
            <w:gridSpan w:val="4"/>
            <w:vMerge w:val="continue"/>
            <w:vAlign w:val="center"/>
          </w:tcPr>
          <w:p>
            <w:pPr>
              <w:widowControl/>
              <w:jc w:val="left"/>
              <w:rPr>
                <w:rFonts w:ascii="Times New Roman" w:hAnsi="Times New Roman" w:eastAsia="仿宋_GB2312" w:cs="Times New Roman"/>
                <w:color w:val="auto"/>
                <w:sz w:val="18"/>
                <w:szCs w:val="18"/>
              </w:rPr>
            </w:pPr>
          </w:p>
        </w:tc>
        <w:tc>
          <w:tcPr>
            <w:tcW w:w="1842" w:type="dxa"/>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渣土防护率（%）</w:t>
            </w:r>
          </w:p>
        </w:tc>
        <w:tc>
          <w:tcPr>
            <w:tcW w:w="1560" w:type="dxa"/>
            <w:gridSpan w:val="2"/>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9</w:t>
            </w:r>
            <w:r>
              <w:rPr>
                <w:rFonts w:hint="eastAsia" w:ascii="Times New Roman" w:hAnsi="Times New Roman" w:eastAsia="仿宋_GB2312" w:cs="Times New Roman"/>
                <w:color w:val="auto"/>
                <w:sz w:val="18"/>
                <w:szCs w:val="18"/>
              </w:rPr>
              <w:t>9</w:t>
            </w:r>
          </w:p>
        </w:tc>
        <w:tc>
          <w:tcPr>
            <w:tcW w:w="2976" w:type="dxa"/>
            <w:gridSpan w:val="7"/>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表土保护率（%）</w:t>
            </w:r>
          </w:p>
        </w:tc>
        <w:tc>
          <w:tcPr>
            <w:tcW w:w="2166" w:type="dxa"/>
            <w:gridSpan w:val="4"/>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92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1918" w:type="dxa"/>
            <w:gridSpan w:val="4"/>
            <w:vMerge w:val="continue"/>
            <w:vAlign w:val="center"/>
          </w:tcPr>
          <w:p>
            <w:pPr>
              <w:widowControl/>
              <w:jc w:val="left"/>
              <w:rPr>
                <w:rFonts w:ascii="Times New Roman" w:hAnsi="Times New Roman" w:eastAsia="仿宋_GB2312" w:cs="Times New Roman"/>
                <w:color w:val="auto"/>
                <w:sz w:val="18"/>
                <w:szCs w:val="18"/>
              </w:rPr>
            </w:pPr>
          </w:p>
        </w:tc>
        <w:tc>
          <w:tcPr>
            <w:tcW w:w="1842" w:type="dxa"/>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林草植被恢复率（%）</w:t>
            </w:r>
          </w:p>
        </w:tc>
        <w:tc>
          <w:tcPr>
            <w:tcW w:w="1560" w:type="dxa"/>
            <w:gridSpan w:val="2"/>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98</w:t>
            </w:r>
          </w:p>
        </w:tc>
        <w:tc>
          <w:tcPr>
            <w:tcW w:w="2976" w:type="dxa"/>
            <w:gridSpan w:val="7"/>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林草覆盖率（%）</w:t>
            </w:r>
          </w:p>
        </w:tc>
        <w:tc>
          <w:tcPr>
            <w:tcW w:w="2166" w:type="dxa"/>
            <w:gridSpan w:val="4"/>
            <w:vAlign w:val="center"/>
          </w:tcPr>
          <w:p>
            <w:pPr>
              <w:adjustRightInd w:val="0"/>
              <w:snapToGrid w:val="0"/>
              <w:jc w:val="center"/>
              <w:rPr>
                <w:rFonts w:ascii="Times New Roman" w:hAnsi="Times New Roman" w:eastAsia="仿宋_GB2312" w:cs="Times New Roman"/>
                <w:color w:val="auto"/>
                <w:sz w:val="18"/>
                <w:szCs w:val="18"/>
              </w:rPr>
            </w:pPr>
            <w:r>
              <w:rPr>
                <w:rFonts w:hint="eastAsia" w:ascii="Times New Roman" w:hAnsi="Times New Roman" w:eastAsia="仿宋_GB2312" w:cs="Times New Roman"/>
                <w:color w:val="auto"/>
                <w:sz w:val="18"/>
                <w:szCs w:val="18"/>
              </w:rPr>
              <w:t>27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511" w:type="dxa"/>
            <w:vMerge w:val="restart"/>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防治措施及工程量</w:t>
            </w:r>
          </w:p>
        </w:tc>
        <w:tc>
          <w:tcPr>
            <w:tcW w:w="1407" w:type="dxa"/>
            <w:gridSpan w:val="3"/>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分区名称</w:t>
            </w:r>
          </w:p>
        </w:tc>
        <w:tc>
          <w:tcPr>
            <w:tcW w:w="3543" w:type="dxa"/>
            <w:gridSpan w:val="4"/>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工程措施</w:t>
            </w:r>
          </w:p>
        </w:tc>
        <w:tc>
          <w:tcPr>
            <w:tcW w:w="1985"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植物措施</w:t>
            </w:r>
          </w:p>
        </w:tc>
        <w:tc>
          <w:tcPr>
            <w:tcW w:w="3016"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临时措施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511" w:type="dxa"/>
            <w:vMerge w:val="continue"/>
            <w:vAlign w:val="center"/>
          </w:tcPr>
          <w:p>
            <w:pPr>
              <w:widowControl/>
              <w:jc w:val="left"/>
              <w:rPr>
                <w:rFonts w:ascii="Times New Roman" w:hAnsi="Times New Roman" w:eastAsia="仿宋_GB2312" w:cs="Times New Roman"/>
                <w:color w:val="auto"/>
                <w:sz w:val="18"/>
                <w:szCs w:val="18"/>
              </w:rPr>
            </w:pPr>
          </w:p>
        </w:tc>
        <w:tc>
          <w:tcPr>
            <w:tcW w:w="567" w:type="dxa"/>
            <w:vMerge w:val="restart"/>
            <w:vAlign w:val="center"/>
          </w:tcPr>
          <w:p>
            <w:pPr>
              <w:adjustRightInd w:val="0"/>
              <w:snapToGrid w:val="0"/>
              <w:jc w:val="center"/>
              <w:rPr>
                <w:rFonts w:ascii="Times New Roman" w:hAnsi="Times New Roman" w:eastAsia="仿宋_GB2312" w:cs="Times New Roman"/>
                <w:color w:val="auto"/>
                <w:sz w:val="18"/>
                <w:szCs w:val="18"/>
              </w:rPr>
            </w:pPr>
            <w:r>
              <w:rPr>
                <w:rFonts w:hint="eastAsia" w:ascii="Times New Roman" w:hAnsi="Times New Roman" w:eastAsia="仿宋_GB2312" w:cs="Times New Roman"/>
                <w:color w:val="auto"/>
                <w:sz w:val="18"/>
                <w:szCs w:val="18"/>
              </w:rPr>
              <w:t>公共基础设施区</w:t>
            </w:r>
          </w:p>
        </w:tc>
        <w:tc>
          <w:tcPr>
            <w:tcW w:w="840" w:type="dxa"/>
            <w:gridSpan w:val="2"/>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道路与交通设施用地</w:t>
            </w:r>
            <w:r>
              <w:rPr>
                <w:rFonts w:hint="eastAsia" w:ascii="Times New Roman" w:hAnsi="Times New Roman" w:eastAsia="仿宋_GB2312" w:cs="Times New Roman"/>
                <w:color w:val="auto"/>
                <w:sz w:val="18"/>
                <w:szCs w:val="18"/>
              </w:rPr>
              <w:t>区</w:t>
            </w:r>
          </w:p>
        </w:tc>
        <w:tc>
          <w:tcPr>
            <w:tcW w:w="3543" w:type="dxa"/>
            <w:gridSpan w:val="4"/>
            <w:vAlign w:val="center"/>
          </w:tcPr>
          <w:p>
            <w:pPr>
              <w:adjustRightInd w:val="0"/>
              <w:snapToGrid w:val="0"/>
              <w:jc w:val="center"/>
              <w:rPr>
                <w:rFonts w:ascii="Times New Roman" w:hAnsi="Times New Roman" w:eastAsia="仿宋_GB2312" w:cs="Times New Roman"/>
                <w:color w:val="auto"/>
                <w:sz w:val="18"/>
                <w:szCs w:val="18"/>
                <w:vertAlign w:val="superscript"/>
              </w:rPr>
            </w:pPr>
            <w:r>
              <w:rPr>
                <w:rFonts w:ascii="Times New Roman" w:hAnsi="Times New Roman" w:eastAsia="仿宋_GB2312" w:cs="Times New Roman"/>
                <w:color w:val="auto"/>
                <w:sz w:val="18"/>
                <w:szCs w:val="18"/>
              </w:rPr>
              <w:t>表土剥离</w:t>
            </w:r>
            <w:r>
              <w:rPr>
                <w:rFonts w:hint="eastAsia" w:ascii="Times New Roman" w:hAnsi="Times New Roman" w:eastAsia="仿宋_GB2312" w:cs="Times New Roman"/>
                <w:color w:val="auto"/>
                <w:sz w:val="18"/>
                <w:szCs w:val="18"/>
              </w:rPr>
              <w:t>0.98</w:t>
            </w:r>
            <w:r>
              <w:rPr>
                <w:rFonts w:ascii="Times New Roman" w:hAnsi="Times New Roman" w:eastAsia="仿宋_GB2312" w:cs="Times New Roman"/>
                <w:color w:val="auto"/>
                <w:sz w:val="18"/>
                <w:szCs w:val="18"/>
              </w:rPr>
              <w:t>万m</w:t>
            </w:r>
            <w:r>
              <w:rPr>
                <w:rFonts w:ascii="Times New Roman" w:hAnsi="Times New Roman" w:eastAsia="仿宋_GB2312" w:cs="Times New Roman"/>
                <w:color w:val="auto"/>
                <w:sz w:val="18"/>
                <w:szCs w:val="18"/>
                <w:vertAlign w:val="superscript"/>
              </w:rPr>
              <w:t>3</w:t>
            </w:r>
            <w:r>
              <w:rPr>
                <w:rFonts w:ascii="Times New Roman" w:hAnsi="Times New Roman" w:eastAsia="仿宋_GB2312" w:cs="Times New Roman"/>
                <w:color w:val="auto"/>
                <w:sz w:val="18"/>
                <w:szCs w:val="18"/>
              </w:rPr>
              <w:t>、表土回填</w:t>
            </w:r>
            <w:r>
              <w:rPr>
                <w:rFonts w:hint="eastAsia" w:ascii="Times New Roman" w:hAnsi="Times New Roman" w:eastAsia="仿宋_GB2312" w:cs="Times New Roman"/>
                <w:color w:val="auto"/>
                <w:sz w:val="18"/>
                <w:szCs w:val="18"/>
              </w:rPr>
              <w:t>0.08</w:t>
            </w:r>
            <w:r>
              <w:rPr>
                <w:rFonts w:ascii="Times New Roman" w:hAnsi="Times New Roman" w:eastAsia="仿宋_GB2312" w:cs="Times New Roman"/>
                <w:color w:val="auto"/>
                <w:sz w:val="18"/>
                <w:szCs w:val="18"/>
              </w:rPr>
              <w:t>万m</w:t>
            </w:r>
            <w:r>
              <w:rPr>
                <w:rFonts w:ascii="Times New Roman" w:hAnsi="Times New Roman" w:eastAsia="仿宋_GB2312" w:cs="Times New Roman"/>
                <w:color w:val="auto"/>
                <w:sz w:val="18"/>
                <w:szCs w:val="18"/>
                <w:vertAlign w:val="superscript"/>
              </w:rPr>
              <w:t>3</w:t>
            </w:r>
            <w:r>
              <w:rPr>
                <w:rFonts w:ascii="Times New Roman" w:hAnsi="Times New Roman" w:eastAsia="仿宋_GB2312" w:cs="Times New Roman"/>
                <w:color w:val="auto"/>
                <w:sz w:val="18"/>
                <w:szCs w:val="18"/>
              </w:rPr>
              <w:t>、</w:t>
            </w:r>
            <w:r>
              <w:rPr>
                <w:rFonts w:hint="eastAsia" w:ascii="Times New Roman" w:hAnsi="Times New Roman" w:eastAsia="仿宋_GB2312" w:cs="Times New Roman"/>
                <w:color w:val="auto"/>
                <w:sz w:val="18"/>
                <w:szCs w:val="18"/>
              </w:rPr>
              <w:t>雨水管2</w:t>
            </w:r>
            <w:r>
              <w:rPr>
                <w:rFonts w:hint="eastAsia" w:ascii="Times New Roman" w:hAnsi="Times New Roman" w:eastAsia="仿宋_GB2312" w:cs="Times New Roman"/>
                <w:color w:val="auto"/>
                <w:sz w:val="18"/>
                <w:szCs w:val="18"/>
                <w:lang w:val="en-US" w:eastAsia="zh-CN"/>
              </w:rPr>
              <w:t>496</w:t>
            </w:r>
            <w:r>
              <w:rPr>
                <w:rFonts w:hint="eastAsia" w:ascii="Times New Roman" w:hAnsi="Times New Roman" w:eastAsia="仿宋_GB2312" w:cs="Times New Roman"/>
                <w:color w:val="auto"/>
                <w:sz w:val="18"/>
                <w:szCs w:val="18"/>
              </w:rPr>
              <w:t>m、雨水口</w:t>
            </w:r>
            <w:r>
              <w:rPr>
                <w:rFonts w:hint="eastAsia" w:ascii="Times New Roman" w:hAnsi="Times New Roman" w:eastAsia="仿宋_GB2312" w:cs="Times New Roman"/>
                <w:color w:val="auto"/>
                <w:sz w:val="18"/>
                <w:szCs w:val="18"/>
                <w:lang w:val="en-US" w:eastAsia="zh-CN"/>
              </w:rPr>
              <w:t>112</w:t>
            </w:r>
            <w:r>
              <w:rPr>
                <w:rFonts w:hint="eastAsia" w:ascii="Times New Roman" w:hAnsi="Times New Roman" w:eastAsia="仿宋_GB2312" w:cs="Times New Roman"/>
                <w:color w:val="auto"/>
                <w:sz w:val="18"/>
                <w:szCs w:val="18"/>
              </w:rPr>
              <w:t>个、雨水井</w:t>
            </w:r>
            <w:r>
              <w:rPr>
                <w:rFonts w:hint="eastAsia" w:ascii="Times New Roman" w:hAnsi="Times New Roman" w:eastAsia="仿宋_GB2312" w:cs="Times New Roman"/>
                <w:color w:val="auto"/>
                <w:sz w:val="18"/>
                <w:szCs w:val="18"/>
                <w:lang w:val="en-US" w:eastAsia="zh-CN"/>
              </w:rPr>
              <w:t>56</w:t>
            </w:r>
            <w:r>
              <w:rPr>
                <w:rFonts w:hint="eastAsia" w:ascii="Times New Roman" w:hAnsi="Times New Roman" w:eastAsia="仿宋_GB2312" w:cs="Times New Roman"/>
                <w:color w:val="auto"/>
                <w:sz w:val="18"/>
                <w:szCs w:val="18"/>
              </w:rPr>
              <w:t>座、</w:t>
            </w:r>
            <w:r>
              <w:rPr>
                <w:rFonts w:hint="eastAsia" w:ascii="Times New Roman" w:hAnsi="Times New Roman" w:eastAsia="仿宋_GB2312" w:cs="Times New Roman"/>
                <w:color w:val="auto"/>
                <w:sz w:val="18"/>
                <w:szCs w:val="18"/>
                <w:lang w:eastAsia="zh-CN"/>
              </w:rPr>
              <w:t>雨水箱涵</w:t>
            </w:r>
            <w:r>
              <w:rPr>
                <w:rFonts w:hint="eastAsia" w:ascii="Times New Roman" w:hAnsi="Times New Roman" w:eastAsia="仿宋_GB2312" w:cs="Times New Roman"/>
                <w:color w:val="auto"/>
                <w:sz w:val="18"/>
                <w:szCs w:val="18"/>
                <w:lang w:val="en-US" w:eastAsia="zh-CN"/>
              </w:rPr>
              <w:t>1336</w:t>
            </w:r>
            <w:r>
              <w:rPr>
                <w:rFonts w:hint="eastAsia" w:ascii="Times New Roman" w:hAnsi="Times New Roman" w:eastAsia="仿宋_GB2312" w:cs="Times New Roman"/>
                <w:color w:val="auto"/>
                <w:sz w:val="18"/>
                <w:szCs w:val="18"/>
              </w:rPr>
              <w:t>m</w:t>
            </w:r>
            <w:r>
              <w:rPr>
                <w:rFonts w:hint="eastAsia" w:ascii="Times New Roman" w:hAnsi="Times New Roman" w:eastAsia="仿宋_GB2312" w:cs="Times New Roman"/>
                <w:color w:val="auto"/>
                <w:sz w:val="18"/>
                <w:szCs w:val="18"/>
                <w:lang w:eastAsia="zh-CN"/>
              </w:rPr>
              <w:t>、</w:t>
            </w:r>
            <w:r>
              <w:rPr>
                <w:rFonts w:hint="eastAsia" w:ascii="Times New Roman" w:hAnsi="Times New Roman" w:eastAsia="仿宋_GB2312" w:cs="Times New Roman"/>
                <w:color w:val="auto"/>
                <w:sz w:val="18"/>
                <w:szCs w:val="18"/>
              </w:rPr>
              <w:t>透水铺装</w:t>
            </w:r>
            <w:r>
              <w:rPr>
                <w:rFonts w:hint="eastAsia" w:ascii="Times New Roman" w:hAnsi="Times New Roman" w:eastAsia="仿宋_GB2312" w:cs="Times New Roman"/>
                <w:color w:val="auto"/>
                <w:sz w:val="18"/>
                <w:szCs w:val="18"/>
                <w:lang w:val="en-US" w:eastAsia="zh-CN"/>
              </w:rPr>
              <w:t>3</w:t>
            </w:r>
            <w:r>
              <w:rPr>
                <w:rFonts w:hint="eastAsia" w:ascii="Times New Roman" w:hAnsi="Times New Roman" w:eastAsia="仿宋_GB2312" w:cs="Times New Roman"/>
                <w:color w:val="auto"/>
                <w:sz w:val="18"/>
                <w:szCs w:val="18"/>
              </w:rPr>
              <w:t>.83hm</w:t>
            </w:r>
            <w:r>
              <w:rPr>
                <w:rFonts w:hint="eastAsia" w:ascii="Times New Roman" w:hAnsi="Times New Roman" w:eastAsia="仿宋_GB2312" w:cs="Times New Roman"/>
                <w:color w:val="auto"/>
                <w:sz w:val="18"/>
                <w:szCs w:val="18"/>
                <w:vertAlign w:val="superscript"/>
              </w:rPr>
              <w:t>2</w:t>
            </w:r>
            <w:r>
              <w:rPr>
                <w:rFonts w:hint="eastAsia" w:ascii="Times New Roman" w:hAnsi="Times New Roman" w:eastAsia="仿宋_GB2312" w:cs="Times New Roman"/>
                <w:color w:val="auto"/>
                <w:sz w:val="18"/>
                <w:szCs w:val="18"/>
              </w:rPr>
              <w:t>、铺植草皮护坡2.10hm</w:t>
            </w:r>
            <w:r>
              <w:rPr>
                <w:rFonts w:hint="eastAsia" w:ascii="Times New Roman" w:hAnsi="Times New Roman" w:eastAsia="仿宋_GB2312" w:cs="Times New Roman"/>
                <w:color w:val="auto"/>
                <w:sz w:val="18"/>
                <w:szCs w:val="18"/>
                <w:vertAlign w:val="superscript"/>
              </w:rPr>
              <w:t>2</w:t>
            </w:r>
          </w:p>
        </w:tc>
        <w:tc>
          <w:tcPr>
            <w:tcW w:w="1985"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hint="eastAsia" w:ascii="Times New Roman" w:hAnsi="Times New Roman" w:eastAsia="仿宋_GB2312" w:cs="Times New Roman"/>
                <w:color w:val="auto"/>
                <w:sz w:val="18"/>
                <w:szCs w:val="18"/>
              </w:rPr>
              <w:t>道路绿化0</w:t>
            </w:r>
            <w:r>
              <w:rPr>
                <w:rFonts w:hint="eastAsia" w:ascii="Times New Roman" w:hAnsi="Times New Roman" w:eastAsia="仿宋_GB2312" w:cs="Times New Roman"/>
                <w:color w:val="auto"/>
                <w:sz w:val="18"/>
                <w:szCs w:val="18"/>
                <w:lang w:val="en-US" w:eastAsia="zh-CN"/>
              </w:rPr>
              <w:t>.46</w:t>
            </w:r>
            <w:r>
              <w:rPr>
                <w:rFonts w:hint="eastAsia" w:ascii="Times New Roman" w:hAnsi="Times New Roman" w:eastAsia="仿宋_GB2312" w:cs="Times New Roman"/>
                <w:color w:val="auto"/>
                <w:sz w:val="18"/>
                <w:szCs w:val="18"/>
              </w:rPr>
              <w:t>hm</w:t>
            </w:r>
            <w:r>
              <w:rPr>
                <w:rFonts w:hint="eastAsia" w:ascii="Times New Roman" w:hAnsi="Times New Roman" w:eastAsia="仿宋_GB2312" w:cs="Times New Roman"/>
                <w:color w:val="auto"/>
                <w:sz w:val="18"/>
                <w:szCs w:val="18"/>
                <w:vertAlign w:val="superscript"/>
              </w:rPr>
              <w:t>2</w:t>
            </w:r>
          </w:p>
        </w:tc>
        <w:tc>
          <w:tcPr>
            <w:tcW w:w="3016"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苫布覆盖</w:t>
            </w:r>
            <w:r>
              <w:rPr>
                <w:rFonts w:hint="eastAsia" w:ascii="Times New Roman" w:hAnsi="Times New Roman" w:eastAsia="仿宋_GB2312" w:cs="Times New Roman"/>
                <w:color w:val="auto"/>
                <w:sz w:val="18"/>
                <w:szCs w:val="18"/>
              </w:rPr>
              <w:t>2.10</w:t>
            </w:r>
            <w:r>
              <w:rPr>
                <w:rFonts w:ascii="Times New Roman" w:hAnsi="Times New Roman" w:eastAsia="仿宋_GB2312" w:cs="Times New Roman"/>
                <w:color w:val="auto"/>
                <w:sz w:val="18"/>
                <w:szCs w:val="18"/>
              </w:rPr>
              <w:t>hm</w:t>
            </w:r>
            <w:r>
              <w:rPr>
                <w:rFonts w:ascii="Times New Roman" w:hAnsi="Times New Roman" w:eastAsia="仿宋_GB2312" w:cs="Times New Roman"/>
                <w:color w:val="auto"/>
                <w:sz w:val="18"/>
                <w:szCs w:val="18"/>
                <w:vertAlign w:val="superscript"/>
              </w:rPr>
              <w:t>2</w:t>
            </w:r>
            <w:r>
              <w:rPr>
                <w:rFonts w:hint="eastAsia" w:ascii="Times New Roman" w:hAnsi="Times New Roman" w:eastAsia="仿宋_GB2312" w:cs="Times New Roman"/>
                <w:color w:val="auto"/>
                <w:sz w:val="18"/>
                <w:szCs w:val="18"/>
              </w:rPr>
              <w:t>、</w:t>
            </w:r>
            <w:r>
              <w:rPr>
                <w:rFonts w:ascii="Times New Roman" w:hAnsi="Times New Roman" w:eastAsia="仿宋_GB2312" w:cs="Times New Roman"/>
                <w:color w:val="auto"/>
                <w:sz w:val="18"/>
                <w:szCs w:val="18"/>
              </w:rPr>
              <w:t>临时排水沟</w:t>
            </w:r>
            <w:r>
              <w:rPr>
                <w:rFonts w:hint="eastAsia" w:ascii="Times New Roman" w:hAnsi="Times New Roman" w:eastAsia="仿宋_GB2312" w:cs="Times New Roman"/>
                <w:color w:val="auto"/>
                <w:sz w:val="18"/>
                <w:szCs w:val="18"/>
              </w:rPr>
              <w:t>7420</w:t>
            </w:r>
            <w:r>
              <w:rPr>
                <w:rFonts w:ascii="Times New Roman" w:hAnsi="Times New Roman" w:eastAsia="仿宋_GB2312" w:cs="Times New Roman"/>
                <w:color w:val="auto"/>
                <w:sz w:val="18"/>
                <w:szCs w:val="18"/>
              </w:rPr>
              <w:t>m</w:t>
            </w:r>
            <w:r>
              <w:rPr>
                <w:rFonts w:hint="eastAsia" w:ascii="Times New Roman" w:hAnsi="Times New Roman" w:eastAsia="仿宋_GB2312" w:cs="Times New Roman"/>
                <w:color w:val="auto"/>
                <w:sz w:val="18"/>
                <w:szCs w:val="18"/>
              </w:rPr>
              <w:t>、</w:t>
            </w:r>
            <w:r>
              <w:rPr>
                <w:rFonts w:ascii="Times New Roman" w:hAnsi="Times New Roman" w:eastAsia="仿宋_GB2312" w:cs="Times New Roman"/>
                <w:color w:val="auto"/>
                <w:sz w:val="18"/>
                <w:szCs w:val="18"/>
              </w:rPr>
              <w:t>临时沉沙池</w:t>
            </w:r>
            <w:r>
              <w:rPr>
                <w:rFonts w:hint="eastAsia" w:ascii="Times New Roman" w:hAnsi="Times New Roman" w:eastAsia="仿宋_GB2312" w:cs="Times New Roman"/>
                <w:color w:val="auto"/>
                <w:sz w:val="18"/>
                <w:szCs w:val="18"/>
              </w:rPr>
              <w:t>49座、基坑排水沟1</w:t>
            </w:r>
            <w:r>
              <w:rPr>
                <w:rFonts w:hint="eastAsia" w:ascii="Times New Roman" w:hAnsi="Times New Roman" w:eastAsia="仿宋_GB2312" w:cs="Times New Roman"/>
                <w:color w:val="auto"/>
                <w:sz w:val="18"/>
                <w:szCs w:val="18"/>
                <w:lang w:val="en-US" w:eastAsia="zh-CN"/>
              </w:rPr>
              <w:t>150</w:t>
            </w:r>
            <w:r>
              <w:rPr>
                <w:rFonts w:ascii="Times New Roman" w:hAnsi="Times New Roman" w:eastAsia="仿宋_GB2312" w:cs="Times New Roman"/>
                <w:color w:val="auto"/>
                <w:sz w:val="18"/>
                <w:szCs w:val="18"/>
              </w:rPr>
              <w:t>m</w:t>
            </w:r>
            <w:r>
              <w:rPr>
                <w:rFonts w:hint="eastAsia" w:ascii="Times New Roman" w:hAnsi="Times New Roman" w:eastAsia="仿宋_GB2312" w:cs="Times New Roman"/>
                <w:color w:val="auto"/>
                <w:sz w:val="18"/>
                <w:szCs w:val="18"/>
              </w:rPr>
              <w:t>、</w:t>
            </w:r>
            <w:r>
              <w:rPr>
                <w:rFonts w:ascii="Times New Roman" w:hAnsi="Times New Roman" w:eastAsia="仿宋_GB2312" w:cs="Times New Roman"/>
                <w:color w:val="auto"/>
                <w:sz w:val="18"/>
                <w:szCs w:val="18"/>
              </w:rPr>
              <w:t>基坑沉沙池</w:t>
            </w:r>
            <w:r>
              <w:rPr>
                <w:rFonts w:hint="eastAsia" w:ascii="Times New Roman" w:hAnsi="Times New Roman" w:eastAsia="仿宋_GB2312" w:cs="Times New Roman"/>
                <w:color w:val="auto"/>
                <w:sz w:val="18"/>
                <w:szCs w:val="18"/>
              </w:rPr>
              <w:t>9座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511" w:type="dxa"/>
            <w:vMerge w:val="continue"/>
            <w:vAlign w:val="center"/>
          </w:tcPr>
          <w:p>
            <w:pPr>
              <w:widowControl/>
              <w:jc w:val="left"/>
              <w:rPr>
                <w:rFonts w:ascii="Times New Roman" w:hAnsi="Times New Roman" w:eastAsia="仿宋_GB2312" w:cs="Times New Roman"/>
                <w:color w:val="auto"/>
                <w:sz w:val="18"/>
                <w:szCs w:val="18"/>
              </w:rPr>
            </w:pPr>
          </w:p>
        </w:tc>
        <w:tc>
          <w:tcPr>
            <w:tcW w:w="567" w:type="dxa"/>
            <w:vMerge w:val="continue"/>
            <w:vAlign w:val="center"/>
          </w:tcPr>
          <w:p>
            <w:pPr>
              <w:adjustRightInd w:val="0"/>
              <w:snapToGrid w:val="0"/>
              <w:jc w:val="center"/>
              <w:rPr>
                <w:rFonts w:ascii="Times New Roman" w:hAnsi="Times New Roman" w:eastAsia="仿宋_GB2312" w:cs="Times New Roman"/>
                <w:color w:val="auto"/>
                <w:sz w:val="18"/>
                <w:szCs w:val="18"/>
              </w:rPr>
            </w:pPr>
          </w:p>
        </w:tc>
        <w:tc>
          <w:tcPr>
            <w:tcW w:w="840" w:type="dxa"/>
            <w:gridSpan w:val="2"/>
            <w:vAlign w:val="center"/>
          </w:tcPr>
          <w:p>
            <w:pPr>
              <w:adjustRightInd w:val="0"/>
              <w:snapToGrid w:val="0"/>
              <w:jc w:val="center"/>
              <w:rPr>
                <w:rFonts w:ascii="Times New Roman" w:hAnsi="Times New Roman" w:eastAsia="仿宋_GB2312" w:cs="Times New Roman"/>
                <w:color w:val="auto"/>
                <w:sz w:val="18"/>
                <w:szCs w:val="18"/>
              </w:rPr>
            </w:pPr>
            <w:r>
              <w:rPr>
                <w:rFonts w:hint="eastAsia" w:ascii="Times New Roman" w:hAnsi="Times New Roman" w:eastAsia="仿宋_GB2312" w:cs="Times New Roman"/>
                <w:color w:val="auto"/>
                <w:sz w:val="18"/>
                <w:szCs w:val="18"/>
              </w:rPr>
              <w:t>公用设施用地区</w:t>
            </w:r>
          </w:p>
        </w:tc>
        <w:tc>
          <w:tcPr>
            <w:tcW w:w="3543" w:type="dxa"/>
            <w:gridSpan w:val="4"/>
            <w:vAlign w:val="center"/>
          </w:tcPr>
          <w:p>
            <w:pPr>
              <w:adjustRightInd w:val="0"/>
              <w:snapToGrid w:val="0"/>
              <w:jc w:val="center"/>
              <w:rPr>
                <w:rFonts w:ascii="Times New Roman" w:hAnsi="Times New Roman" w:eastAsia="仿宋_GB2312" w:cs="Times New Roman"/>
                <w:color w:val="auto"/>
                <w:sz w:val="18"/>
                <w:szCs w:val="18"/>
                <w:vertAlign w:val="superscript"/>
              </w:rPr>
            </w:pPr>
            <w:r>
              <w:rPr>
                <w:rFonts w:ascii="Times New Roman" w:hAnsi="Times New Roman" w:eastAsia="仿宋_GB2312" w:cs="Times New Roman"/>
                <w:color w:val="auto"/>
                <w:sz w:val="18"/>
                <w:szCs w:val="18"/>
              </w:rPr>
              <w:t>表土剥离</w:t>
            </w:r>
            <w:r>
              <w:rPr>
                <w:rFonts w:hint="eastAsia" w:ascii="Times New Roman" w:hAnsi="Times New Roman" w:eastAsia="仿宋_GB2312" w:cs="Times New Roman"/>
                <w:color w:val="auto"/>
                <w:sz w:val="18"/>
                <w:szCs w:val="18"/>
              </w:rPr>
              <w:t>1.86</w:t>
            </w:r>
            <w:r>
              <w:rPr>
                <w:rFonts w:ascii="Times New Roman" w:hAnsi="Times New Roman" w:eastAsia="仿宋_GB2312" w:cs="Times New Roman"/>
                <w:color w:val="auto"/>
                <w:sz w:val="18"/>
                <w:szCs w:val="18"/>
              </w:rPr>
              <w:t>万m</w:t>
            </w:r>
            <w:r>
              <w:rPr>
                <w:rFonts w:ascii="Times New Roman" w:hAnsi="Times New Roman" w:eastAsia="仿宋_GB2312" w:cs="Times New Roman"/>
                <w:color w:val="auto"/>
                <w:sz w:val="18"/>
                <w:szCs w:val="18"/>
                <w:vertAlign w:val="superscript"/>
              </w:rPr>
              <w:t>3</w:t>
            </w:r>
            <w:r>
              <w:rPr>
                <w:rFonts w:hint="eastAsia" w:ascii="Times New Roman" w:hAnsi="Times New Roman" w:eastAsia="仿宋_GB2312" w:cs="Times New Roman"/>
                <w:color w:val="auto"/>
                <w:sz w:val="18"/>
                <w:szCs w:val="18"/>
              </w:rPr>
              <w:t>、</w:t>
            </w:r>
            <w:r>
              <w:rPr>
                <w:rFonts w:ascii="Times New Roman" w:hAnsi="Times New Roman" w:eastAsia="仿宋_GB2312" w:cs="Times New Roman"/>
                <w:color w:val="auto"/>
                <w:sz w:val="18"/>
                <w:szCs w:val="18"/>
              </w:rPr>
              <w:t>场地平整</w:t>
            </w:r>
            <w:r>
              <w:rPr>
                <w:rFonts w:hint="eastAsia" w:ascii="Times New Roman" w:hAnsi="Times New Roman" w:eastAsia="仿宋_GB2312" w:cs="Times New Roman"/>
                <w:color w:val="auto"/>
                <w:sz w:val="18"/>
                <w:szCs w:val="18"/>
              </w:rPr>
              <w:t>12.87hm</w:t>
            </w:r>
            <w:r>
              <w:rPr>
                <w:rFonts w:hint="eastAsia" w:ascii="Times New Roman" w:hAnsi="Times New Roman" w:eastAsia="仿宋_GB2312" w:cs="Times New Roman"/>
                <w:color w:val="auto"/>
                <w:sz w:val="18"/>
                <w:szCs w:val="18"/>
                <w:vertAlign w:val="superscript"/>
              </w:rPr>
              <w:t>2</w:t>
            </w:r>
          </w:p>
        </w:tc>
        <w:tc>
          <w:tcPr>
            <w:tcW w:w="1985"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hint="eastAsia" w:ascii="Times New Roman" w:hAnsi="Times New Roman" w:eastAsia="仿宋_GB2312" w:cs="Times New Roman"/>
                <w:color w:val="auto"/>
                <w:sz w:val="18"/>
                <w:szCs w:val="18"/>
              </w:rPr>
              <w:t>撒播草籽12.87hm</w:t>
            </w:r>
            <w:r>
              <w:rPr>
                <w:rFonts w:hint="eastAsia" w:ascii="Times New Roman" w:hAnsi="Times New Roman" w:eastAsia="仿宋_GB2312" w:cs="Times New Roman"/>
                <w:color w:val="auto"/>
                <w:sz w:val="18"/>
                <w:szCs w:val="18"/>
                <w:vertAlign w:val="superscript"/>
              </w:rPr>
              <w:t>2</w:t>
            </w:r>
          </w:p>
        </w:tc>
        <w:tc>
          <w:tcPr>
            <w:tcW w:w="3016"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苫布覆盖</w:t>
            </w:r>
            <w:r>
              <w:rPr>
                <w:rFonts w:hint="eastAsia" w:ascii="Times New Roman" w:hAnsi="Times New Roman" w:eastAsia="仿宋_GB2312" w:cs="Times New Roman"/>
                <w:color w:val="auto"/>
                <w:sz w:val="18"/>
                <w:szCs w:val="18"/>
              </w:rPr>
              <w:t>12.87</w:t>
            </w:r>
            <w:r>
              <w:rPr>
                <w:rFonts w:ascii="Times New Roman" w:hAnsi="Times New Roman" w:eastAsia="仿宋_GB2312" w:cs="Times New Roman"/>
                <w:color w:val="auto"/>
                <w:sz w:val="18"/>
                <w:szCs w:val="18"/>
              </w:rPr>
              <w:t>hm</w:t>
            </w:r>
            <w:r>
              <w:rPr>
                <w:rFonts w:ascii="Times New Roman" w:hAnsi="Times New Roman" w:eastAsia="仿宋_GB2312" w:cs="Times New Roman"/>
                <w:color w:val="auto"/>
                <w:sz w:val="18"/>
                <w:szCs w:val="18"/>
                <w:vertAlign w:val="superscript"/>
              </w:rPr>
              <w:t>2</w:t>
            </w:r>
            <w:r>
              <w:rPr>
                <w:rFonts w:hint="eastAsia" w:ascii="Times New Roman" w:hAnsi="Times New Roman" w:eastAsia="仿宋_GB2312" w:cs="Times New Roman"/>
                <w:color w:val="auto"/>
                <w:sz w:val="18"/>
                <w:szCs w:val="18"/>
              </w:rPr>
              <w:t>、</w:t>
            </w:r>
            <w:r>
              <w:rPr>
                <w:rFonts w:ascii="Times New Roman" w:hAnsi="Times New Roman" w:eastAsia="仿宋_GB2312" w:cs="Times New Roman"/>
                <w:color w:val="auto"/>
                <w:sz w:val="18"/>
                <w:szCs w:val="18"/>
              </w:rPr>
              <w:t>临时排水沟</w:t>
            </w:r>
            <w:r>
              <w:rPr>
                <w:rFonts w:hint="eastAsia" w:ascii="Times New Roman" w:hAnsi="Times New Roman" w:eastAsia="仿宋_GB2312" w:cs="Times New Roman"/>
                <w:color w:val="auto"/>
                <w:sz w:val="18"/>
                <w:szCs w:val="18"/>
              </w:rPr>
              <w:t>1698</w:t>
            </w:r>
            <w:r>
              <w:rPr>
                <w:rFonts w:ascii="Times New Roman" w:hAnsi="Times New Roman" w:eastAsia="仿宋_GB2312" w:cs="Times New Roman"/>
                <w:color w:val="auto"/>
                <w:sz w:val="18"/>
                <w:szCs w:val="18"/>
              </w:rPr>
              <w:t>m</w:t>
            </w:r>
            <w:r>
              <w:rPr>
                <w:rFonts w:hint="eastAsia" w:ascii="Times New Roman" w:hAnsi="Times New Roman" w:eastAsia="仿宋_GB2312" w:cs="Times New Roman"/>
                <w:color w:val="auto"/>
                <w:sz w:val="18"/>
                <w:szCs w:val="18"/>
              </w:rPr>
              <w:t>、</w:t>
            </w:r>
            <w:r>
              <w:rPr>
                <w:rFonts w:ascii="Times New Roman" w:hAnsi="Times New Roman" w:eastAsia="仿宋_GB2312" w:cs="Times New Roman"/>
                <w:color w:val="auto"/>
                <w:sz w:val="18"/>
                <w:szCs w:val="18"/>
              </w:rPr>
              <w:t>临时沉沙池</w:t>
            </w:r>
            <w:r>
              <w:rPr>
                <w:rFonts w:hint="eastAsia" w:ascii="Times New Roman" w:hAnsi="Times New Roman" w:eastAsia="仿宋_GB2312" w:cs="Times New Roman"/>
                <w:color w:val="auto"/>
                <w:sz w:val="18"/>
                <w:szCs w:val="18"/>
              </w:rPr>
              <w:t>11座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511" w:type="dxa"/>
            <w:vMerge w:val="continue"/>
            <w:vAlign w:val="center"/>
          </w:tcPr>
          <w:p>
            <w:pPr>
              <w:widowControl/>
              <w:jc w:val="left"/>
              <w:rPr>
                <w:rFonts w:ascii="Times New Roman" w:hAnsi="Times New Roman" w:eastAsia="仿宋_GB2312" w:cs="Times New Roman"/>
                <w:color w:val="auto"/>
                <w:sz w:val="18"/>
                <w:szCs w:val="18"/>
              </w:rPr>
            </w:pPr>
          </w:p>
        </w:tc>
        <w:tc>
          <w:tcPr>
            <w:tcW w:w="567" w:type="dxa"/>
            <w:vMerge w:val="continue"/>
            <w:vAlign w:val="center"/>
          </w:tcPr>
          <w:p>
            <w:pPr>
              <w:adjustRightInd w:val="0"/>
              <w:snapToGrid w:val="0"/>
              <w:jc w:val="center"/>
              <w:rPr>
                <w:rFonts w:ascii="Times New Roman" w:hAnsi="Times New Roman" w:eastAsia="仿宋_GB2312" w:cs="Times New Roman"/>
                <w:color w:val="auto"/>
                <w:sz w:val="18"/>
                <w:szCs w:val="18"/>
              </w:rPr>
            </w:pPr>
          </w:p>
        </w:tc>
        <w:tc>
          <w:tcPr>
            <w:tcW w:w="840" w:type="dxa"/>
            <w:gridSpan w:val="2"/>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绿地区</w:t>
            </w:r>
          </w:p>
        </w:tc>
        <w:tc>
          <w:tcPr>
            <w:tcW w:w="3543" w:type="dxa"/>
            <w:gridSpan w:val="4"/>
            <w:vAlign w:val="center"/>
          </w:tcPr>
          <w:p>
            <w:pPr>
              <w:adjustRightInd w:val="0"/>
              <w:snapToGrid w:val="0"/>
              <w:jc w:val="center"/>
              <w:rPr>
                <w:rFonts w:ascii="Times New Roman" w:hAnsi="Times New Roman" w:eastAsia="仿宋_GB2312" w:cs="Times New Roman"/>
                <w:color w:val="auto"/>
                <w:sz w:val="18"/>
                <w:szCs w:val="18"/>
                <w:vertAlign w:val="superscript"/>
              </w:rPr>
            </w:pPr>
            <w:r>
              <w:rPr>
                <w:rFonts w:ascii="Times New Roman" w:hAnsi="Times New Roman" w:eastAsia="仿宋_GB2312" w:cs="Times New Roman"/>
                <w:color w:val="auto"/>
                <w:sz w:val="18"/>
                <w:szCs w:val="18"/>
              </w:rPr>
              <w:t>表土剥离</w:t>
            </w:r>
            <w:r>
              <w:rPr>
                <w:rFonts w:hint="eastAsia" w:ascii="Times New Roman" w:hAnsi="Times New Roman" w:eastAsia="仿宋_GB2312" w:cs="Times New Roman"/>
                <w:color w:val="auto"/>
                <w:sz w:val="18"/>
                <w:szCs w:val="18"/>
              </w:rPr>
              <w:t>1.79</w:t>
            </w:r>
            <w:r>
              <w:rPr>
                <w:rFonts w:ascii="Times New Roman" w:hAnsi="Times New Roman" w:eastAsia="仿宋_GB2312" w:cs="Times New Roman"/>
                <w:color w:val="auto"/>
                <w:sz w:val="18"/>
                <w:szCs w:val="18"/>
              </w:rPr>
              <w:t>万m</w:t>
            </w:r>
            <w:r>
              <w:rPr>
                <w:rFonts w:ascii="Times New Roman" w:hAnsi="Times New Roman" w:eastAsia="仿宋_GB2312" w:cs="Times New Roman"/>
                <w:color w:val="auto"/>
                <w:sz w:val="18"/>
                <w:szCs w:val="18"/>
                <w:vertAlign w:val="superscript"/>
              </w:rPr>
              <w:t>3</w:t>
            </w:r>
            <w:r>
              <w:rPr>
                <w:rFonts w:hint="eastAsia" w:ascii="Times New Roman" w:hAnsi="Times New Roman" w:eastAsia="仿宋_GB2312" w:cs="Times New Roman"/>
                <w:color w:val="auto"/>
                <w:sz w:val="18"/>
                <w:szCs w:val="18"/>
              </w:rPr>
              <w:t>、</w:t>
            </w:r>
            <w:r>
              <w:rPr>
                <w:rFonts w:ascii="Times New Roman" w:hAnsi="Times New Roman" w:eastAsia="仿宋_GB2312" w:cs="Times New Roman"/>
                <w:color w:val="auto"/>
                <w:sz w:val="18"/>
                <w:szCs w:val="18"/>
              </w:rPr>
              <w:t>场地平整</w:t>
            </w:r>
            <w:r>
              <w:rPr>
                <w:rFonts w:hint="eastAsia" w:ascii="Times New Roman" w:hAnsi="Times New Roman" w:eastAsia="仿宋_GB2312" w:cs="Times New Roman"/>
                <w:color w:val="auto"/>
                <w:sz w:val="18"/>
                <w:szCs w:val="18"/>
              </w:rPr>
              <w:t>18.81hm</w:t>
            </w:r>
            <w:r>
              <w:rPr>
                <w:rFonts w:hint="eastAsia" w:ascii="Times New Roman" w:hAnsi="Times New Roman" w:eastAsia="仿宋_GB2312" w:cs="Times New Roman"/>
                <w:color w:val="auto"/>
                <w:sz w:val="18"/>
                <w:szCs w:val="18"/>
                <w:vertAlign w:val="superscript"/>
              </w:rPr>
              <w:t>2</w:t>
            </w:r>
            <w:r>
              <w:rPr>
                <w:rFonts w:ascii="Times New Roman" w:hAnsi="Times New Roman" w:eastAsia="仿宋_GB2312" w:cs="Times New Roman"/>
                <w:color w:val="auto"/>
                <w:sz w:val="18"/>
                <w:szCs w:val="18"/>
              </w:rPr>
              <w:t>、表土回填</w:t>
            </w:r>
            <w:r>
              <w:rPr>
                <w:rFonts w:hint="eastAsia" w:ascii="Times New Roman" w:hAnsi="Times New Roman" w:eastAsia="仿宋_GB2312" w:cs="Times New Roman"/>
                <w:color w:val="auto"/>
                <w:sz w:val="18"/>
                <w:szCs w:val="18"/>
              </w:rPr>
              <w:t>4.83</w:t>
            </w:r>
            <w:r>
              <w:rPr>
                <w:rFonts w:ascii="Times New Roman" w:hAnsi="Times New Roman" w:eastAsia="仿宋_GB2312" w:cs="Times New Roman"/>
                <w:color w:val="auto"/>
                <w:sz w:val="18"/>
                <w:szCs w:val="18"/>
              </w:rPr>
              <w:t>万m</w:t>
            </w:r>
            <w:r>
              <w:rPr>
                <w:rFonts w:ascii="Times New Roman" w:hAnsi="Times New Roman" w:eastAsia="仿宋_GB2312" w:cs="Times New Roman"/>
                <w:color w:val="auto"/>
                <w:sz w:val="18"/>
                <w:szCs w:val="18"/>
                <w:vertAlign w:val="superscript"/>
              </w:rPr>
              <w:t>3</w:t>
            </w:r>
            <w:r>
              <w:rPr>
                <w:rFonts w:ascii="Times New Roman" w:hAnsi="Times New Roman" w:eastAsia="仿宋_GB2312" w:cs="Times New Roman"/>
                <w:color w:val="auto"/>
                <w:sz w:val="18"/>
                <w:szCs w:val="18"/>
              </w:rPr>
              <w:t>、</w:t>
            </w:r>
            <w:r>
              <w:rPr>
                <w:rFonts w:hint="eastAsia" w:ascii="Times New Roman" w:hAnsi="Times New Roman" w:eastAsia="仿宋_GB2312" w:cs="Times New Roman"/>
                <w:color w:val="auto"/>
                <w:sz w:val="18"/>
                <w:szCs w:val="18"/>
              </w:rPr>
              <w:t>透水铺装1.20hm</w:t>
            </w:r>
            <w:r>
              <w:rPr>
                <w:rFonts w:hint="eastAsia" w:ascii="Times New Roman" w:hAnsi="Times New Roman" w:eastAsia="仿宋_GB2312" w:cs="Times New Roman"/>
                <w:color w:val="auto"/>
                <w:sz w:val="18"/>
                <w:szCs w:val="18"/>
                <w:vertAlign w:val="superscript"/>
              </w:rPr>
              <w:t>2</w:t>
            </w:r>
            <w:r>
              <w:rPr>
                <w:rFonts w:hint="eastAsia" w:ascii="Times New Roman" w:hAnsi="Times New Roman" w:eastAsia="仿宋_GB2312" w:cs="Times New Roman"/>
                <w:color w:val="auto"/>
                <w:sz w:val="18"/>
                <w:szCs w:val="18"/>
              </w:rPr>
              <w:t>、植草沟955m</w:t>
            </w:r>
          </w:p>
        </w:tc>
        <w:tc>
          <w:tcPr>
            <w:tcW w:w="1985"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hint="eastAsia" w:ascii="Times New Roman" w:hAnsi="Times New Roman" w:eastAsia="仿宋_GB2312" w:cs="Times New Roman"/>
                <w:color w:val="auto"/>
                <w:sz w:val="18"/>
                <w:szCs w:val="18"/>
              </w:rPr>
              <w:t>景观绿化18.81hm</w:t>
            </w:r>
            <w:r>
              <w:rPr>
                <w:rFonts w:hint="eastAsia" w:ascii="Times New Roman" w:hAnsi="Times New Roman" w:eastAsia="仿宋_GB2312" w:cs="Times New Roman"/>
                <w:color w:val="auto"/>
                <w:sz w:val="18"/>
                <w:szCs w:val="18"/>
                <w:vertAlign w:val="superscript"/>
              </w:rPr>
              <w:t>2</w:t>
            </w:r>
          </w:p>
        </w:tc>
        <w:tc>
          <w:tcPr>
            <w:tcW w:w="3016"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苫布覆盖</w:t>
            </w:r>
            <w:r>
              <w:rPr>
                <w:rFonts w:hint="eastAsia" w:ascii="Times New Roman" w:hAnsi="Times New Roman" w:eastAsia="仿宋_GB2312" w:cs="Times New Roman"/>
                <w:color w:val="auto"/>
                <w:sz w:val="18"/>
                <w:szCs w:val="18"/>
              </w:rPr>
              <w:t>20.01</w:t>
            </w:r>
            <w:r>
              <w:rPr>
                <w:rFonts w:ascii="Times New Roman" w:hAnsi="Times New Roman" w:eastAsia="仿宋_GB2312" w:cs="Times New Roman"/>
                <w:color w:val="auto"/>
                <w:sz w:val="18"/>
                <w:szCs w:val="18"/>
              </w:rPr>
              <w:t>hm</w:t>
            </w:r>
            <w:r>
              <w:rPr>
                <w:rFonts w:ascii="Times New Roman" w:hAnsi="Times New Roman" w:eastAsia="仿宋_GB2312" w:cs="Times New Roman"/>
                <w:color w:val="auto"/>
                <w:sz w:val="18"/>
                <w:szCs w:val="18"/>
                <w:vertAlign w:val="superscript"/>
              </w:rPr>
              <w:t>2</w:t>
            </w:r>
            <w:r>
              <w:rPr>
                <w:rFonts w:hint="eastAsia" w:ascii="Times New Roman" w:hAnsi="Times New Roman" w:eastAsia="仿宋_GB2312" w:cs="Times New Roman"/>
                <w:color w:val="auto"/>
                <w:sz w:val="18"/>
                <w:szCs w:val="18"/>
              </w:rPr>
              <w:t>、</w:t>
            </w:r>
            <w:r>
              <w:rPr>
                <w:rFonts w:ascii="Times New Roman" w:hAnsi="Times New Roman" w:eastAsia="仿宋_GB2312" w:cs="Times New Roman"/>
                <w:color w:val="auto"/>
                <w:sz w:val="18"/>
                <w:szCs w:val="18"/>
              </w:rPr>
              <w:t>临时排水沟</w:t>
            </w:r>
            <w:r>
              <w:rPr>
                <w:rFonts w:hint="eastAsia" w:ascii="Times New Roman" w:hAnsi="Times New Roman" w:eastAsia="仿宋_GB2312" w:cs="Times New Roman"/>
                <w:color w:val="auto"/>
                <w:sz w:val="18"/>
                <w:szCs w:val="18"/>
              </w:rPr>
              <w:t>1568</w:t>
            </w:r>
            <w:r>
              <w:rPr>
                <w:rFonts w:ascii="Times New Roman" w:hAnsi="Times New Roman" w:eastAsia="仿宋_GB2312" w:cs="Times New Roman"/>
                <w:color w:val="auto"/>
                <w:sz w:val="18"/>
                <w:szCs w:val="18"/>
              </w:rPr>
              <w:t>m</w:t>
            </w:r>
            <w:r>
              <w:rPr>
                <w:rFonts w:hint="eastAsia" w:ascii="Times New Roman" w:hAnsi="Times New Roman" w:eastAsia="仿宋_GB2312" w:cs="Times New Roman"/>
                <w:color w:val="auto"/>
                <w:sz w:val="18"/>
                <w:szCs w:val="18"/>
              </w:rPr>
              <w:t>、</w:t>
            </w:r>
            <w:r>
              <w:rPr>
                <w:rFonts w:ascii="Times New Roman" w:hAnsi="Times New Roman" w:eastAsia="仿宋_GB2312" w:cs="Times New Roman"/>
                <w:color w:val="auto"/>
                <w:sz w:val="18"/>
                <w:szCs w:val="18"/>
              </w:rPr>
              <w:t>临时沉沙池</w:t>
            </w:r>
            <w:r>
              <w:rPr>
                <w:rFonts w:hint="eastAsia" w:ascii="Times New Roman" w:hAnsi="Times New Roman" w:eastAsia="仿宋_GB2312" w:cs="Times New Roman"/>
                <w:color w:val="auto"/>
                <w:sz w:val="18"/>
                <w:szCs w:val="18"/>
              </w:rPr>
              <w:t>10座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511" w:type="dxa"/>
            <w:vMerge w:val="continue"/>
            <w:vAlign w:val="center"/>
          </w:tcPr>
          <w:p>
            <w:pPr>
              <w:widowControl/>
              <w:jc w:val="left"/>
              <w:rPr>
                <w:rFonts w:ascii="Times New Roman" w:hAnsi="Times New Roman" w:eastAsia="仿宋_GB2312" w:cs="Times New Roman"/>
                <w:color w:val="auto"/>
                <w:sz w:val="18"/>
                <w:szCs w:val="18"/>
              </w:rPr>
            </w:pPr>
          </w:p>
        </w:tc>
        <w:tc>
          <w:tcPr>
            <w:tcW w:w="567" w:type="dxa"/>
            <w:vMerge w:val="restart"/>
            <w:vAlign w:val="center"/>
          </w:tcPr>
          <w:p>
            <w:pPr>
              <w:adjustRightInd w:val="0"/>
              <w:snapToGrid w:val="0"/>
              <w:jc w:val="center"/>
              <w:rPr>
                <w:rFonts w:ascii="Times New Roman" w:hAnsi="Times New Roman" w:eastAsia="仿宋_GB2312" w:cs="Times New Roman"/>
                <w:color w:val="auto"/>
                <w:sz w:val="18"/>
                <w:szCs w:val="18"/>
              </w:rPr>
            </w:pPr>
            <w:r>
              <w:rPr>
                <w:rFonts w:hint="eastAsia" w:ascii="Times New Roman" w:hAnsi="Times New Roman" w:eastAsia="仿宋_GB2312" w:cs="Times New Roman"/>
                <w:color w:val="auto"/>
                <w:sz w:val="18"/>
                <w:szCs w:val="18"/>
              </w:rPr>
              <w:t>区域规划功能区</w:t>
            </w:r>
          </w:p>
        </w:tc>
        <w:tc>
          <w:tcPr>
            <w:tcW w:w="840" w:type="dxa"/>
            <w:gridSpan w:val="2"/>
            <w:vAlign w:val="center"/>
          </w:tcPr>
          <w:p>
            <w:pPr>
              <w:adjustRightInd w:val="0"/>
              <w:snapToGrid w:val="0"/>
              <w:jc w:val="center"/>
              <w:rPr>
                <w:rFonts w:ascii="Times New Roman" w:hAnsi="Times New Roman" w:eastAsia="仿宋_GB2312" w:cs="Times New Roman"/>
                <w:color w:val="auto"/>
                <w:sz w:val="18"/>
                <w:szCs w:val="18"/>
              </w:rPr>
            </w:pPr>
            <w:r>
              <w:rPr>
                <w:rFonts w:hint="eastAsia" w:ascii="Times New Roman" w:hAnsi="Times New Roman" w:eastAsia="仿宋_GB2312" w:cs="Times New Roman"/>
                <w:color w:val="auto"/>
                <w:sz w:val="18"/>
                <w:szCs w:val="18"/>
              </w:rPr>
              <w:t>已建工程</w:t>
            </w:r>
            <w:r>
              <w:rPr>
                <w:rFonts w:ascii="Times New Roman" w:hAnsi="Times New Roman" w:eastAsia="仿宋_GB2312" w:cs="Times New Roman"/>
                <w:color w:val="auto"/>
                <w:sz w:val="18"/>
                <w:szCs w:val="18"/>
              </w:rPr>
              <w:t>区</w:t>
            </w:r>
          </w:p>
        </w:tc>
        <w:tc>
          <w:tcPr>
            <w:tcW w:w="3543" w:type="dxa"/>
            <w:gridSpan w:val="4"/>
            <w:vAlign w:val="center"/>
          </w:tcPr>
          <w:p>
            <w:pPr>
              <w:adjustRightInd w:val="0"/>
              <w:snapToGrid w:val="0"/>
              <w:jc w:val="center"/>
              <w:rPr>
                <w:rFonts w:hint="eastAsia" w:ascii="Times New Roman" w:hAnsi="Times New Roman" w:eastAsia="仿宋_GB2312" w:cs="Times New Roman"/>
                <w:color w:val="auto"/>
                <w:sz w:val="18"/>
                <w:szCs w:val="18"/>
                <w:vertAlign w:val="baseline"/>
                <w:lang w:eastAsia="zh-CN"/>
              </w:rPr>
            </w:pPr>
            <w:r>
              <w:rPr>
                <w:rFonts w:ascii="Times New Roman" w:hAnsi="Times New Roman" w:eastAsia="仿宋_GB2312" w:cs="Times New Roman"/>
                <w:color w:val="auto"/>
                <w:sz w:val="18"/>
                <w:szCs w:val="18"/>
              </w:rPr>
              <w:t>场地平整</w:t>
            </w:r>
            <w:r>
              <w:rPr>
                <w:rFonts w:hint="eastAsia" w:ascii="Times New Roman" w:hAnsi="Times New Roman" w:eastAsia="仿宋_GB2312" w:cs="Times New Roman"/>
                <w:color w:val="auto"/>
                <w:sz w:val="18"/>
                <w:szCs w:val="18"/>
                <w:lang w:val="en-US" w:eastAsia="zh-CN"/>
              </w:rPr>
              <w:t>8.05h</w:t>
            </w:r>
            <w:r>
              <w:rPr>
                <w:rFonts w:ascii="Times New Roman" w:hAnsi="Times New Roman" w:eastAsia="仿宋_GB2312" w:cs="Times New Roman"/>
                <w:color w:val="auto"/>
                <w:sz w:val="18"/>
                <w:szCs w:val="18"/>
              </w:rPr>
              <w:t>m</w:t>
            </w:r>
            <w:r>
              <w:rPr>
                <w:rFonts w:hint="eastAsia" w:ascii="Times New Roman" w:hAnsi="Times New Roman" w:eastAsia="仿宋_GB2312" w:cs="Times New Roman"/>
                <w:color w:val="auto"/>
                <w:sz w:val="18"/>
                <w:szCs w:val="18"/>
                <w:vertAlign w:val="superscript"/>
              </w:rPr>
              <w:t>2</w:t>
            </w:r>
            <w:r>
              <w:rPr>
                <w:rFonts w:hint="eastAsia" w:ascii="Times New Roman" w:hAnsi="Times New Roman" w:eastAsia="仿宋_GB2312" w:cs="Times New Roman"/>
                <w:color w:val="auto"/>
                <w:sz w:val="18"/>
                <w:szCs w:val="18"/>
                <w:vertAlign w:val="baseline"/>
                <w:lang w:eastAsia="zh-CN"/>
              </w:rPr>
              <w:t>、</w:t>
            </w:r>
            <w:r>
              <w:rPr>
                <w:rFonts w:hint="eastAsia" w:ascii="Times New Roman" w:hAnsi="Times New Roman" w:eastAsia="仿宋_GB2312" w:cs="Times New Roman"/>
                <w:color w:val="auto"/>
                <w:sz w:val="18"/>
                <w:szCs w:val="18"/>
              </w:rPr>
              <w:t>雨水管</w:t>
            </w:r>
            <w:r>
              <w:rPr>
                <w:rFonts w:hint="eastAsia" w:ascii="Times New Roman" w:hAnsi="Times New Roman" w:eastAsia="仿宋_GB2312" w:cs="Times New Roman"/>
                <w:color w:val="auto"/>
                <w:sz w:val="18"/>
                <w:szCs w:val="18"/>
                <w:lang w:val="en-US" w:eastAsia="zh-CN"/>
              </w:rPr>
              <w:t>585</w:t>
            </w:r>
            <w:r>
              <w:rPr>
                <w:rFonts w:hint="eastAsia" w:ascii="Times New Roman" w:hAnsi="Times New Roman" w:eastAsia="仿宋_GB2312" w:cs="Times New Roman"/>
                <w:color w:val="auto"/>
                <w:sz w:val="18"/>
                <w:szCs w:val="18"/>
              </w:rPr>
              <w:t>m、雨水口</w:t>
            </w:r>
            <w:r>
              <w:rPr>
                <w:rFonts w:hint="eastAsia" w:ascii="Times New Roman" w:hAnsi="Times New Roman" w:eastAsia="仿宋_GB2312" w:cs="Times New Roman"/>
                <w:color w:val="auto"/>
                <w:sz w:val="18"/>
                <w:szCs w:val="18"/>
                <w:lang w:val="en-US" w:eastAsia="zh-CN"/>
              </w:rPr>
              <w:t>23</w:t>
            </w:r>
            <w:r>
              <w:rPr>
                <w:rFonts w:hint="eastAsia" w:ascii="Times New Roman" w:hAnsi="Times New Roman" w:eastAsia="仿宋_GB2312" w:cs="Times New Roman"/>
                <w:color w:val="auto"/>
                <w:sz w:val="18"/>
                <w:szCs w:val="18"/>
              </w:rPr>
              <w:t>个、雨水井</w:t>
            </w:r>
            <w:r>
              <w:rPr>
                <w:rFonts w:hint="eastAsia" w:ascii="Times New Roman" w:hAnsi="Times New Roman" w:eastAsia="仿宋_GB2312" w:cs="Times New Roman"/>
                <w:color w:val="auto"/>
                <w:sz w:val="18"/>
                <w:szCs w:val="18"/>
                <w:lang w:val="en-US" w:eastAsia="zh-CN"/>
              </w:rPr>
              <w:t>12</w:t>
            </w:r>
            <w:r>
              <w:rPr>
                <w:rFonts w:hint="eastAsia" w:ascii="Times New Roman" w:hAnsi="Times New Roman" w:eastAsia="仿宋_GB2312" w:cs="Times New Roman"/>
                <w:color w:val="auto"/>
                <w:sz w:val="18"/>
                <w:szCs w:val="18"/>
              </w:rPr>
              <w:t>座</w:t>
            </w:r>
          </w:p>
        </w:tc>
        <w:tc>
          <w:tcPr>
            <w:tcW w:w="1985"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hint="eastAsia" w:ascii="Times New Roman" w:hAnsi="Times New Roman" w:eastAsia="仿宋_GB2312" w:cs="Times New Roman"/>
                <w:color w:val="auto"/>
                <w:sz w:val="18"/>
                <w:szCs w:val="18"/>
                <w:lang w:eastAsia="zh-CN"/>
              </w:rPr>
              <w:t>厂区绿化</w:t>
            </w:r>
            <w:r>
              <w:rPr>
                <w:rFonts w:hint="eastAsia" w:ascii="Times New Roman" w:hAnsi="Times New Roman" w:eastAsia="仿宋_GB2312" w:cs="Times New Roman"/>
                <w:color w:val="auto"/>
                <w:sz w:val="18"/>
                <w:szCs w:val="18"/>
                <w:lang w:val="en-US" w:eastAsia="zh-CN"/>
              </w:rPr>
              <w:t>0.02</w:t>
            </w:r>
            <w:r>
              <w:rPr>
                <w:rFonts w:hint="eastAsia" w:ascii="Times New Roman" w:hAnsi="Times New Roman" w:eastAsia="仿宋_GB2312" w:cs="Times New Roman"/>
                <w:color w:val="auto"/>
                <w:sz w:val="18"/>
                <w:szCs w:val="18"/>
              </w:rPr>
              <w:t>hm</w:t>
            </w:r>
            <w:r>
              <w:rPr>
                <w:rFonts w:hint="eastAsia" w:ascii="Times New Roman" w:hAnsi="Times New Roman" w:eastAsia="仿宋_GB2312" w:cs="Times New Roman"/>
                <w:color w:val="auto"/>
                <w:sz w:val="18"/>
                <w:szCs w:val="18"/>
                <w:vertAlign w:val="superscript"/>
              </w:rPr>
              <w:t>2</w:t>
            </w:r>
            <w:r>
              <w:rPr>
                <w:rFonts w:hint="eastAsia" w:ascii="Times New Roman" w:hAnsi="Times New Roman" w:eastAsia="仿宋_GB2312" w:cs="Times New Roman"/>
                <w:color w:val="auto"/>
                <w:sz w:val="18"/>
                <w:szCs w:val="18"/>
              </w:rPr>
              <w:t>撒播草籽</w:t>
            </w:r>
            <w:r>
              <w:rPr>
                <w:rFonts w:hint="eastAsia" w:ascii="Times New Roman" w:hAnsi="Times New Roman" w:eastAsia="仿宋_GB2312" w:cs="Times New Roman"/>
                <w:color w:val="auto"/>
                <w:sz w:val="18"/>
                <w:szCs w:val="18"/>
                <w:lang w:val="en-US" w:eastAsia="zh-CN"/>
              </w:rPr>
              <w:t>8.05</w:t>
            </w:r>
            <w:r>
              <w:rPr>
                <w:rFonts w:hint="eastAsia" w:ascii="Times New Roman" w:hAnsi="Times New Roman" w:eastAsia="仿宋_GB2312" w:cs="Times New Roman"/>
                <w:color w:val="auto"/>
                <w:sz w:val="18"/>
                <w:szCs w:val="18"/>
              </w:rPr>
              <w:t>hm</w:t>
            </w:r>
            <w:r>
              <w:rPr>
                <w:rFonts w:hint="eastAsia" w:ascii="Times New Roman" w:hAnsi="Times New Roman" w:eastAsia="仿宋_GB2312" w:cs="Times New Roman"/>
                <w:color w:val="auto"/>
                <w:sz w:val="18"/>
                <w:szCs w:val="18"/>
                <w:vertAlign w:val="superscript"/>
              </w:rPr>
              <w:t>2</w:t>
            </w:r>
          </w:p>
        </w:tc>
        <w:tc>
          <w:tcPr>
            <w:tcW w:w="3016" w:type="dxa"/>
            <w:gridSpan w:val="5"/>
            <w:vAlign w:val="center"/>
          </w:tcPr>
          <w:p>
            <w:pPr>
              <w:adjustRightInd w:val="0"/>
              <w:snapToGrid w:val="0"/>
              <w:jc w:val="center"/>
              <w:rPr>
                <w:rFonts w:ascii="Times New Roman" w:hAnsi="Times New Roman" w:eastAsia="仿宋_GB2312" w:cs="Times New Roman"/>
                <w:color w:val="auto"/>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511" w:type="dxa"/>
            <w:vMerge w:val="continue"/>
            <w:vAlign w:val="center"/>
          </w:tcPr>
          <w:p>
            <w:pPr>
              <w:widowControl/>
              <w:jc w:val="left"/>
              <w:rPr>
                <w:rFonts w:ascii="Times New Roman" w:hAnsi="Times New Roman" w:eastAsia="仿宋_GB2312" w:cs="Times New Roman"/>
                <w:color w:val="auto"/>
                <w:sz w:val="18"/>
                <w:szCs w:val="18"/>
              </w:rPr>
            </w:pPr>
          </w:p>
        </w:tc>
        <w:tc>
          <w:tcPr>
            <w:tcW w:w="567" w:type="dxa"/>
            <w:vMerge w:val="continue"/>
            <w:vAlign w:val="center"/>
          </w:tcPr>
          <w:p>
            <w:pPr>
              <w:adjustRightInd w:val="0"/>
              <w:snapToGrid w:val="0"/>
              <w:jc w:val="center"/>
              <w:rPr>
                <w:rFonts w:ascii="Times New Roman" w:hAnsi="Times New Roman" w:eastAsia="仿宋_GB2312" w:cs="Times New Roman"/>
                <w:color w:val="auto"/>
                <w:sz w:val="18"/>
                <w:szCs w:val="18"/>
              </w:rPr>
            </w:pPr>
          </w:p>
        </w:tc>
        <w:tc>
          <w:tcPr>
            <w:tcW w:w="840" w:type="dxa"/>
            <w:gridSpan w:val="2"/>
            <w:vAlign w:val="center"/>
          </w:tcPr>
          <w:p>
            <w:pPr>
              <w:adjustRightInd w:val="0"/>
              <w:snapToGrid w:val="0"/>
              <w:jc w:val="center"/>
              <w:rPr>
                <w:rFonts w:ascii="Times New Roman" w:hAnsi="Times New Roman" w:eastAsia="仿宋_GB2312" w:cs="Times New Roman"/>
                <w:color w:val="auto"/>
                <w:sz w:val="18"/>
                <w:szCs w:val="18"/>
              </w:rPr>
            </w:pPr>
            <w:r>
              <w:rPr>
                <w:rFonts w:hint="eastAsia" w:ascii="Times New Roman" w:hAnsi="Times New Roman" w:eastAsia="仿宋_GB2312" w:cs="Times New Roman"/>
                <w:color w:val="auto"/>
                <w:sz w:val="18"/>
                <w:szCs w:val="18"/>
              </w:rPr>
              <w:t>在建工程</w:t>
            </w:r>
            <w:r>
              <w:rPr>
                <w:rFonts w:ascii="Times New Roman" w:hAnsi="Times New Roman" w:eastAsia="仿宋_GB2312" w:cs="Times New Roman"/>
                <w:color w:val="auto"/>
                <w:sz w:val="18"/>
                <w:szCs w:val="18"/>
              </w:rPr>
              <w:t>区</w:t>
            </w:r>
          </w:p>
        </w:tc>
        <w:tc>
          <w:tcPr>
            <w:tcW w:w="8544" w:type="dxa"/>
            <w:gridSpan w:val="14"/>
            <w:vAlign w:val="center"/>
          </w:tcPr>
          <w:p>
            <w:pPr>
              <w:adjustRightInd w:val="0"/>
              <w:snapToGrid w:val="0"/>
              <w:jc w:val="center"/>
              <w:rPr>
                <w:rFonts w:hint="eastAsia" w:ascii="Times New Roman" w:hAnsi="Times New Roman" w:eastAsia="仿宋_GB2312" w:cs="Times New Roman"/>
                <w:color w:val="auto"/>
                <w:sz w:val="18"/>
                <w:szCs w:val="18"/>
                <w:lang w:eastAsia="zh-CN"/>
              </w:rPr>
            </w:pPr>
            <w:r>
              <w:rPr>
                <w:rFonts w:hint="eastAsia" w:ascii="Times New Roman" w:hAnsi="Times New Roman" w:eastAsia="仿宋_GB2312" w:cs="Times New Roman"/>
                <w:color w:val="auto"/>
                <w:sz w:val="18"/>
                <w:szCs w:val="18"/>
                <w:lang w:eastAsia="zh-CN"/>
              </w:rPr>
              <w:t>（已编报水保方案，措施体系纳入其批复水保方案中）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511" w:type="dxa"/>
            <w:vMerge w:val="continue"/>
            <w:vAlign w:val="center"/>
          </w:tcPr>
          <w:p>
            <w:pPr>
              <w:widowControl/>
              <w:jc w:val="left"/>
              <w:rPr>
                <w:rFonts w:ascii="Times New Roman" w:hAnsi="Times New Roman" w:eastAsia="仿宋_GB2312" w:cs="Times New Roman"/>
                <w:color w:val="auto"/>
                <w:sz w:val="18"/>
                <w:szCs w:val="18"/>
              </w:rPr>
            </w:pPr>
          </w:p>
        </w:tc>
        <w:tc>
          <w:tcPr>
            <w:tcW w:w="567" w:type="dxa"/>
            <w:vMerge w:val="continue"/>
            <w:vAlign w:val="center"/>
          </w:tcPr>
          <w:p>
            <w:pPr>
              <w:adjustRightInd w:val="0"/>
              <w:snapToGrid w:val="0"/>
              <w:jc w:val="center"/>
              <w:rPr>
                <w:rFonts w:ascii="Times New Roman" w:hAnsi="Times New Roman" w:eastAsia="仿宋_GB2312" w:cs="Times New Roman"/>
                <w:color w:val="auto"/>
                <w:sz w:val="18"/>
                <w:szCs w:val="18"/>
              </w:rPr>
            </w:pPr>
          </w:p>
        </w:tc>
        <w:tc>
          <w:tcPr>
            <w:tcW w:w="840" w:type="dxa"/>
            <w:gridSpan w:val="2"/>
            <w:vAlign w:val="center"/>
          </w:tcPr>
          <w:p>
            <w:pPr>
              <w:adjustRightInd w:val="0"/>
              <w:snapToGrid w:val="0"/>
              <w:jc w:val="center"/>
              <w:rPr>
                <w:rFonts w:hint="eastAsia" w:ascii="Times New Roman" w:hAnsi="Times New Roman" w:eastAsia="仿宋_GB2312" w:cs="Times New Roman"/>
                <w:color w:val="auto"/>
                <w:sz w:val="18"/>
                <w:szCs w:val="18"/>
              </w:rPr>
            </w:pPr>
            <w:r>
              <w:rPr>
                <w:rFonts w:hint="eastAsia" w:ascii="Times New Roman" w:hAnsi="Times New Roman" w:eastAsia="仿宋_GB2312" w:cs="Times New Roman"/>
                <w:color w:val="auto"/>
                <w:sz w:val="18"/>
                <w:szCs w:val="18"/>
              </w:rPr>
              <w:t>待建工程区</w:t>
            </w:r>
          </w:p>
        </w:tc>
        <w:tc>
          <w:tcPr>
            <w:tcW w:w="3543" w:type="dxa"/>
            <w:gridSpan w:val="4"/>
            <w:vAlign w:val="center"/>
          </w:tcPr>
          <w:p>
            <w:pPr>
              <w:adjustRightInd w:val="0"/>
              <w:snapToGrid w:val="0"/>
              <w:jc w:val="center"/>
              <w:rPr>
                <w:rFonts w:hint="eastAsia" w:ascii="Times New Roman" w:hAnsi="Times New Roman" w:eastAsia="仿宋_GB2312" w:cs="Times New Roman"/>
                <w:color w:val="auto"/>
                <w:sz w:val="18"/>
                <w:szCs w:val="18"/>
                <w:lang w:eastAsia="zh-CN"/>
              </w:rPr>
            </w:pPr>
            <w:r>
              <w:rPr>
                <w:rFonts w:ascii="Times New Roman" w:hAnsi="Times New Roman" w:eastAsia="仿宋_GB2312" w:cs="Times New Roman"/>
                <w:color w:val="auto"/>
                <w:sz w:val="18"/>
                <w:szCs w:val="18"/>
              </w:rPr>
              <w:t>表土剥离</w:t>
            </w:r>
            <w:r>
              <w:rPr>
                <w:rFonts w:hint="eastAsia" w:ascii="Times New Roman" w:hAnsi="Times New Roman" w:eastAsia="仿宋_GB2312" w:cs="Times New Roman"/>
                <w:color w:val="auto"/>
                <w:sz w:val="18"/>
                <w:szCs w:val="18"/>
                <w:lang w:val="en-US" w:eastAsia="zh-CN"/>
              </w:rPr>
              <w:t>0.28</w:t>
            </w:r>
            <w:r>
              <w:rPr>
                <w:rFonts w:ascii="Times New Roman" w:hAnsi="Times New Roman" w:eastAsia="仿宋_GB2312" w:cs="Times New Roman"/>
                <w:color w:val="auto"/>
                <w:sz w:val="18"/>
                <w:szCs w:val="18"/>
              </w:rPr>
              <w:t>万m</w:t>
            </w:r>
            <w:r>
              <w:rPr>
                <w:rFonts w:ascii="Times New Roman" w:hAnsi="Times New Roman" w:eastAsia="仿宋_GB2312" w:cs="Times New Roman"/>
                <w:color w:val="auto"/>
                <w:sz w:val="18"/>
                <w:szCs w:val="18"/>
                <w:vertAlign w:val="superscript"/>
              </w:rPr>
              <w:t>3</w:t>
            </w:r>
            <w:r>
              <w:rPr>
                <w:rFonts w:hint="eastAsia" w:ascii="Times New Roman" w:hAnsi="Times New Roman" w:eastAsia="仿宋_GB2312" w:cs="Times New Roman"/>
                <w:color w:val="auto"/>
                <w:sz w:val="18"/>
                <w:szCs w:val="18"/>
              </w:rPr>
              <w:t>、</w:t>
            </w:r>
            <w:r>
              <w:rPr>
                <w:rFonts w:ascii="Times New Roman" w:hAnsi="Times New Roman" w:eastAsia="仿宋_GB2312" w:cs="Times New Roman"/>
                <w:color w:val="auto"/>
                <w:sz w:val="18"/>
                <w:szCs w:val="18"/>
              </w:rPr>
              <w:t>场地平整</w:t>
            </w:r>
            <w:r>
              <w:rPr>
                <w:rFonts w:hint="eastAsia" w:ascii="Times New Roman" w:hAnsi="Times New Roman" w:eastAsia="仿宋_GB2312" w:cs="Times New Roman"/>
                <w:color w:val="auto"/>
                <w:sz w:val="18"/>
                <w:szCs w:val="18"/>
              </w:rPr>
              <w:t>1</w:t>
            </w:r>
            <w:r>
              <w:rPr>
                <w:rFonts w:hint="eastAsia" w:ascii="Times New Roman" w:hAnsi="Times New Roman" w:eastAsia="仿宋_GB2312" w:cs="Times New Roman"/>
                <w:color w:val="auto"/>
                <w:sz w:val="18"/>
                <w:szCs w:val="18"/>
                <w:lang w:val="en-US" w:eastAsia="zh-CN"/>
              </w:rPr>
              <w:t>8.17</w:t>
            </w:r>
            <w:r>
              <w:rPr>
                <w:rFonts w:hint="eastAsia" w:ascii="Times New Roman" w:hAnsi="Times New Roman" w:eastAsia="仿宋_GB2312" w:cs="Times New Roman"/>
                <w:color w:val="auto"/>
                <w:sz w:val="18"/>
                <w:szCs w:val="18"/>
              </w:rPr>
              <w:t>hm</w:t>
            </w:r>
            <w:r>
              <w:rPr>
                <w:rFonts w:hint="eastAsia" w:ascii="Times New Roman" w:hAnsi="Times New Roman" w:eastAsia="仿宋_GB2312" w:cs="Times New Roman"/>
                <w:color w:val="auto"/>
                <w:sz w:val="18"/>
                <w:szCs w:val="18"/>
                <w:vertAlign w:val="superscript"/>
              </w:rPr>
              <w:t>2</w:t>
            </w:r>
          </w:p>
        </w:tc>
        <w:tc>
          <w:tcPr>
            <w:tcW w:w="1985" w:type="dxa"/>
            <w:gridSpan w:val="5"/>
            <w:vAlign w:val="center"/>
          </w:tcPr>
          <w:p>
            <w:pPr>
              <w:adjustRightInd w:val="0"/>
              <w:snapToGrid w:val="0"/>
              <w:jc w:val="center"/>
              <w:rPr>
                <w:rFonts w:hint="eastAsia" w:ascii="Times New Roman" w:hAnsi="Times New Roman" w:eastAsia="仿宋_GB2312" w:cs="Times New Roman"/>
                <w:color w:val="auto"/>
                <w:sz w:val="18"/>
                <w:szCs w:val="18"/>
                <w:lang w:eastAsia="zh-CN"/>
              </w:rPr>
            </w:pPr>
            <w:r>
              <w:rPr>
                <w:rFonts w:hint="eastAsia" w:ascii="Times New Roman" w:hAnsi="Times New Roman" w:eastAsia="仿宋_GB2312" w:cs="Times New Roman"/>
                <w:color w:val="auto"/>
                <w:sz w:val="18"/>
                <w:szCs w:val="18"/>
              </w:rPr>
              <w:t>撒播草籽1</w:t>
            </w:r>
            <w:r>
              <w:rPr>
                <w:rFonts w:hint="eastAsia" w:ascii="Times New Roman" w:hAnsi="Times New Roman" w:eastAsia="仿宋_GB2312" w:cs="Times New Roman"/>
                <w:color w:val="auto"/>
                <w:sz w:val="18"/>
                <w:szCs w:val="18"/>
                <w:lang w:val="en-US" w:eastAsia="zh-CN"/>
              </w:rPr>
              <w:t>8.17</w:t>
            </w:r>
            <w:r>
              <w:rPr>
                <w:rFonts w:hint="eastAsia" w:ascii="Times New Roman" w:hAnsi="Times New Roman" w:eastAsia="仿宋_GB2312" w:cs="Times New Roman"/>
                <w:color w:val="auto"/>
                <w:sz w:val="18"/>
                <w:szCs w:val="18"/>
              </w:rPr>
              <w:t>hm</w:t>
            </w:r>
            <w:r>
              <w:rPr>
                <w:rFonts w:hint="eastAsia" w:ascii="Times New Roman" w:hAnsi="Times New Roman" w:eastAsia="仿宋_GB2312" w:cs="Times New Roman"/>
                <w:color w:val="auto"/>
                <w:sz w:val="18"/>
                <w:szCs w:val="18"/>
                <w:vertAlign w:val="superscript"/>
              </w:rPr>
              <w:t>2</w:t>
            </w:r>
          </w:p>
        </w:tc>
        <w:tc>
          <w:tcPr>
            <w:tcW w:w="3016" w:type="dxa"/>
            <w:gridSpan w:val="5"/>
            <w:vAlign w:val="center"/>
          </w:tcPr>
          <w:p>
            <w:pPr>
              <w:adjustRightInd w:val="0"/>
              <w:snapToGrid w:val="0"/>
              <w:jc w:val="center"/>
              <w:rPr>
                <w:rFonts w:hint="eastAsia" w:ascii="Times New Roman" w:hAnsi="Times New Roman" w:eastAsia="仿宋_GB2312" w:cs="Times New Roman"/>
                <w:color w:val="auto"/>
                <w:sz w:val="18"/>
                <w:szCs w:val="18"/>
                <w:lang w:eastAsia="zh-CN"/>
              </w:rPr>
            </w:pPr>
            <w:r>
              <w:rPr>
                <w:rFonts w:ascii="Times New Roman" w:hAnsi="Times New Roman" w:eastAsia="仿宋_GB2312" w:cs="Times New Roman"/>
                <w:color w:val="auto"/>
                <w:sz w:val="18"/>
                <w:szCs w:val="18"/>
              </w:rPr>
              <w:t>苫布覆盖</w:t>
            </w:r>
            <w:r>
              <w:rPr>
                <w:rFonts w:hint="eastAsia" w:ascii="Times New Roman" w:hAnsi="Times New Roman" w:eastAsia="仿宋_GB2312" w:cs="Times New Roman"/>
                <w:color w:val="auto"/>
                <w:sz w:val="18"/>
                <w:szCs w:val="18"/>
                <w:lang w:val="en-US" w:eastAsia="zh-CN"/>
              </w:rPr>
              <w:t>18.17</w:t>
            </w:r>
            <w:r>
              <w:rPr>
                <w:rFonts w:ascii="Times New Roman" w:hAnsi="Times New Roman" w:eastAsia="仿宋_GB2312" w:cs="Times New Roman"/>
                <w:color w:val="auto"/>
                <w:sz w:val="18"/>
                <w:szCs w:val="18"/>
              </w:rPr>
              <w:t>hm</w:t>
            </w:r>
            <w:r>
              <w:rPr>
                <w:rFonts w:ascii="Times New Roman" w:hAnsi="Times New Roman" w:eastAsia="仿宋_GB2312" w:cs="Times New Roman"/>
                <w:color w:val="auto"/>
                <w:sz w:val="18"/>
                <w:szCs w:val="18"/>
                <w:vertAlign w:val="superscript"/>
              </w:rPr>
              <w:t>2</w:t>
            </w:r>
            <w:r>
              <w:rPr>
                <w:rFonts w:hint="eastAsia" w:ascii="Times New Roman" w:hAnsi="Times New Roman" w:eastAsia="仿宋_GB2312" w:cs="Times New Roman"/>
                <w:color w:val="auto"/>
                <w:sz w:val="18"/>
                <w:szCs w:val="18"/>
              </w:rPr>
              <w:t>、</w:t>
            </w:r>
            <w:r>
              <w:rPr>
                <w:rFonts w:ascii="Times New Roman" w:hAnsi="Times New Roman" w:eastAsia="仿宋_GB2312" w:cs="Times New Roman"/>
                <w:color w:val="auto"/>
                <w:sz w:val="18"/>
                <w:szCs w:val="18"/>
              </w:rPr>
              <w:t>临时排水沟</w:t>
            </w:r>
            <w:r>
              <w:rPr>
                <w:rFonts w:hint="eastAsia" w:ascii="Times New Roman" w:hAnsi="Times New Roman" w:eastAsia="仿宋_GB2312" w:cs="Times New Roman"/>
                <w:color w:val="auto"/>
                <w:sz w:val="18"/>
                <w:szCs w:val="18"/>
              </w:rPr>
              <w:t>1</w:t>
            </w:r>
            <w:r>
              <w:rPr>
                <w:rFonts w:hint="eastAsia" w:ascii="Times New Roman" w:hAnsi="Times New Roman" w:eastAsia="仿宋_GB2312" w:cs="Times New Roman"/>
                <w:color w:val="auto"/>
                <w:sz w:val="18"/>
                <w:szCs w:val="18"/>
                <w:lang w:val="en-US" w:eastAsia="zh-CN"/>
              </w:rPr>
              <w:t>826</w:t>
            </w:r>
            <w:r>
              <w:rPr>
                <w:rFonts w:ascii="Times New Roman" w:hAnsi="Times New Roman" w:eastAsia="仿宋_GB2312" w:cs="Times New Roman"/>
                <w:color w:val="auto"/>
                <w:sz w:val="18"/>
                <w:szCs w:val="18"/>
              </w:rPr>
              <w:t>m</w:t>
            </w:r>
            <w:r>
              <w:rPr>
                <w:rFonts w:hint="eastAsia" w:ascii="Times New Roman" w:hAnsi="Times New Roman" w:eastAsia="仿宋_GB2312" w:cs="Times New Roman"/>
                <w:color w:val="auto"/>
                <w:sz w:val="18"/>
                <w:szCs w:val="18"/>
              </w:rPr>
              <w:t>、</w:t>
            </w:r>
            <w:r>
              <w:rPr>
                <w:rFonts w:ascii="Times New Roman" w:hAnsi="Times New Roman" w:eastAsia="仿宋_GB2312" w:cs="Times New Roman"/>
                <w:color w:val="auto"/>
                <w:sz w:val="18"/>
                <w:szCs w:val="18"/>
              </w:rPr>
              <w:t>临时沉沙池</w:t>
            </w:r>
            <w:r>
              <w:rPr>
                <w:rFonts w:hint="eastAsia" w:ascii="Times New Roman" w:hAnsi="Times New Roman" w:eastAsia="仿宋_GB2312" w:cs="Times New Roman"/>
                <w:color w:val="auto"/>
                <w:sz w:val="18"/>
                <w:szCs w:val="18"/>
              </w:rPr>
              <w:t>1</w:t>
            </w:r>
            <w:r>
              <w:rPr>
                <w:rFonts w:hint="eastAsia" w:ascii="Times New Roman" w:hAnsi="Times New Roman" w:eastAsia="仿宋_GB2312" w:cs="Times New Roman"/>
                <w:color w:val="auto"/>
                <w:sz w:val="18"/>
                <w:szCs w:val="18"/>
                <w:lang w:val="en-US" w:eastAsia="zh-CN"/>
              </w:rPr>
              <w:t>2</w:t>
            </w:r>
            <w:r>
              <w:rPr>
                <w:rFonts w:hint="eastAsia" w:ascii="Times New Roman" w:hAnsi="Times New Roman" w:eastAsia="仿宋_GB2312" w:cs="Times New Roman"/>
                <w:color w:val="auto"/>
                <w:sz w:val="18"/>
                <w:szCs w:val="18"/>
              </w:rPr>
              <w:t>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511" w:type="dxa"/>
            <w:vMerge w:val="continue"/>
            <w:vAlign w:val="center"/>
          </w:tcPr>
          <w:p>
            <w:pPr>
              <w:widowControl/>
              <w:jc w:val="left"/>
              <w:rPr>
                <w:rFonts w:ascii="Times New Roman" w:hAnsi="Times New Roman" w:eastAsia="仿宋_GB2312" w:cs="Times New Roman"/>
                <w:color w:val="auto"/>
                <w:sz w:val="18"/>
                <w:szCs w:val="18"/>
              </w:rPr>
            </w:pPr>
          </w:p>
        </w:tc>
        <w:tc>
          <w:tcPr>
            <w:tcW w:w="567" w:type="dxa"/>
            <w:vMerge w:val="restart"/>
            <w:vAlign w:val="center"/>
          </w:tcPr>
          <w:p>
            <w:pPr>
              <w:adjustRightInd w:val="0"/>
              <w:snapToGrid w:val="0"/>
              <w:jc w:val="center"/>
              <w:rPr>
                <w:rFonts w:ascii="Times New Roman" w:hAnsi="Times New Roman" w:eastAsia="仿宋_GB2312" w:cs="Times New Roman"/>
                <w:color w:val="auto"/>
                <w:sz w:val="18"/>
                <w:szCs w:val="18"/>
              </w:rPr>
            </w:pPr>
            <w:r>
              <w:rPr>
                <w:rFonts w:hint="eastAsia" w:ascii="Times New Roman" w:hAnsi="Times New Roman" w:eastAsia="仿宋_GB2312" w:cs="Times New Roman"/>
                <w:color w:val="auto"/>
                <w:sz w:val="18"/>
                <w:szCs w:val="18"/>
              </w:rPr>
              <w:t>施工临时设施区</w:t>
            </w:r>
          </w:p>
        </w:tc>
        <w:tc>
          <w:tcPr>
            <w:tcW w:w="840" w:type="dxa"/>
            <w:gridSpan w:val="2"/>
            <w:vAlign w:val="center"/>
          </w:tcPr>
          <w:p>
            <w:pPr>
              <w:adjustRightInd w:val="0"/>
              <w:snapToGrid w:val="0"/>
              <w:jc w:val="center"/>
              <w:rPr>
                <w:rFonts w:ascii="Times New Roman" w:hAnsi="Times New Roman" w:eastAsia="仿宋_GB2312" w:cs="Times New Roman"/>
                <w:color w:val="auto"/>
                <w:sz w:val="18"/>
                <w:szCs w:val="18"/>
              </w:rPr>
            </w:pPr>
            <w:r>
              <w:rPr>
                <w:rFonts w:hint="eastAsia" w:ascii="Times New Roman" w:hAnsi="Times New Roman" w:eastAsia="仿宋_GB2312" w:cs="Times New Roman"/>
                <w:color w:val="auto"/>
                <w:sz w:val="18"/>
                <w:szCs w:val="18"/>
                <w:lang w:eastAsia="zh-CN"/>
              </w:rPr>
              <w:t>临时堆土场</w:t>
            </w:r>
            <w:r>
              <w:rPr>
                <w:rFonts w:ascii="Times New Roman" w:hAnsi="Times New Roman" w:eastAsia="仿宋_GB2312" w:cs="Times New Roman"/>
                <w:color w:val="auto"/>
                <w:sz w:val="18"/>
                <w:szCs w:val="18"/>
              </w:rPr>
              <w:t>场区</w:t>
            </w:r>
          </w:p>
        </w:tc>
        <w:tc>
          <w:tcPr>
            <w:tcW w:w="3543" w:type="dxa"/>
            <w:gridSpan w:val="4"/>
            <w:vAlign w:val="center"/>
          </w:tcPr>
          <w:p>
            <w:pPr>
              <w:adjustRightInd w:val="0"/>
              <w:snapToGrid w:val="0"/>
              <w:jc w:val="center"/>
              <w:rPr>
                <w:rFonts w:ascii="Times New Roman" w:hAnsi="Times New Roman" w:eastAsia="仿宋_GB2312" w:cs="Times New Roman"/>
                <w:color w:val="auto"/>
                <w:sz w:val="18"/>
                <w:szCs w:val="18"/>
              </w:rPr>
            </w:pPr>
            <w:r>
              <w:rPr>
                <w:rFonts w:hint="eastAsia" w:ascii="Times New Roman" w:hAnsi="Times New Roman" w:eastAsia="仿宋_GB2312" w:cs="Times New Roman"/>
                <w:color w:val="auto"/>
                <w:sz w:val="18"/>
                <w:szCs w:val="18"/>
              </w:rPr>
              <w:t>/</w:t>
            </w:r>
          </w:p>
        </w:tc>
        <w:tc>
          <w:tcPr>
            <w:tcW w:w="1985"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hint="eastAsia" w:ascii="Times New Roman" w:hAnsi="Times New Roman" w:eastAsia="仿宋_GB2312" w:cs="Times New Roman"/>
                <w:color w:val="auto"/>
                <w:sz w:val="18"/>
                <w:szCs w:val="18"/>
              </w:rPr>
              <w:t>/</w:t>
            </w:r>
          </w:p>
        </w:tc>
        <w:tc>
          <w:tcPr>
            <w:tcW w:w="3016"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苫布覆盖</w:t>
            </w:r>
            <w:r>
              <w:rPr>
                <w:rFonts w:hint="eastAsia" w:ascii="Times New Roman" w:hAnsi="Times New Roman" w:eastAsia="仿宋_GB2312" w:cs="Times New Roman"/>
                <w:color w:val="auto"/>
                <w:sz w:val="18"/>
                <w:szCs w:val="18"/>
                <w:lang w:val="en-US" w:eastAsia="zh-CN"/>
              </w:rPr>
              <w:t>4.49</w:t>
            </w:r>
            <w:r>
              <w:rPr>
                <w:rFonts w:ascii="Times New Roman" w:hAnsi="Times New Roman" w:eastAsia="仿宋_GB2312" w:cs="Times New Roman"/>
                <w:color w:val="auto"/>
                <w:sz w:val="18"/>
                <w:szCs w:val="18"/>
              </w:rPr>
              <w:t>hm</w:t>
            </w:r>
            <w:r>
              <w:rPr>
                <w:rFonts w:ascii="Times New Roman" w:hAnsi="Times New Roman" w:eastAsia="仿宋_GB2312" w:cs="Times New Roman"/>
                <w:color w:val="auto"/>
                <w:sz w:val="18"/>
                <w:szCs w:val="18"/>
                <w:vertAlign w:val="superscript"/>
              </w:rPr>
              <w:t>2</w:t>
            </w:r>
            <w:r>
              <w:rPr>
                <w:rFonts w:hint="eastAsia" w:ascii="Times New Roman" w:hAnsi="Times New Roman" w:eastAsia="仿宋_GB2312" w:cs="Times New Roman"/>
                <w:color w:val="auto"/>
                <w:sz w:val="18"/>
                <w:szCs w:val="18"/>
              </w:rPr>
              <w:t>、</w:t>
            </w:r>
            <w:r>
              <w:rPr>
                <w:rFonts w:ascii="Times New Roman" w:hAnsi="Times New Roman" w:eastAsia="仿宋_GB2312" w:cs="Times New Roman"/>
                <w:color w:val="auto"/>
                <w:sz w:val="18"/>
                <w:szCs w:val="18"/>
              </w:rPr>
              <w:t>临时排水沟</w:t>
            </w:r>
            <w:r>
              <w:rPr>
                <w:rFonts w:hint="eastAsia" w:ascii="Times New Roman" w:hAnsi="Times New Roman" w:eastAsia="仿宋_GB2312" w:cs="Times New Roman"/>
                <w:color w:val="auto"/>
                <w:sz w:val="18"/>
                <w:szCs w:val="18"/>
                <w:lang w:val="en-US" w:eastAsia="zh-CN"/>
              </w:rPr>
              <w:t>1038</w:t>
            </w:r>
            <w:r>
              <w:rPr>
                <w:rFonts w:ascii="Times New Roman" w:hAnsi="Times New Roman" w:eastAsia="仿宋_GB2312" w:cs="Times New Roman"/>
                <w:color w:val="auto"/>
                <w:sz w:val="18"/>
                <w:szCs w:val="18"/>
              </w:rPr>
              <w:t>m</w:t>
            </w:r>
            <w:r>
              <w:rPr>
                <w:rFonts w:hint="eastAsia" w:ascii="Times New Roman" w:hAnsi="Times New Roman" w:eastAsia="仿宋_GB2312" w:cs="Times New Roman"/>
                <w:color w:val="auto"/>
                <w:sz w:val="18"/>
                <w:szCs w:val="18"/>
              </w:rPr>
              <w:t>、</w:t>
            </w:r>
            <w:r>
              <w:rPr>
                <w:rFonts w:ascii="Times New Roman" w:hAnsi="Times New Roman" w:eastAsia="仿宋_GB2312" w:cs="Times New Roman"/>
                <w:color w:val="auto"/>
                <w:sz w:val="18"/>
                <w:szCs w:val="18"/>
              </w:rPr>
              <w:t>临时沉沙池</w:t>
            </w:r>
            <w:r>
              <w:rPr>
                <w:rFonts w:hint="eastAsia" w:ascii="Times New Roman" w:hAnsi="Times New Roman" w:eastAsia="仿宋_GB2312" w:cs="Times New Roman"/>
                <w:color w:val="auto"/>
                <w:sz w:val="18"/>
                <w:szCs w:val="18"/>
                <w:lang w:val="en-US" w:eastAsia="zh-CN"/>
              </w:rPr>
              <w:t>6</w:t>
            </w:r>
            <w:r>
              <w:rPr>
                <w:rFonts w:hint="eastAsia" w:ascii="Times New Roman" w:hAnsi="Times New Roman" w:eastAsia="仿宋_GB2312" w:cs="Times New Roman"/>
                <w:color w:val="auto"/>
                <w:sz w:val="18"/>
                <w:szCs w:val="18"/>
              </w:rPr>
              <w:t>个、</w:t>
            </w:r>
            <w:r>
              <w:rPr>
                <w:rFonts w:ascii="Times New Roman" w:hAnsi="Times New Roman" w:eastAsia="仿宋_GB2312" w:cs="Times New Roman"/>
                <w:color w:val="auto"/>
                <w:sz w:val="18"/>
                <w:szCs w:val="18"/>
              </w:rPr>
              <w:t>编织袋挡挡</w:t>
            </w:r>
            <w:r>
              <w:rPr>
                <w:rFonts w:hint="eastAsia" w:ascii="Times New Roman" w:hAnsi="Times New Roman" w:eastAsia="仿宋_GB2312" w:cs="Times New Roman"/>
                <w:color w:val="auto"/>
                <w:sz w:val="18"/>
                <w:szCs w:val="18"/>
                <w:lang w:val="en-US" w:eastAsia="zh-CN"/>
              </w:rPr>
              <w:t>1028</w:t>
            </w:r>
            <w:r>
              <w:rPr>
                <w:rFonts w:ascii="Times New Roman" w:hAnsi="Times New Roman" w:eastAsia="仿宋_GB2312" w:cs="Times New Roman"/>
                <w:color w:val="auto"/>
                <w:sz w:val="18"/>
                <w:szCs w:val="18"/>
              </w:rPr>
              <w:t>m</w:t>
            </w:r>
            <w:r>
              <w:rPr>
                <w:rFonts w:hint="eastAsia" w:ascii="Times New Roman" w:hAnsi="Times New Roman" w:eastAsia="仿宋_GB2312" w:cs="Times New Roman"/>
                <w:color w:val="auto"/>
                <w:sz w:val="18"/>
                <w:szCs w:val="18"/>
              </w:rPr>
              <w:t>、撒播草籽</w:t>
            </w:r>
            <w:r>
              <w:rPr>
                <w:rFonts w:hint="eastAsia" w:ascii="Times New Roman" w:hAnsi="Times New Roman" w:eastAsia="仿宋_GB2312" w:cs="Times New Roman"/>
                <w:color w:val="auto"/>
                <w:sz w:val="18"/>
                <w:szCs w:val="18"/>
                <w:lang w:val="en-US" w:eastAsia="zh-CN"/>
              </w:rPr>
              <w:t>4.49</w:t>
            </w:r>
            <w:r>
              <w:rPr>
                <w:rFonts w:hint="eastAsia" w:ascii="Times New Roman" w:hAnsi="Times New Roman" w:eastAsia="仿宋_GB2312" w:cs="Times New Roman"/>
                <w:color w:val="auto"/>
                <w:sz w:val="18"/>
                <w:szCs w:val="18"/>
              </w:rPr>
              <w:t>hm</w:t>
            </w:r>
            <w:r>
              <w:rPr>
                <w:rFonts w:hint="eastAsia" w:ascii="Times New Roman" w:hAnsi="Times New Roman" w:eastAsia="仿宋_GB2312" w:cs="Times New Roman"/>
                <w:color w:val="auto"/>
                <w:sz w:val="18"/>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83" w:hRule="atLeast"/>
          <w:jc w:val="center"/>
        </w:trPr>
        <w:tc>
          <w:tcPr>
            <w:tcW w:w="511" w:type="dxa"/>
            <w:vMerge w:val="continue"/>
            <w:vAlign w:val="center"/>
          </w:tcPr>
          <w:p>
            <w:pPr>
              <w:widowControl/>
              <w:jc w:val="left"/>
              <w:rPr>
                <w:rFonts w:ascii="Times New Roman" w:hAnsi="Times New Roman" w:eastAsia="仿宋_GB2312" w:cs="Times New Roman"/>
                <w:color w:val="auto"/>
                <w:sz w:val="18"/>
                <w:szCs w:val="18"/>
              </w:rPr>
            </w:pPr>
          </w:p>
        </w:tc>
        <w:tc>
          <w:tcPr>
            <w:tcW w:w="567" w:type="dxa"/>
            <w:vMerge w:val="continue"/>
            <w:vAlign w:val="center"/>
          </w:tcPr>
          <w:p>
            <w:pPr>
              <w:adjustRightInd w:val="0"/>
              <w:snapToGrid w:val="0"/>
              <w:jc w:val="center"/>
              <w:rPr>
                <w:rFonts w:ascii="Times New Roman" w:hAnsi="Times New Roman" w:eastAsia="仿宋_GB2312" w:cs="Times New Roman"/>
                <w:color w:val="auto"/>
                <w:sz w:val="18"/>
                <w:szCs w:val="18"/>
              </w:rPr>
            </w:pPr>
          </w:p>
        </w:tc>
        <w:tc>
          <w:tcPr>
            <w:tcW w:w="840" w:type="dxa"/>
            <w:gridSpan w:val="2"/>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苗木移栽区</w:t>
            </w:r>
          </w:p>
        </w:tc>
        <w:tc>
          <w:tcPr>
            <w:tcW w:w="3543" w:type="dxa"/>
            <w:gridSpan w:val="4"/>
            <w:vAlign w:val="center"/>
          </w:tcPr>
          <w:p>
            <w:pPr>
              <w:adjustRightInd w:val="0"/>
              <w:snapToGrid w:val="0"/>
              <w:jc w:val="center"/>
              <w:rPr>
                <w:rFonts w:ascii="Times New Roman" w:hAnsi="Times New Roman" w:eastAsia="仿宋_GB2312" w:cs="Times New Roman"/>
                <w:color w:val="auto"/>
                <w:sz w:val="18"/>
                <w:szCs w:val="18"/>
              </w:rPr>
            </w:pPr>
            <w:r>
              <w:rPr>
                <w:rFonts w:hint="eastAsia" w:ascii="Times New Roman" w:hAnsi="Times New Roman" w:eastAsia="仿宋_GB2312" w:cs="Times New Roman"/>
                <w:color w:val="auto"/>
                <w:sz w:val="18"/>
                <w:szCs w:val="18"/>
              </w:rPr>
              <w:t>/</w:t>
            </w:r>
          </w:p>
        </w:tc>
        <w:tc>
          <w:tcPr>
            <w:tcW w:w="1985"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hint="eastAsia" w:ascii="Times New Roman" w:hAnsi="Times New Roman" w:eastAsia="仿宋_GB2312" w:cs="Times New Roman"/>
                <w:color w:val="auto"/>
                <w:sz w:val="18"/>
                <w:szCs w:val="18"/>
              </w:rPr>
              <w:t>/</w:t>
            </w:r>
          </w:p>
        </w:tc>
        <w:tc>
          <w:tcPr>
            <w:tcW w:w="3016"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临时排水沟</w:t>
            </w:r>
            <w:r>
              <w:rPr>
                <w:rFonts w:hint="eastAsia" w:ascii="Times New Roman" w:hAnsi="Times New Roman" w:eastAsia="仿宋_GB2312" w:cs="Times New Roman"/>
                <w:color w:val="auto"/>
                <w:sz w:val="18"/>
                <w:szCs w:val="18"/>
              </w:rPr>
              <w:t>182</w:t>
            </w:r>
            <w:r>
              <w:rPr>
                <w:rFonts w:ascii="Times New Roman" w:hAnsi="Times New Roman" w:eastAsia="仿宋_GB2312" w:cs="Times New Roman"/>
                <w:color w:val="auto"/>
                <w:sz w:val="18"/>
                <w:szCs w:val="18"/>
              </w:rPr>
              <w:t>m</w:t>
            </w:r>
            <w:r>
              <w:rPr>
                <w:rFonts w:hint="eastAsia" w:ascii="Times New Roman" w:hAnsi="Times New Roman" w:eastAsia="仿宋_GB2312" w:cs="Times New Roman"/>
                <w:color w:val="auto"/>
                <w:sz w:val="18"/>
                <w:szCs w:val="18"/>
              </w:rPr>
              <w:t>、</w:t>
            </w:r>
            <w:r>
              <w:rPr>
                <w:rFonts w:ascii="Times New Roman" w:hAnsi="Times New Roman" w:eastAsia="仿宋_GB2312" w:cs="Times New Roman"/>
                <w:color w:val="auto"/>
                <w:sz w:val="18"/>
                <w:szCs w:val="18"/>
              </w:rPr>
              <w:t>临时沉沙池</w:t>
            </w:r>
            <w:r>
              <w:rPr>
                <w:rFonts w:hint="eastAsia" w:ascii="Times New Roman" w:hAnsi="Times New Roman" w:eastAsia="仿宋_GB2312" w:cs="Times New Roman"/>
                <w:color w:val="auto"/>
                <w:sz w:val="18"/>
                <w:szCs w:val="18"/>
              </w:rPr>
              <w:t>1个、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1918" w:type="dxa"/>
            <w:gridSpan w:val="4"/>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投资（万元）</w:t>
            </w:r>
          </w:p>
        </w:tc>
        <w:tc>
          <w:tcPr>
            <w:tcW w:w="3543" w:type="dxa"/>
            <w:gridSpan w:val="4"/>
            <w:vAlign w:val="center"/>
          </w:tcPr>
          <w:p>
            <w:pPr>
              <w:adjustRightInd w:val="0"/>
              <w:snapToGrid w:val="0"/>
              <w:jc w:val="center"/>
              <w:rPr>
                <w:rFonts w:hint="default" w:ascii="Times New Roman" w:hAnsi="Times New Roman" w:eastAsia="仿宋_GB2312" w:cs="Times New Roman"/>
                <w:color w:val="auto"/>
                <w:sz w:val="18"/>
                <w:szCs w:val="18"/>
                <w:lang w:val="en-US" w:eastAsia="zh-CN"/>
              </w:rPr>
            </w:pPr>
            <w:r>
              <w:rPr>
                <w:rFonts w:hint="eastAsia" w:ascii="Times New Roman" w:hAnsi="Times New Roman" w:eastAsia="仿宋_GB2312" w:cs="Times New Roman"/>
                <w:color w:val="auto"/>
                <w:sz w:val="18"/>
                <w:szCs w:val="18"/>
                <w:lang w:val="en-US" w:eastAsia="zh-CN"/>
              </w:rPr>
              <w:t>779.11</w:t>
            </w:r>
          </w:p>
        </w:tc>
        <w:tc>
          <w:tcPr>
            <w:tcW w:w="1985" w:type="dxa"/>
            <w:gridSpan w:val="5"/>
            <w:vAlign w:val="center"/>
          </w:tcPr>
          <w:p>
            <w:pPr>
              <w:adjustRightInd w:val="0"/>
              <w:snapToGrid w:val="0"/>
              <w:jc w:val="center"/>
              <w:rPr>
                <w:rFonts w:hint="default" w:ascii="Times New Roman" w:hAnsi="Times New Roman" w:eastAsia="仿宋_GB2312" w:cs="Times New Roman"/>
                <w:color w:val="auto"/>
                <w:sz w:val="18"/>
                <w:szCs w:val="18"/>
                <w:lang w:val="en-US" w:eastAsia="zh-CN"/>
              </w:rPr>
            </w:pPr>
            <w:r>
              <w:rPr>
                <w:rFonts w:hint="eastAsia" w:ascii="Times New Roman" w:hAnsi="Times New Roman" w:eastAsia="仿宋_GB2312" w:cs="Times New Roman"/>
                <w:color w:val="auto"/>
                <w:sz w:val="18"/>
                <w:szCs w:val="18"/>
                <w:lang w:val="en-US" w:eastAsia="zh-CN"/>
              </w:rPr>
              <w:t>1027.56</w:t>
            </w:r>
          </w:p>
        </w:tc>
        <w:tc>
          <w:tcPr>
            <w:tcW w:w="3016" w:type="dxa"/>
            <w:gridSpan w:val="5"/>
            <w:vAlign w:val="center"/>
          </w:tcPr>
          <w:p>
            <w:pPr>
              <w:adjustRightInd w:val="0"/>
              <w:snapToGrid w:val="0"/>
              <w:jc w:val="center"/>
              <w:rPr>
                <w:rFonts w:hint="default" w:ascii="Times New Roman" w:hAnsi="Times New Roman" w:eastAsia="仿宋_GB2312" w:cs="Times New Roman"/>
                <w:color w:val="auto"/>
                <w:sz w:val="18"/>
                <w:szCs w:val="18"/>
                <w:lang w:val="en-US" w:eastAsia="zh-CN"/>
              </w:rPr>
            </w:pPr>
            <w:r>
              <w:rPr>
                <w:rFonts w:hint="eastAsia" w:ascii="Times New Roman" w:hAnsi="Times New Roman" w:eastAsia="仿宋_GB2312" w:cs="Times New Roman"/>
                <w:color w:val="auto"/>
                <w:sz w:val="18"/>
                <w:szCs w:val="18"/>
                <w:lang w:val="en-US" w:eastAsia="zh-CN"/>
              </w:rPr>
              <w:t>375.62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1918" w:type="dxa"/>
            <w:gridSpan w:val="4"/>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水土保持总投资（万元）</w:t>
            </w:r>
          </w:p>
        </w:tc>
        <w:tc>
          <w:tcPr>
            <w:tcW w:w="4361" w:type="dxa"/>
            <w:gridSpan w:val="7"/>
            <w:vAlign w:val="center"/>
          </w:tcPr>
          <w:p>
            <w:pPr>
              <w:adjustRightInd w:val="0"/>
              <w:snapToGrid w:val="0"/>
              <w:jc w:val="center"/>
              <w:rPr>
                <w:rFonts w:hint="default" w:ascii="Times New Roman" w:hAnsi="Times New Roman" w:eastAsia="仿宋_GB2312" w:cs="Times New Roman"/>
                <w:color w:val="auto"/>
                <w:sz w:val="18"/>
                <w:szCs w:val="18"/>
                <w:lang w:val="en-US" w:eastAsia="zh-CN"/>
              </w:rPr>
            </w:pPr>
            <w:r>
              <w:rPr>
                <w:rFonts w:hint="eastAsia" w:ascii="Times New Roman" w:hAnsi="Times New Roman" w:eastAsia="仿宋_GB2312" w:cs="Times New Roman"/>
                <w:color w:val="auto"/>
                <w:sz w:val="18"/>
                <w:szCs w:val="18"/>
                <w:lang w:val="en-US" w:eastAsia="zh-CN"/>
              </w:rPr>
              <w:t>2718.61</w:t>
            </w:r>
          </w:p>
        </w:tc>
        <w:tc>
          <w:tcPr>
            <w:tcW w:w="2419" w:type="dxa"/>
            <w:gridSpan w:val="4"/>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独立费用（万元）</w:t>
            </w:r>
          </w:p>
        </w:tc>
        <w:tc>
          <w:tcPr>
            <w:tcW w:w="1764" w:type="dxa"/>
            <w:gridSpan w:val="3"/>
            <w:vAlign w:val="center"/>
          </w:tcPr>
          <w:p>
            <w:pPr>
              <w:adjustRightInd w:val="0"/>
              <w:snapToGrid w:val="0"/>
              <w:jc w:val="center"/>
              <w:rPr>
                <w:rFonts w:ascii="Times New Roman" w:hAnsi="Times New Roman" w:eastAsia="仿宋_GB2312" w:cs="Times New Roman"/>
                <w:color w:val="auto"/>
                <w:sz w:val="18"/>
                <w:szCs w:val="18"/>
              </w:rPr>
            </w:pPr>
            <w:r>
              <w:rPr>
                <w:rFonts w:hint="eastAsia" w:ascii="Times New Roman" w:hAnsi="Times New Roman" w:eastAsia="仿宋_GB2312" w:cs="Times New Roman"/>
                <w:color w:val="auto"/>
                <w:sz w:val="18"/>
                <w:szCs w:val="18"/>
              </w:rPr>
              <w:t>260.85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1918" w:type="dxa"/>
            <w:gridSpan w:val="4"/>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监理费（万元）</w:t>
            </w:r>
          </w:p>
        </w:tc>
        <w:tc>
          <w:tcPr>
            <w:tcW w:w="2551" w:type="dxa"/>
            <w:gridSpan w:val="2"/>
            <w:vAlign w:val="center"/>
          </w:tcPr>
          <w:p>
            <w:pPr>
              <w:adjustRightInd w:val="0"/>
              <w:snapToGrid w:val="0"/>
              <w:jc w:val="center"/>
              <w:rPr>
                <w:rFonts w:hint="default" w:ascii="Times New Roman" w:hAnsi="Times New Roman" w:eastAsia="仿宋_GB2312" w:cs="Times New Roman"/>
                <w:color w:val="auto"/>
                <w:sz w:val="18"/>
                <w:szCs w:val="18"/>
                <w:lang w:val="en-US" w:eastAsia="zh-CN"/>
              </w:rPr>
            </w:pPr>
            <w:r>
              <w:rPr>
                <w:rFonts w:hint="eastAsia" w:ascii="Times New Roman" w:hAnsi="Times New Roman" w:eastAsia="仿宋_GB2312" w:cs="Times New Roman"/>
                <w:color w:val="auto"/>
                <w:sz w:val="18"/>
                <w:szCs w:val="18"/>
                <w:lang w:val="en-US" w:eastAsia="zh-CN"/>
              </w:rPr>
              <w:t>81.26</w:t>
            </w:r>
          </w:p>
        </w:tc>
        <w:tc>
          <w:tcPr>
            <w:tcW w:w="1418" w:type="dxa"/>
            <w:gridSpan w:val="4"/>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监测费（万元）</w:t>
            </w:r>
          </w:p>
        </w:tc>
        <w:tc>
          <w:tcPr>
            <w:tcW w:w="1559" w:type="dxa"/>
            <w:gridSpan w:val="3"/>
            <w:vAlign w:val="center"/>
          </w:tcPr>
          <w:p>
            <w:pPr>
              <w:adjustRightInd w:val="0"/>
              <w:snapToGrid w:val="0"/>
              <w:jc w:val="center"/>
              <w:rPr>
                <w:rFonts w:hint="default" w:ascii="Times New Roman" w:hAnsi="Times New Roman" w:eastAsia="仿宋_GB2312" w:cs="Times New Roman"/>
                <w:color w:val="auto"/>
                <w:sz w:val="18"/>
                <w:szCs w:val="18"/>
                <w:lang w:val="en-US" w:eastAsia="zh-CN"/>
              </w:rPr>
            </w:pPr>
            <w:r>
              <w:rPr>
                <w:rFonts w:hint="eastAsia" w:ascii="Times New Roman" w:hAnsi="Times New Roman" w:eastAsia="仿宋_GB2312" w:cs="Times New Roman"/>
                <w:color w:val="auto"/>
                <w:sz w:val="18"/>
                <w:szCs w:val="18"/>
                <w:lang w:val="en-US" w:eastAsia="zh-CN"/>
              </w:rPr>
              <w:t>48.66</w:t>
            </w:r>
          </w:p>
        </w:tc>
        <w:tc>
          <w:tcPr>
            <w:tcW w:w="1559" w:type="dxa"/>
            <w:gridSpan w:val="4"/>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补偿费（万元）</w:t>
            </w:r>
          </w:p>
        </w:tc>
        <w:tc>
          <w:tcPr>
            <w:tcW w:w="1457" w:type="dxa"/>
            <w:vAlign w:val="center"/>
          </w:tcPr>
          <w:p>
            <w:pPr>
              <w:adjustRightInd w:val="0"/>
              <w:snapToGrid w:val="0"/>
              <w:jc w:val="center"/>
              <w:rPr>
                <w:rFonts w:ascii="Times New Roman" w:hAnsi="Times New Roman" w:eastAsia="仿宋_GB2312" w:cs="Times New Roman"/>
                <w:color w:val="auto"/>
                <w:kern w:val="0"/>
                <w:sz w:val="18"/>
                <w:szCs w:val="18"/>
              </w:rPr>
            </w:pPr>
            <w:r>
              <w:rPr>
                <w:rFonts w:hint="eastAsia" w:ascii="Times New Roman" w:hAnsi="Times New Roman" w:eastAsia="仿宋_GB2312" w:cs="Times New Roman"/>
                <w:color w:val="auto"/>
                <w:kern w:val="0"/>
                <w:sz w:val="18"/>
                <w:szCs w:val="18"/>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1918" w:type="dxa"/>
            <w:gridSpan w:val="4"/>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分省措施费</w:t>
            </w:r>
            <w:r>
              <w:rPr>
                <w:rFonts w:hint="eastAsia" w:ascii="Times New Roman" w:hAnsi="Times New Roman" w:eastAsia="仿宋_GB2312" w:cs="Times New Roman"/>
                <w:color w:val="auto"/>
                <w:sz w:val="18"/>
                <w:szCs w:val="18"/>
              </w:rPr>
              <w:t>（万元）</w:t>
            </w:r>
          </w:p>
        </w:tc>
        <w:tc>
          <w:tcPr>
            <w:tcW w:w="3402" w:type="dxa"/>
            <w:gridSpan w:val="3"/>
            <w:vAlign w:val="center"/>
          </w:tcPr>
          <w:p>
            <w:pPr>
              <w:widowControl/>
              <w:spacing w:line="240" w:lineRule="exact"/>
              <w:jc w:val="center"/>
              <w:rPr>
                <w:rFonts w:hint="default" w:ascii="Times New Roman" w:hAnsi="Times New Roman" w:eastAsia="仿宋_GB2312" w:cs="Times New Roman"/>
                <w:color w:val="auto"/>
                <w:kern w:val="0"/>
                <w:sz w:val="18"/>
                <w:szCs w:val="18"/>
                <w:lang w:val="en-US" w:eastAsia="zh-CN"/>
              </w:rPr>
            </w:pPr>
            <w:r>
              <w:rPr>
                <w:rFonts w:ascii="Times New Roman" w:hAnsi="Times New Roman" w:eastAsia="仿宋_GB2312" w:cs="Times New Roman"/>
                <w:color w:val="auto"/>
                <w:kern w:val="0"/>
                <w:sz w:val="18"/>
                <w:szCs w:val="18"/>
              </w:rPr>
              <w:t>江西省</w:t>
            </w:r>
            <w:r>
              <w:rPr>
                <w:rFonts w:hint="eastAsia" w:ascii="Times New Roman" w:hAnsi="Times New Roman" w:eastAsia="仿宋_GB2312" w:cs="Times New Roman"/>
                <w:color w:val="auto"/>
                <w:kern w:val="0"/>
                <w:sz w:val="18"/>
                <w:szCs w:val="18"/>
              </w:rPr>
              <w:t>：</w:t>
            </w:r>
            <w:r>
              <w:rPr>
                <w:rFonts w:hint="eastAsia" w:ascii="Times New Roman" w:hAnsi="Times New Roman" w:eastAsia="仿宋_GB2312" w:cs="Times New Roman"/>
                <w:color w:val="auto"/>
                <w:sz w:val="18"/>
                <w:szCs w:val="18"/>
                <w:lang w:val="en-US" w:eastAsia="zh-CN"/>
              </w:rPr>
              <w:t>2182.29</w:t>
            </w:r>
          </w:p>
        </w:tc>
        <w:tc>
          <w:tcPr>
            <w:tcW w:w="1701"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分省补偿费</w:t>
            </w:r>
            <w:r>
              <w:rPr>
                <w:rFonts w:hint="eastAsia" w:ascii="Times New Roman" w:hAnsi="Times New Roman" w:eastAsia="仿宋_GB2312" w:cs="Times New Roman"/>
                <w:color w:val="auto"/>
                <w:sz w:val="18"/>
                <w:szCs w:val="18"/>
              </w:rPr>
              <w:t>（万元）</w:t>
            </w:r>
          </w:p>
        </w:tc>
        <w:tc>
          <w:tcPr>
            <w:tcW w:w="3441" w:type="dxa"/>
            <w:gridSpan w:val="6"/>
            <w:vAlign w:val="center"/>
          </w:tcPr>
          <w:p>
            <w:pPr>
              <w:snapToGrid w:val="0"/>
              <w:spacing w:line="240" w:lineRule="exact"/>
              <w:jc w:val="center"/>
              <w:rPr>
                <w:rFonts w:ascii="Times New Roman" w:hAnsi="Times New Roman" w:eastAsia="仿宋_GB2312" w:cs="Times New Roman"/>
                <w:color w:val="auto"/>
                <w:spacing w:val="-4"/>
                <w:sz w:val="18"/>
                <w:szCs w:val="18"/>
              </w:rPr>
            </w:pPr>
            <w:r>
              <w:rPr>
                <w:rFonts w:ascii="Times New Roman" w:hAnsi="Times New Roman" w:eastAsia="仿宋_GB2312" w:cs="Times New Roman"/>
                <w:color w:val="auto"/>
                <w:spacing w:val="-4"/>
                <w:sz w:val="18"/>
                <w:szCs w:val="18"/>
              </w:rPr>
              <w:t>江西省</w:t>
            </w:r>
            <w:r>
              <w:rPr>
                <w:rFonts w:hint="eastAsia" w:ascii="Times New Roman" w:hAnsi="Times New Roman" w:eastAsia="仿宋_GB2312" w:cs="Times New Roman"/>
                <w:color w:val="auto"/>
                <w:spacing w:val="-4"/>
                <w:sz w:val="18"/>
                <w:szCs w:val="18"/>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1918" w:type="dxa"/>
            <w:gridSpan w:val="4"/>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方案编制单位</w:t>
            </w:r>
          </w:p>
        </w:tc>
        <w:tc>
          <w:tcPr>
            <w:tcW w:w="3402" w:type="dxa"/>
            <w:gridSpan w:val="3"/>
            <w:vAlign w:val="center"/>
          </w:tcPr>
          <w:p>
            <w:pPr>
              <w:widowControl/>
              <w:spacing w:line="240" w:lineRule="exact"/>
              <w:jc w:val="center"/>
              <w:rPr>
                <w:rFonts w:ascii="Times New Roman" w:hAnsi="Times New Roman" w:eastAsia="仿宋_GB2312" w:cs="Times New Roman"/>
                <w:color w:val="auto"/>
                <w:kern w:val="0"/>
                <w:sz w:val="18"/>
                <w:szCs w:val="18"/>
              </w:rPr>
            </w:pPr>
            <w:r>
              <w:rPr>
                <w:rFonts w:ascii="Times New Roman" w:hAnsi="Times New Roman" w:eastAsia="仿宋_GB2312" w:cs="Times New Roman"/>
                <w:color w:val="auto"/>
                <w:kern w:val="0"/>
                <w:sz w:val="18"/>
                <w:szCs w:val="18"/>
              </w:rPr>
              <w:t>江西锦恒水保环境技术咨询有限公司</w:t>
            </w:r>
          </w:p>
        </w:tc>
        <w:tc>
          <w:tcPr>
            <w:tcW w:w="1701"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建设单位</w:t>
            </w:r>
          </w:p>
        </w:tc>
        <w:tc>
          <w:tcPr>
            <w:tcW w:w="3441" w:type="dxa"/>
            <w:gridSpan w:val="6"/>
            <w:vAlign w:val="center"/>
          </w:tcPr>
          <w:p>
            <w:pPr>
              <w:snapToGrid w:val="0"/>
              <w:spacing w:line="240" w:lineRule="exact"/>
              <w:jc w:val="center"/>
              <w:rPr>
                <w:rFonts w:ascii="Times New Roman" w:hAnsi="Times New Roman" w:eastAsia="仿宋_GB2312" w:cs="Times New Roman"/>
                <w:color w:val="auto"/>
                <w:sz w:val="18"/>
                <w:szCs w:val="18"/>
                <w:highlight w:val="yellow"/>
              </w:rPr>
            </w:pPr>
            <w:r>
              <w:rPr>
                <w:rFonts w:hint="eastAsia" w:ascii="Times New Roman" w:hAnsi="Times New Roman" w:eastAsia="仿宋_GB2312" w:cs="Times New Roman"/>
                <w:color w:val="auto"/>
                <w:spacing w:val="-4"/>
                <w:sz w:val="18"/>
                <w:szCs w:val="18"/>
              </w:rPr>
              <w:t>江西青山湖高新技术产业园区管理委员会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1918" w:type="dxa"/>
            <w:gridSpan w:val="4"/>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法定代表人</w:t>
            </w:r>
          </w:p>
        </w:tc>
        <w:tc>
          <w:tcPr>
            <w:tcW w:w="3402" w:type="dxa"/>
            <w:gridSpan w:val="3"/>
            <w:vAlign w:val="center"/>
          </w:tcPr>
          <w:p>
            <w:pPr>
              <w:widowControl/>
              <w:snapToGrid w:val="0"/>
              <w:spacing w:line="240" w:lineRule="atLeast"/>
              <w:jc w:val="center"/>
              <w:rPr>
                <w:rFonts w:ascii="Times New Roman" w:hAnsi="Times New Roman" w:cs="Times New Roman"/>
                <w:color w:val="auto"/>
                <w:kern w:val="0"/>
                <w:sz w:val="18"/>
                <w:szCs w:val="18"/>
              </w:rPr>
            </w:pPr>
            <w:r>
              <w:rPr>
                <w:rFonts w:ascii="Times New Roman" w:hAnsi="Times New Roman" w:eastAsia="仿宋_GB2312" w:cs="Times New Roman"/>
                <w:color w:val="auto"/>
                <w:kern w:val="0"/>
                <w:sz w:val="18"/>
                <w:szCs w:val="18"/>
              </w:rPr>
              <w:t>王文</w:t>
            </w:r>
            <w:r>
              <w:rPr>
                <w:rFonts w:ascii="Times New Roman" w:hAnsi="Times New Roman" w:cs="Times New Roman"/>
                <w:color w:val="auto"/>
                <w:kern w:val="0"/>
                <w:sz w:val="18"/>
                <w:szCs w:val="18"/>
              </w:rPr>
              <w:t>玏</w:t>
            </w:r>
          </w:p>
        </w:tc>
        <w:tc>
          <w:tcPr>
            <w:tcW w:w="1701"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法定代表人</w:t>
            </w:r>
          </w:p>
        </w:tc>
        <w:tc>
          <w:tcPr>
            <w:tcW w:w="3441" w:type="dxa"/>
            <w:gridSpan w:val="6"/>
            <w:vAlign w:val="center"/>
          </w:tcPr>
          <w:p>
            <w:pPr>
              <w:pStyle w:val="174"/>
              <w:spacing w:line="240" w:lineRule="exact"/>
              <w:ind w:firstLine="163" w:firstLineChars="91"/>
              <w:rPr>
                <w:rFonts w:ascii="Times New Roman" w:hAnsi="Times New Roman" w:eastAsia="仿宋_GB2312" w:cs="Times New Roman"/>
                <w:b w:val="0"/>
                <w:bCs w:val="0"/>
                <w:color w:val="auto"/>
                <w:sz w:val="18"/>
                <w:szCs w:val="18"/>
                <w:highlight w:val="yellow"/>
              </w:rPr>
            </w:pPr>
            <w:r>
              <w:rPr>
                <w:rFonts w:hint="eastAsia" w:ascii="Times New Roman" w:hAnsi="Times New Roman" w:eastAsia="仿宋_GB2312" w:cs="Times New Roman"/>
                <w:b w:val="0"/>
                <w:bCs w:val="0"/>
                <w:color w:val="auto"/>
                <w:sz w:val="18"/>
                <w:szCs w:val="18"/>
              </w:rPr>
              <w:t>王祥源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1918" w:type="dxa"/>
            <w:gridSpan w:val="4"/>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地址</w:t>
            </w:r>
          </w:p>
        </w:tc>
        <w:tc>
          <w:tcPr>
            <w:tcW w:w="3402" w:type="dxa"/>
            <w:gridSpan w:val="3"/>
            <w:vAlign w:val="center"/>
          </w:tcPr>
          <w:p>
            <w:pPr>
              <w:widowControl/>
              <w:snapToGrid w:val="0"/>
              <w:spacing w:line="240" w:lineRule="atLeast"/>
              <w:jc w:val="center"/>
              <w:rPr>
                <w:rFonts w:ascii="Times New Roman" w:hAnsi="Times New Roman" w:eastAsia="仿宋_GB2312" w:cs="Times New Roman"/>
                <w:color w:val="auto"/>
                <w:kern w:val="0"/>
                <w:sz w:val="18"/>
                <w:szCs w:val="18"/>
              </w:rPr>
            </w:pPr>
            <w:r>
              <w:rPr>
                <w:rFonts w:ascii="Times New Roman" w:hAnsi="Times New Roman" w:eastAsia="仿宋_GB2312" w:cs="Times New Roman"/>
                <w:color w:val="auto"/>
                <w:kern w:val="0"/>
                <w:sz w:val="18"/>
                <w:szCs w:val="18"/>
              </w:rPr>
              <w:t>江西省南昌市东湖区贤士湖管理处长巷村村民委员会朱家湖农民公寓6栋3单元602室</w:t>
            </w:r>
          </w:p>
        </w:tc>
        <w:tc>
          <w:tcPr>
            <w:tcW w:w="1701"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地址</w:t>
            </w:r>
          </w:p>
        </w:tc>
        <w:tc>
          <w:tcPr>
            <w:tcW w:w="3441" w:type="dxa"/>
            <w:gridSpan w:val="6"/>
            <w:vAlign w:val="center"/>
          </w:tcPr>
          <w:p>
            <w:pPr>
              <w:pStyle w:val="174"/>
              <w:spacing w:line="240" w:lineRule="exact"/>
              <w:ind w:firstLine="163" w:firstLineChars="91"/>
              <w:rPr>
                <w:rFonts w:ascii="Times New Roman" w:hAnsi="Times New Roman" w:eastAsia="仿宋_GB2312" w:cs="Times New Roman"/>
                <w:b w:val="0"/>
                <w:bCs w:val="0"/>
                <w:color w:val="auto"/>
                <w:sz w:val="18"/>
                <w:szCs w:val="18"/>
                <w:highlight w:val="yellow"/>
              </w:rPr>
            </w:pPr>
            <w:r>
              <w:rPr>
                <w:rFonts w:hint="eastAsia" w:ascii="Times New Roman" w:hAnsi="Times New Roman" w:eastAsia="仿宋_GB2312" w:cs="Times New Roman"/>
                <w:b w:val="0"/>
                <w:bCs w:val="0"/>
                <w:color w:val="auto"/>
                <w:sz w:val="18"/>
                <w:szCs w:val="18"/>
              </w:rPr>
              <w:t>南昌青山湖高新园区东升大道566号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1918" w:type="dxa"/>
            <w:gridSpan w:val="4"/>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邮编</w:t>
            </w:r>
          </w:p>
        </w:tc>
        <w:tc>
          <w:tcPr>
            <w:tcW w:w="3402" w:type="dxa"/>
            <w:gridSpan w:val="3"/>
            <w:vAlign w:val="center"/>
          </w:tcPr>
          <w:p>
            <w:pPr>
              <w:snapToGrid w:val="0"/>
              <w:spacing w:line="240" w:lineRule="atLeast"/>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330008</w:t>
            </w:r>
          </w:p>
        </w:tc>
        <w:tc>
          <w:tcPr>
            <w:tcW w:w="1701"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邮编</w:t>
            </w:r>
          </w:p>
        </w:tc>
        <w:tc>
          <w:tcPr>
            <w:tcW w:w="3441" w:type="dxa"/>
            <w:gridSpan w:val="6"/>
            <w:vAlign w:val="center"/>
          </w:tcPr>
          <w:p>
            <w:pPr>
              <w:pStyle w:val="174"/>
              <w:spacing w:line="240" w:lineRule="exact"/>
              <w:ind w:firstLine="163" w:firstLineChars="91"/>
              <w:rPr>
                <w:rFonts w:ascii="Times New Roman" w:hAnsi="Times New Roman" w:eastAsia="仿宋_GB2312" w:cs="Times New Roman"/>
                <w:b w:val="0"/>
                <w:bCs w:val="0"/>
                <w:color w:val="auto"/>
                <w:sz w:val="18"/>
                <w:szCs w:val="18"/>
                <w:highlight w:val="yellow"/>
              </w:rPr>
            </w:pPr>
            <w:r>
              <w:rPr>
                <w:rFonts w:ascii="Times New Roman" w:hAnsi="Times New Roman" w:eastAsia="仿宋_GB2312" w:cs="Times New Roman"/>
                <w:b w:val="0"/>
                <w:bCs w:val="0"/>
                <w:color w:val="auto"/>
                <w:sz w:val="18"/>
                <w:szCs w:val="18"/>
              </w:rPr>
              <w:t>3300</w:t>
            </w:r>
            <w:r>
              <w:rPr>
                <w:rFonts w:hint="eastAsia" w:ascii="Times New Roman" w:hAnsi="Times New Roman" w:eastAsia="仿宋_GB2312" w:cs="Times New Roman"/>
                <w:b w:val="0"/>
                <w:bCs w:val="0"/>
                <w:color w:val="auto"/>
                <w:sz w:val="18"/>
                <w:szCs w:val="18"/>
              </w:rPr>
              <w:t>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1918" w:type="dxa"/>
            <w:gridSpan w:val="4"/>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联系人及电话</w:t>
            </w:r>
          </w:p>
        </w:tc>
        <w:tc>
          <w:tcPr>
            <w:tcW w:w="3402" w:type="dxa"/>
            <w:gridSpan w:val="3"/>
            <w:vAlign w:val="center"/>
          </w:tcPr>
          <w:p>
            <w:pPr>
              <w:snapToGrid w:val="0"/>
              <w:spacing w:line="240" w:lineRule="atLeast"/>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范锟/15279110781</w:t>
            </w:r>
          </w:p>
        </w:tc>
        <w:tc>
          <w:tcPr>
            <w:tcW w:w="1701"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联系人及电话</w:t>
            </w:r>
          </w:p>
        </w:tc>
        <w:tc>
          <w:tcPr>
            <w:tcW w:w="3441" w:type="dxa"/>
            <w:gridSpan w:val="6"/>
            <w:vAlign w:val="center"/>
          </w:tcPr>
          <w:p>
            <w:pPr>
              <w:pStyle w:val="174"/>
              <w:spacing w:line="240" w:lineRule="exact"/>
              <w:ind w:firstLine="163" w:firstLineChars="91"/>
              <w:rPr>
                <w:rFonts w:ascii="Times New Roman" w:hAnsi="Times New Roman" w:eastAsia="仿宋_GB2312" w:cs="Times New Roman"/>
                <w:b w:val="0"/>
                <w:bCs w:val="0"/>
                <w:color w:val="auto"/>
                <w:sz w:val="18"/>
                <w:szCs w:val="18"/>
              </w:rPr>
            </w:pPr>
            <w:r>
              <w:rPr>
                <w:rFonts w:hint="eastAsia" w:ascii="Times New Roman" w:hAnsi="Times New Roman" w:eastAsia="仿宋_GB2312" w:cs="Times New Roman"/>
                <w:b w:val="0"/>
                <w:bCs w:val="0"/>
                <w:color w:val="auto"/>
                <w:sz w:val="18"/>
                <w:szCs w:val="18"/>
              </w:rPr>
              <w:t>余亮亮</w:t>
            </w:r>
            <w:r>
              <w:rPr>
                <w:rFonts w:ascii="Times New Roman" w:hAnsi="Times New Roman" w:eastAsia="仿宋_GB2312" w:cs="Times New Roman"/>
                <w:b w:val="0"/>
                <w:bCs w:val="0"/>
                <w:color w:val="auto"/>
                <w:sz w:val="18"/>
                <w:szCs w:val="18"/>
              </w:rPr>
              <w:t>/</w:t>
            </w:r>
            <w:r>
              <w:rPr>
                <w:rFonts w:hint="eastAsia" w:ascii="Times New Roman" w:hAnsi="Times New Roman" w:eastAsia="仿宋_GB2312" w:cs="Times New Roman"/>
                <w:b w:val="0"/>
                <w:bCs w:val="0"/>
                <w:color w:val="auto"/>
                <w:sz w:val="18"/>
                <w:szCs w:val="18"/>
              </w:rPr>
              <w:t>15083529199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1918" w:type="dxa"/>
            <w:gridSpan w:val="4"/>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传真</w:t>
            </w:r>
          </w:p>
        </w:tc>
        <w:tc>
          <w:tcPr>
            <w:tcW w:w="3402" w:type="dxa"/>
            <w:gridSpan w:val="3"/>
            <w:vAlign w:val="center"/>
          </w:tcPr>
          <w:p>
            <w:pPr>
              <w:snapToGrid w:val="0"/>
              <w:spacing w:line="240" w:lineRule="atLeast"/>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0791-88697074</w:t>
            </w:r>
          </w:p>
        </w:tc>
        <w:tc>
          <w:tcPr>
            <w:tcW w:w="1701"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传真</w:t>
            </w:r>
          </w:p>
        </w:tc>
        <w:tc>
          <w:tcPr>
            <w:tcW w:w="3441" w:type="dxa"/>
            <w:gridSpan w:val="6"/>
            <w:vAlign w:val="center"/>
          </w:tcPr>
          <w:p>
            <w:pPr>
              <w:pStyle w:val="174"/>
              <w:spacing w:line="240" w:lineRule="exact"/>
              <w:ind w:firstLine="163" w:firstLineChars="91"/>
              <w:rPr>
                <w:rFonts w:ascii="Times New Roman" w:hAnsi="Times New Roman" w:eastAsia="仿宋_GB2312" w:cs="Times New Roman"/>
                <w:b w:val="0"/>
                <w:bCs w:val="0"/>
                <w:color w:val="auto"/>
                <w:sz w:val="18"/>
                <w:szCs w:val="18"/>
              </w:rPr>
            </w:pPr>
            <w:r>
              <w:rPr>
                <w:rFonts w:ascii="Times New Roman" w:hAnsi="Times New Roman" w:eastAsia="仿宋_GB2312" w:cs="Times New Roman"/>
                <w:b w:val="0"/>
                <w:bCs w:val="0"/>
                <w:color w:val="auto"/>
                <w:sz w:val="18"/>
                <w:szCs w:val="18"/>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1" w:hRule="atLeast"/>
          <w:jc w:val="center"/>
        </w:trPr>
        <w:tc>
          <w:tcPr>
            <w:tcW w:w="1918" w:type="dxa"/>
            <w:gridSpan w:val="4"/>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电子邮箱</w:t>
            </w:r>
          </w:p>
        </w:tc>
        <w:tc>
          <w:tcPr>
            <w:tcW w:w="3402" w:type="dxa"/>
            <w:gridSpan w:val="3"/>
            <w:vAlign w:val="center"/>
          </w:tcPr>
          <w:p>
            <w:pPr>
              <w:snapToGrid w:val="0"/>
              <w:spacing w:line="240" w:lineRule="atLeast"/>
              <w:jc w:val="center"/>
              <w:rPr>
                <w:rFonts w:ascii="Times New Roman" w:hAnsi="Times New Roman" w:eastAsia="仿宋_GB2312" w:cs="Times New Roman"/>
                <w:color w:val="auto"/>
                <w:sz w:val="18"/>
                <w:szCs w:val="18"/>
              </w:rPr>
            </w:pPr>
            <w:r>
              <w:rPr>
                <w:color w:val="auto"/>
              </w:rPr>
              <w:fldChar w:fldCharType="begin"/>
            </w:r>
            <w:r>
              <w:rPr>
                <w:color w:val="auto"/>
              </w:rPr>
              <w:instrText xml:space="preserve"> HYPERLINK "mailto:Qinshui@qq.com" </w:instrText>
            </w:r>
            <w:r>
              <w:rPr>
                <w:color w:val="auto"/>
              </w:rPr>
              <w:fldChar w:fldCharType="separate"/>
            </w:r>
            <w:r>
              <w:rPr>
                <w:rFonts w:ascii="Times New Roman" w:hAnsi="Times New Roman" w:eastAsia="仿宋_GB2312" w:cs="Times New Roman"/>
                <w:color w:val="auto"/>
                <w:sz w:val="18"/>
                <w:szCs w:val="18"/>
              </w:rPr>
              <w:t>906750005</w:t>
            </w:r>
            <w:r>
              <w:rPr>
                <w:rStyle w:val="61"/>
                <w:rFonts w:eastAsia="仿宋_GB2312"/>
                <w:color w:val="auto"/>
              </w:rPr>
              <w:t>@qq.com</w:t>
            </w:r>
            <w:r>
              <w:rPr>
                <w:rStyle w:val="61"/>
                <w:rFonts w:eastAsia="仿宋_GB2312"/>
                <w:color w:val="auto"/>
              </w:rPr>
              <w:fldChar w:fldCharType="end"/>
            </w:r>
          </w:p>
        </w:tc>
        <w:tc>
          <w:tcPr>
            <w:tcW w:w="1701" w:type="dxa"/>
            <w:gridSpan w:val="5"/>
            <w:vAlign w:val="center"/>
          </w:tcPr>
          <w:p>
            <w:pPr>
              <w:adjustRightInd w:val="0"/>
              <w:snapToGrid w:val="0"/>
              <w:jc w:val="center"/>
              <w:rPr>
                <w:rFonts w:ascii="Times New Roman" w:hAnsi="Times New Roman" w:eastAsia="仿宋_GB2312" w:cs="Times New Roman"/>
                <w:color w:val="auto"/>
                <w:sz w:val="18"/>
                <w:szCs w:val="18"/>
              </w:rPr>
            </w:pPr>
            <w:r>
              <w:rPr>
                <w:rFonts w:ascii="Times New Roman" w:hAnsi="Times New Roman" w:eastAsia="仿宋_GB2312" w:cs="Times New Roman"/>
                <w:color w:val="auto"/>
                <w:sz w:val="18"/>
                <w:szCs w:val="18"/>
              </w:rPr>
              <w:t>电子信箱</w:t>
            </w:r>
          </w:p>
        </w:tc>
        <w:tc>
          <w:tcPr>
            <w:tcW w:w="3441" w:type="dxa"/>
            <w:gridSpan w:val="6"/>
            <w:vAlign w:val="center"/>
          </w:tcPr>
          <w:p>
            <w:pPr>
              <w:pStyle w:val="174"/>
              <w:spacing w:line="240" w:lineRule="exact"/>
              <w:ind w:firstLine="163" w:firstLineChars="91"/>
              <w:rPr>
                <w:rFonts w:ascii="Times New Roman" w:hAnsi="Times New Roman" w:eastAsia="仿宋_GB2312" w:cs="Times New Roman"/>
                <w:b w:val="0"/>
                <w:bCs w:val="0"/>
                <w:color w:val="auto"/>
                <w:sz w:val="18"/>
                <w:szCs w:val="18"/>
              </w:rPr>
            </w:pPr>
            <w:r>
              <w:rPr>
                <w:rFonts w:ascii="Times New Roman" w:hAnsi="Times New Roman" w:eastAsia="仿宋_GB2312" w:cs="Times New Roman"/>
                <w:b w:val="0"/>
                <w:bCs w:val="0"/>
                <w:color w:val="auto"/>
                <w:sz w:val="18"/>
                <w:szCs w:val="18"/>
              </w:rPr>
              <w:t>/</w:t>
            </w:r>
          </w:p>
        </w:tc>
      </w:tr>
    </w:tbl>
    <w:p>
      <w:pPr>
        <w:rPr>
          <w:rFonts w:ascii="Times New Roman" w:hAnsi="Times New Roman" w:cs="Times New Roman"/>
          <w:color w:val="auto"/>
        </w:rPr>
        <w:sectPr>
          <w:headerReference r:id="rId10" w:type="default"/>
          <w:footerReference r:id="rId11"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720" w:num="1"/>
          <w:docGrid w:type="lines" w:linePitch="332" w:charSpace="0"/>
        </w:sectPr>
      </w:pPr>
    </w:p>
    <w:p>
      <w:pPr>
        <w:pStyle w:val="4"/>
        <w:tabs>
          <w:tab w:val="left" w:pos="6398"/>
        </w:tabs>
        <w:jc w:val="center"/>
        <w:rPr>
          <w:rFonts w:eastAsia="仿宋_GB2312"/>
          <w:color w:val="auto"/>
          <w:szCs w:val="36"/>
        </w:rPr>
      </w:pPr>
      <w:bookmarkStart w:id="124" w:name="_Toc514431443"/>
      <w:bookmarkStart w:id="125" w:name="_Toc514432587"/>
      <w:bookmarkStart w:id="126" w:name="_Toc8401"/>
      <w:bookmarkStart w:id="127" w:name="_Toc514430833"/>
      <w:bookmarkStart w:id="128" w:name="_Toc499039871"/>
      <w:bookmarkStart w:id="129" w:name="_Toc18050"/>
      <w:bookmarkStart w:id="130" w:name="_Toc753"/>
      <w:bookmarkStart w:id="131" w:name="_Toc4851"/>
      <w:bookmarkStart w:id="132" w:name="_Toc1910"/>
      <w:bookmarkStart w:id="133" w:name="_Toc451799209"/>
      <w:bookmarkStart w:id="134" w:name="_Toc20871"/>
      <w:bookmarkStart w:id="135" w:name="_Toc439243906"/>
      <w:bookmarkStart w:id="136" w:name="_Toc18322"/>
      <w:bookmarkStart w:id="137" w:name="_Toc10377"/>
      <w:r>
        <w:rPr>
          <w:color w:val="auto"/>
          <w:szCs w:val="36"/>
        </w:rPr>
        <w:t xml:space="preserve">2 </w:t>
      </w:r>
      <w:r>
        <w:rPr>
          <w:rFonts w:eastAsia="仿宋_GB2312"/>
          <w:color w:val="auto"/>
          <w:szCs w:val="36"/>
        </w:rPr>
        <w:t>项目概况</w:t>
      </w:r>
      <w:bookmarkEnd w:id="124"/>
      <w:bookmarkEnd w:id="125"/>
      <w:bookmarkEnd w:id="126"/>
      <w:bookmarkEnd w:id="127"/>
    </w:p>
    <w:p>
      <w:pPr>
        <w:pStyle w:val="5"/>
        <w:rPr>
          <w:rFonts w:eastAsia="仿宋_GB2312"/>
          <w:color w:val="auto"/>
        </w:rPr>
      </w:pPr>
      <w:bookmarkStart w:id="138" w:name="_Toc514432588"/>
      <w:bookmarkStart w:id="139" w:name="_Toc514431444"/>
      <w:bookmarkStart w:id="140" w:name="_Toc439243897"/>
      <w:bookmarkStart w:id="141" w:name="_Toc9869"/>
      <w:bookmarkStart w:id="142" w:name="_Toc499039862"/>
      <w:bookmarkStart w:id="143" w:name="_Toc11924"/>
      <w:bookmarkStart w:id="144" w:name="_Toc11467"/>
      <w:bookmarkStart w:id="145" w:name="_Toc451799200"/>
      <w:bookmarkStart w:id="146" w:name="_Toc27630"/>
      <w:bookmarkStart w:id="147" w:name="_Toc25601"/>
      <w:bookmarkStart w:id="148" w:name="_Toc9143"/>
      <w:bookmarkStart w:id="149" w:name="_Toc514430834"/>
      <w:bookmarkStart w:id="150" w:name="_Toc22027"/>
      <w:bookmarkStart w:id="151" w:name="_Toc16245"/>
      <w:r>
        <w:rPr>
          <w:rFonts w:eastAsia="仿宋_GB2312"/>
          <w:color w:val="auto"/>
        </w:rPr>
        <w:t xml:space="preserve">2.1 </w:t>
      </w:r>
      <w:bookmarkEnd w:id="138"/>
      <w:bookmarkEnd w:id="139"/>
      <w:bookmarkEnd w:id="140"/>
      <w:bookmarkEnd w:id="141"/>
      <w:bookmarkEnd w:id="142"/>
      <w:bookmarkEnd w:id="143"/>
      <w:bookmarkEnd w:id="144"/>
      <w:bookmarkEnd w:id="145"/>
      <w:bookmarkEnd w:id="146"/>
      <w:bookmarkEnd w:id="147"/>
      <w:bookmarkEnd w:id="148"/>
      <w:bookmarkEnd w:id="149"/>
      <w:bookmarkEnd w:id="150"/>
      <w:r>
        <w:rPr>
          <w:rFonts w:hint="eastAsia" w:eastAsia="仿宋_GB2312"/>
          <w:color w:val="auto"/>
        </w:rPr>
        <w:t>区域</w:t>
      </w:r>
      <w:r>
        <w:rPr>
          <w:rFonts w:eastAsia="仿宋_GB2312"/>
          <w:color w:val="auto"/>
        </w:rPr>
        <w:t>组成及工程布置</w:t>
      </w:r>
      <w:bookmarkEnd w:id="151"/>
    </w:p>
    <w:p>
      <w:pPr>
        <w:pStyle w:val="6"/>
        <w:spacing w:line="360" w:lineRule="auto"/>
        <w:rPr>
          <w:rFonts w:eastAsia="仿宋_GB2312"/>
          <w:color w:val="auto"/>
          <w:szCs w:val="30"/>
        </w:rPr>
      </w:pPr>
      <w:bookmarkStart w:id="152" w:name="_Toc11526"/>
      <w:r>
        <w:rPr>
          <w:color w:val="auto"/>
          <w:szCs w:val="30"/>
        </w:rPr>
        <w:t>2.1.1</w:t>
      </w:r>
      <w:r>
        <w:rPr>
          <w:rFonts w:eastAsia="仿宋_GB2312"/>
          <w:color w:val="auto"/>
          <w:szCs w:val="30"/>
        </w:rPr>
        <w:t>区域基本情况</w:t>
      </w:r>
    </w:p>
    <w:p>
      <w:pPr>
        <w:widowControl/>
        <w:snapToGrid w:val="0"/>
        <w:spacing w:line="360" w:lineRule="auto"/>
        <w:ind w:firstLine="480" w:firstLineChars="200"/>
        <w:jc w:val="left"/>
        <w:rPr>
          <w:rFonts w:ascii="Times New Roman" w:hAnsi="Times New Roman" w:eastAsia="仿宋_GB2312" w:cs="Times New Roman"/>
          <w:color w:val="auto"/>
          <w:szCs w:val="24"/>
          <w:lang w:val="zh-CN"/>
        </w:rPr>
      </w:pPr>
      <w:r>
        <w:rPr>
          <w:rFonts w:ascii="Times New Roman" w:hAnsi="Times New Roman" w:eastAsia="仿宋_GB2312" w:cs="Times New Roman"/>
          <w:color w:val="auto"/>
          <w:szCs w:val="24"/>
          <w:lang w:val="zh-CN"/>
        </w:rPr>
        <w:t>项目名称：青山湖高新技术产业园部分区域</w:t>
      </w:r>
    </w:p>
    <w:p>
      <w:pPr>
        <w:widowControl/>
        <w:snapToGrid w:val="0"/>
        <w:spacing w:line="360" w:lineRule="auto"/>
        <w:ind w:firstLine="480" w:firstLineChars="200"/>
        <w:jc w:val="left"/>
        <w:rPr>
          <w:rFonts w:ascii="Times New Roman" w:hAnsi="Times New Roman" w:eastAsia="仿宋_GB2312" w:cs="Times New Roman"/>
          <w:color w:val="auto"/>
          <w:szCs w:val="24"/>
          <w:lang w:val="zh-CN"/>
        </w:rPr>
      </w:pPr>
      <w:r>
        <w:rPr>
          <w:rFonts w:hint="eastAsia" w:ascii="Times New Roman" w:hAnsi="Times New Roman" w:eastAsia="仿宋_GB2312" w:cs="Times New Roman"/>
          <w:color w:val="auto"/>
          <w:szCs w:val="24"/>
          <w:lang w:val="zh-CN"/>
        </w:rPr>
        <w:t>建设单位：江西青山湖高新技术产业园管理委员会</w:t>
      </w:r>
    </w:p>
    <w:p>
      <w:pPr>
        <w:widowControl/>
        <w:snapToGrid w:val="0"/>
        <w:spacing w:line="360" w:lineRule="auto"/>
        <w:ind w:firstLine="480" w:firstLineChars="200"/>
        <w:jc w:val="left"/>
        <w:rPr>
          <w:rFonts w:ascii="Times New Roman" w:hAnsi="Times New Roman" w:eastAsia="仿宋_GB2312" w:cs="Times New Roman"/>
          <w:color w:val="auto"/>
          <w:szCs w:val="24"/>
          <w:lang w:val="zh-CN"/>
        </w:rPr>
      </w:pPr>
      <w:r>
        <w:rPr>
          <w:rFonts w:hint="eastAsia" w:ascii="Times New Roman" w:hAnsi="Times New Roman" w:eastAsia="仿宋_GB2312" w:cs="Times New Roman"/>
          <w:color w:val="auto"/>
          <w:szCs w:val="24"/>
          <w:lang w:val="zh-CN"/>
        </w:rPr>
        <w:t>所属流域：长江流域</w:t>
      </w:r>
    </w:p>
    <w:p>
      <w:pPr>
        <w:widowControl/>
        <w:snapToGrid w:val="0"/>
        <w:spacing w:line="360" w:lineRule="auto"/>
        <w:ind w:firstLine="480" w:firstLineChars="200"/>
        <w:jc w:val="left"/>
        <w:rPr>
          <w:rFonts w:ascii="Times New Roman" w:hAnsi="Times New Roman" w:eastAsia="仿宋_GB2312" w:cs="Times New Roman"/>
          <w:color w:val="auto"/>
          <w:szCs w:val="24"/>
          <w:lang w:val="zh-CN"/>
        </w:rPr>
      </w:pPr>
      <w:r>
        <w:rPr>
          <w:rFonts w:ascii="Times New Roman" w:hAnsi="Times New Roman" w:eastAsia="仿宋_GB2312" w:cs="Times New Roman"/>
          <w:color w:val="auto"/>
          <w:szCs w:val="24"/>
          <w:lang w:val="zh-CN"/>
        </w:rPr>
        <w:t>地理位置及规划四至范围：</w:t>
      </w:r>
      <w:r>
        <w:rPr>
          <w:rFonts w:hint="eastAsia" w:ascii="Times New Roman" w:hAnsi="Times New Roman" w:eastAsia="仿宋_GB2312" w:cs="Times New Roman"/>
          <w:color w:val="auto"/>
          <w:szCs w:val="24"/>
          <w:lang w:val="en-US" w:eastAsia="zh-CN"/>
        </w:rPr>
        <w:t>本项目</w:t>
      </w:r>
      <w:r>
        <w:rPr>
          <w:rFonts w:ascii="Times New Roman" w:hAnsi="Times New Roman" w:eastAsia="仿宋_GB2312" w:cs="Times New Roman"/>
          <w:color w:val="auto"/>
          <w:szCs w:val="24"/>
          <w:lang w:val="zh-CN"/>
        </w:rPr>
        <w:t>位于</w:t>
      </w:r>
      <w:r>
        <w:rPr>
          <w:rFonts w:hint="eastAsia" w:ascii="Times New Roman" w:hAnsi="Times New Roman" w:eastAsia="仿宋_GB2312" w:cs="Times New Roman"/>
          <w:color w:val="auto"/>
          <w:szCs w:val="24"/>
          <w:lang w:val="zh-CN"/>
        </w:rPr>
        <w:t>南昌市青山湖区罗家镇，规划区域位于西总干渠水系以东、谢佛路以南、南嵩路以西、昌南大道以北。中心地理坐标为</w:t>
      </w:r>
      <w:r>
        <w:rPr>
          <w:rFonts w:ascii="Times New Roman" w:hAnsi="Times New Roman" w:eastAsia="仿宋_GB2312" w:cs="Times New Roman"/>
          <w:color w:val="auto"/>
          <w:szCs w:val="24"/>
          <w:lang w:val="zh-CN"/>
        </w:rPr>
        <w:t>东经115°</w:t>
      </w:r>
      <w:r>
        <w:rPr>
          <w:rFonts w:hint="eastAsia" w:ascii="Times New Roman" w:hAnsi="Times New Roman" w:eastAsia="仿宋_GB2312" w:cs="Times New Roman"/>
          <w:color w:val="auto"/>
          <w:szCs w:val="24"/>
          <w:lang w:val="zh-CN"/>
        </w:rPr>
        <w:t>59</w:t>
      </w:r>
      <w:r>
        <w:rPr>
          <w:rFonts w:ascii="Times New Roman" w:hAnsi="Times New Roman" w:eastAsia="仿宋_GB2312" w:cs="Times New Roman"/>
          <w:color w:val="auto"/>
          <w:szCs w:val="24"/>
          <w:lang w:val="zh-CN"/>
        </w:rPr>
        <w:t>′</w:t>
      </w:r>
      <w:r>
        <w:rPr>
          <w:rFonts w:hint="eastAsia" w:ascii="Times New Roman" w:hAnsi="Times New Roman" w:eastAsia="仿宋_GB2312" w:cs="Times New Roman"/>
          <w:color w:val="auto"/>
          <w:szCs w:val="24"/>
          <w:lang w:val="zh-CN"/>
        </w:rPr>
        <w:t>11</w:t>
      </w:r>
      <w:r>
        <w:rPr>
          <w:rFonts w:ascii="Times New Roman" w:hAnsi="Times New Roman" w:eastAsia="仿宋_GB2312" w:cs="Times New Roman"/>
          <w:color w:val="auto"/>
          <w:szCs w:val="24"/>
          <w:lang w:val="zh-CN"/>
        </w:rPr>
        <w:t>″、北纬28°</w:t>
      </w:r>
      <w:r>
        <w:rPr>
          <w:rFonts w:hint="eastAsia" w:ascii="Times New Roman" w:hAnsi="Times New Roman" w:eastAsia="仿宋_GB2312" w:cs="Times New Roman"/>
          <w:color w:val="auto"/>
          <w:szCs w:val="24"/>
          <w:lang w:val="zh-CN"/>
        </w:rPr>
        <w:t>35</w:t>
      </w:r>
      <w:r>
        <w:rPr>
          <w:rFonts w:ascii="Times New Roman" w:hAnsi="Times New Roman" w:eastAsia="仿宋_GB2312" w:cs="Times New Roman"/>
          <w:color w:val="auto"/>
          <w:szCs w:val="24"/>
          <w:lang w:val="zh-CN"/>
        </w:rPr>
        <w:t>′</w:t>
      </w:r>
      <w:r>
        <w:rPr>
          <w:rFonts w:hint="eastAsia" w:ascii="Times New Roman" w:hAnsi="Times New Roman" w:eastAsia="仿宋_GB2312" w:cs="Times New Roman"/>
          <w:color w:val="auto"/>
          <w:szCs w:val="24"/>
          <w:lang w:val="zh-CN"/>
        </w:rPr>
        <w:t>42</w:t>
      </w:r>
      <w:r>
        <w:rPr>
          <w:rFonts w:ascii="Times New Roman" w:hAnsi="Times New Roman" w:eastAsia="仿宋_GB2312" w:cs="Times New Roman"/>
          <w:color w:val="auto"/>
          <w:szCs w:val="24"/>
          <w:lang w:val="zh-CN"/>
        </w:rPr>
        <w:t>"</w:t>
      </w:r>
      <w:r>
        <w:rPr>
          <w:rFonts w:hint="eastAsia" w:ascii="Times New Roman" w:hAnsi="Times New Roman" w:eastAsia="仿宋_GB2312" w:cs="Times New Roman"/>
          <w:color w:val="auto"/>
          <w:szCs w:val="24"/>
          <w:lang w:val="zh-CN"/>
        </w:rPr>
        <w:t>。</w:t>
      </w:r>
    </w:p>
    <w:p>
      <w:pPr>
        <w:widowControl/>
        <w:snapToGrid w:val="0"/>
        <w:jc w:val="left"/>
        <w:rPr>
          <w:rFonts w:ascii="Times New Roman" w:hAnsi="Times New Roman" w:eastAsia="仿宋_GB2312" w:cs="Times New Roman"/>
          <w:color w:val="auto"/>
          <w:szCs w:val="24"/>
          <w:lang w:val="zh-CN"/>
        </w:rPr>
      </w:pPr>
      <w:r>
        <w:rPr>
          <w:rFonts w:ascii="Times New Roman" w:hAnsi="Times New Roman" w:eastAsia="仿宋_GB2312" w:cs="Times New Roman"/>
          <w:color w:val="auto"/>
          <w:szCs w:val="24"/>
        </w:rPr>
        <w:pict>
          <v:shape id="_x0000_s2050" o:spid="_x0000_s2050" o:spt="202" type="#_x0000_t202" style="position:absolute;left:0pt;margin-left:119.7pt;margin-top:168pt;height:47.9pt;width:28.4pt;z-index:251723776;mso-width-relative:page;mso-height-relative:page;" stroked="f" coordsize="21600,21600">
            <v:path/>
            <v:fill focussize="0,0"/>
            <v:stroke on="f" joinstyle="miter"/>
            <v:imagedata o:title=""/>
            <o:lock v:ext="edit"/>
            <v:textbox style="layout-flow:vertical-ideographic;">
              <w:txbxContent>
                <w:p>
                  <w:pPr>
                    <w:rPr>
                      <w:rFonts w:ascii="黑体" w:hAnsi="黑体" w:eastAsia="黑体"/>
                      <w:sz w:val="18"/>
                      <w:szCs w:val="18"/>
                    </w:rPr>
                  </w:pPr>
                  <w:r>
                    <w:rPr>
                      <w:rFonts w:ascii="黑体" w:hAnsi="黑体" w:eastAsia="黑体"/>
                      <w:sz w:val="18"/>
                      <w:szCs w:val="18"/>
                    </w:rPr>
                    <w:t>西总干渠</w:t>
                  </w:r>
                </w:p>
              </w:txbxContent>
            </v:textbox>
          </v:shape>
        </w:pict>
      </w:r>
      <w:r>
        <w:rPr>
          <w:rFonts w:ascii="Times New Roman" w:hAnsi="Times New Roman" w:eastAsia="仿宋_GB2312" w:cs="Times New Roman"/>
          <w:color w:val="auto"/>
          <w:szCs w:val="24"/>
        </w:rPr>
        <w:drawing>
          <wp:inline distT="0" distB="0" distL="0" distR="0">
            <wp:extent cx="5274310" cy="3550285"/>
            <wp:effectExtent l="19050" t="0" r="254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55"/>
                    <a:srcRect/>
                    <a:stretch>
                      <a:fillRect/>
                    </a:stretch>
                  </pic:blipFill>
                  <pic:spPr>
                    <a:xfrm>
                      <a:off x="0" y="0"/>
                      <a:ext cx="5274310" cy="3550827"/>
                    </a:xfrm>
                    <a:prstGeom prst="rect">
                      <a:avLst/>
                    </a:prstGeom>
                    <a:noFill/>
                    <a:ln w="9525">
                      <a:noFill/>
                      <a:miter lim="800000"/>
                      <a:headEnd/>
                      <a:tailEnd/>
                    </a:ln>
                  </pic:spPr>
                </pic:pic>
              </a:graphicData>
            </a:graphic>
          </wp:inline>
        </w:drawing>
      </w:r>
    </w:p>
    <w:p>
      <w:pPr>
        <w:widowControl/>
        <w:snapToGrid w:val="0"/>
        <w:spacing w:line="360" w:lineRule="auto"/>
        <w:jc w:val="center"/>
        <w:rPr>
          <w:rFonts w:ascii="Times New Roman" w:hAnsi="Times New Roman" w:eastAsia="仿宋_GB2312" w:cs="Times New Roman"/>
          <w:b/>
          <w:color w:val="auto"/>
          <w:szCs w:val="24"/>
          <w:lang w:val="zh-CN"/>
        </w:rPr>
      </w:pPr>
      <w:r>
        <w:rPr>
          <w:rFonts w:hint="eastAsia" w:ascii="Times New Roman" w:hAnsi="Times New Roman" w:eastAsia="仿宋_GB2312" w:cs="Times New Roman"/>
          <w:b/>
          <w:color w:val="auto"/>
          <w:szCs w:val="24"/>
          <w:lang w:val="zh-CN"/>
        </w:rPr>
        <w:t>图2.1-1：项目地理位置及区域范围示意图</w:t>
      </w:r>
    </w:p>
    <w:p>
      <w:pPr>
        <w:widowControl/>
        <w:snapToGrid w:val="0"/>
        <w:spacing w:line="360" w:lineRule="auto"/>
        <w:ind w:firstLine="480" w:firstLineChars="200"/>
        <w:jc w:val="left"/>
        <w:rPr>
          <w:rFonts w:ascii="Times New Roman" w:hAnsi="Times New Roman" w:eastAsia="仿宋_GB2312" w:cs="Times New Roman"/>
          <w:color w:val="auto"/>
          <w:szCs w:val="24"/>
          <w:lang w:val="zh-CN"/>
        </w:rPr>
      </w:pPr>
      <w:r>
        <w:rPr>
          <w:rFonts w:ascii="Times New Roman" w:hAnsi="Times New Roman" w:eastAsia="仿宋_GB2312" w:cs="Times New Roman"/>
          <w:color w:val="auto"/>
          <w:szCs w:val="24"/>
          <w:lang w:val="zh-CN"/>
        </w:rPr>
        <w:t>建设性质：新建建设类</w:t>
      </w:r>
    </w:p>
    <w:p>
      <w:pPr>
        <w:widowControl/>
        <w:snapToGrid w:val="0"/>
        <w:spacing w:line="360" w:lineRule="auto"/>
        <w:ind w:firstLine="480" w:firstLineChars="200"/>
        <w:rPr>
          <w:rFonts w:ascii="Times New Roman" w:hAnsi="Times New Roman" w:eastAsia="仿宋_GB2312" w:cs="Times New Roman"/>
          <w:color w:val="auto"/>
          <w:szCs w:val="24"/>
          <w:lang w:val="zh-CN"/>
        </w:rPr>
      </w:pPr>
      <w:r>
        <w:rPr>
          <w:rFonts w:ascii="Times New Roman" w:hAnsi="Times New Roman" w:eastAsia="仿宋_GB2312" w:cs="Times New Roman"/>
          <w:color w:val="auto"/>
          <w:szCs w:val="24"/>
          <w:lang w:val="zh-CN"/>
        </w:rPr>
        <w:t>建设规模及内容：青山湖高新技术产业园部分区域规划面积</w:t>
      </w:r>
      <w:r>
        <w:rPr>
          <w:rFonts w:hint="eastAsia" w:ascii="Times New Roman" w:hAnsi="Times New Roman" w:eastAsia="仿宋_GB2312" w:cs="Times New Roman"/>
          <w:color w:val="auto"/>
          <w:szCs w:val="24"/>
          <w:lang w:val="zh-CN"/>
        </w:rPr>
        <w:t>100hm</w:t>
      </w:r>
      <w:r>
        <w:rPr>
          <w:rFonts w:hint="eastAsia" w:ascii="Times New Roman" w:hAnsi="Times New Roman" w:eastAsia="仿宋_GB2312" w:cs="Times New Roman"/>
          <w:color w:val="auto"/>
          <w:szCs w:val="24"/>
          <w:vertAlign w:val="superscript"/>
          <w:lang w:val="zh-CN"/>
        </w:rPr>
        <w:t>2</w:t>
      </w:r>
      <w:r>
        <w:rPr>
          <w:rFonts w:hint="eastAsia" w:ascii="Times New Roman" w:hAnsi="Times New Roman" w:eastAsia="仿宋_GB2312" w:cs="Times New Roman"/>
          <w:color w:val="auto"/>
          <w:szCs w:val="24"/>
          <w:lang w:val="zh-CN"/>
        </w:rPr>
        <w:t>，包含公共基础设施区和区域规划功能区；主要建设内容为进行场地内“五通一平”和相关市政配套设施建设，包括场平工程，新建道路，敷设给水、雨水、污水、电力、通信和燃气等管道，公园及防护绿地等配套设施。后续入园建设均不属于本项目建设内容。</w:t>
      </w:r>
    </w:p>
    <w:p>
      <w:pPr>
        <w:adjustRightInd w:val="0"/>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规划</w:t>
      </w:r>
      <w:r>
        <w:rPr>
          <w:rFonts w:ascii="Times New Roman" w:hAnsi="Times New Roman" w:eastAsia="仿宋_GB2312" w:cs="Times New Roman"/>
          <w:color w:val="auto"/>
          <w:szCs w:val="24"/>
        </w:rPr>
        <w:t>工期：</w:t>
      </w:r>
      <w:r>
        <w:rPr>
          <w:rFonts w:hint="eastAsia" w:ascii="Times New Roman" w:hAnsi="Times New Roman" w:eastAsia="仿宋_GB2312" w:cs="Times New Roman"/>
          <w:color w:val="auto"/>
          <w:szCs w:val="24"/>
        </w:rPr>
        <w:t>区域</w:t>
      </w:r>
      <w:r>
        <w:rPr>
          <w:rFonts w:ascii="Times New Roman" w:hAnsi="Times New Roman" w:eastAsia="仿宋_GB2312" w:cs="Times New Roman"/>
          <w:color w:val="auto"/>
          <w:szCs w:val="24"/>
        </w:rPr>
        <w:t>于20</w:t>
      </w:r>
      <w:r>
        <w:rPr>
          <w:rFonts w:hint="eastAsia" w:ascii="Times New Roman" w:hAnsi="Times New Roman" w:eastAsia="仿宋_GB2312" w:cs="Times New Roman"/>
          <w:color w:val="auto"/>
          <w:szCs w:val="24"/>
        </w:rPr>
        <w:t>21</w:t>
      </w:r>
      <w:r>
        <w:rPr>
          <w:rFonts w:ascii="Times New Roman" w:hAnsi="Times New Roman" w:eastAsia="仿宋_GB2312" w:cs="Times New Roman"/>
          <w:color w:val="auto"/>
          <w:szCs w:val="24"/>
        </w:rPr>
        <w:t>年</w:t>
      </w:r>
      <w:r>
        <w:rPr>
          <w:rFonts w:hint="eastAsia" w:ascii="Times New Roman" w:hAnsi="Times New Roman" w:eastAsia="仿宋_GB2312" w:cs="Times New Roman"/>
          <w:color w:val="auto"/>
          <w:szCs w:val="24"/>
        </w:rPr>
        <w:t>1</w:t>
      </w:r>
      <w:r>
        <w:rPr>
          <w:rFonts w:ascii="Times New Roman" w:hAnsi="Times New Roman" w:eastAsia="仿宋_GB2312" w:cs="Times New Roman"/>
          <w:color w:val="auto"/>
          <w:szCs w:val="24"/>
        </w:rPr>
        <w:t>月建设，计划于202</w:t>
      </w:r>
      <w:r>
        <w:rPr>
          <w:rFonts w:hint="eastAsia" w:ascii="Times New Roman" w:hAnsi="Times New Roman" w:eastAsia="仿宋_GB2312" w:cs="Times New Roman"/>
          <w:color w:val="auto"/>
          <w:szCs w:val="24"/>
        </w:rPr>
        <w:t>5</w:t>
      </w:r>
      <w:r>
        <w:rPr>
          <w:rFonts w:ascii="Times New Roman" w:hAnsi="Times New Roman" w:eastAsia="仿宋_GB2312" w:cs="Times New Roman"/>
          <w:color w:val="auto"/>
          <w:szCs w:val="24"/>
        </w:rPr>
        <w:t>年</w:t>
      </w:r>
      <w:r>
        <w:rPr>
          <w:rFonts w:hint="eastAsia" w:ascii="Times New Roman" w:hAnsi="Times New Roman" w:eastAsia="仿宋_GB2312" w:cs="Times New Roman"/>
          <w:color w:val="auto"/>
          <w:szCs w:val="24"/>
        </w:rPr>
        <w:t>12</w:t>
      </w:r>
      <w:r>
        <w:rPr>
          <w:rFonts w:ascii="Times New Roman" w:hAnsi="Times New Roman" w:eastAsia="仿宋_GB2312" w:cs="Times New Roman"/>
          <w:color w:val="auto"/>
          <w:szCs w:val="24"/>
        </w:rPr>
        <w:t>月</w:t>
      </w:r>
      <w:r>
        <w:rPr>
          <w:rFonts w:hint="eastAsia" w:ascii="Times New Roman" w:hAnsi="Times New Roman" w:eastAsia="仿宋_GB2312" w:cs="Times New Roman"/>
          <w:color w:val="auto"/>
          <w:szCs w:val="24"/>
        </w:rPr>
        <w:t>完</w:t>
      </w:r>
      <w:r>
        <w:rPr>
          <w:rFonts w:ascii="Times New Roman" w:hAnsi="Times New Roman" w:eastAsia="仿宋_GB2312" w:cs="Times New Roman"/>
          <w:color w:val="auto"/>
          <w:szCs w:val="24"/>
        </w:rPr>
        <w:t>工，总规划工期</w:t>
      </w:r>
      <w:r>
        <w:rPr>
          <w:rFonts w:hint="eastAsia" w:ascii="Times New Roman" w:hAnsi="Times New Roman" w:eastAsia="仿宋_GB2312" w:cs="Times New Roman"/>
          <w:color w:val="auto"/>
          <w:szCs w:val="24"/>
        </w:rPr>
        <w:t>60</w:t>
      </w:r>
      <w:r>
        <w:rPr>
          <w:rFonts w:ascii="Times New Roman" w:hAnsi="Times New Roman" w:eastAsia="仿宋_GB2312" w:cs="Times New Roman"/>
          <w:color w:val="auto"/>
          <w:szCs w:val="24"/>
        </w:rPr>
        <w:t>个月。</w:t>
      </w:r>
    </w:p>
    <w:p>
      <w:pPr>
        <w:pStyle w:val="6"/>
        <w:spacing w:line="360" w:lineRule="auto"/>
        <w:rPr>
          <w:rFonts w:eastAsia="仿宋_GB2312"/>
          <w:color w:val="auto"/>
          <w:szCs w:val="30"/>
        </w:rPr>
      </w:pPr>
      <w:r>
        <w:rPr>
          <w:color w:val="auto"/>
          <w:szCs w:val="30"/>
        </w:rPr>
        <w:t>2.1.</w:t>
      </w:r>
      <w:r>
        <w:rPr>
          <w:rFonts w:hint="eastAsia"/>
          <w:color w:val="auto"/>
          <w:szCs w:val="30"/>
        </w:rPr>
        <w:t>2</w:t>
      </w:r>
      <w:r>
        <w:rPr>
          <w:rFonts w:hint="eastAsia" w:eastAsia="仿宋_GB2312"/>
          <w:color w:val="auto"/>
          <w:szCs w:val="30"/>
        </w:rPr>
        <w:t>区域</w:t>
      </w:r>
      <w:r>
        <w:rPr>
          <w:rFonts w:eastAsia="仿宋_GB2312"/>
          <w:color w:val="auto"/>
          <w:szCs w:val="30"/>
        </w:rPr>
        <w:t>相关规划概况</w:t>
      </w:r>
    </w:p>
    <w:p>
      <w:pPr>
        <w:adjustRightInd w:val="0"/>
        <w:snapToGrid w:val="0"/>
        <w:spacing w:line="360" w:lineRule="auto"/>
        <w:ind w:firstLine="480" w:firstLineChars="200"/>
        <w:rPr>
          <w:rFonts w:hint="eastAsia" w:ascii="Times New Roman" w:hAnsi="Times New Roman" w:eastAsia="仿宋_GB2312" w:cs="Times New Roman"/>
          <w:color w:val="auto"/>
          <w:szCs w:val="24"/>
        </w:rPr>
      </w:pPr>
      <w:r>
        <w:rPr>
          <w:rFonts w:hint="eastAsia" w:ascii="Times New Roman" w:hAnsi="Times New Roman" w:eastAsia="仿宋_GB2312" w:cs="Times New Roman"/>
          <w:color w:val="auto"/>
          <w:szCs w:val="24"/>
        </w:rPr>
        <w:t>（1）《南昌市城市总体规划（20</w:t>
      </w:r>
      <w:r>
        <w:rPr>
          <w:rFonts w:hint="eastAsia" w:ascii="Times New Roman" w:hAnsi="Times New Roman" w:eastAsia="仿宋_GB2312" w:cs="Times New Roman"/>
          <w:color w:val="auto"/>
          <w:szCs w:val="24"/>
          <w:lang w:val="en-US" w:eastAsia="zh-CN"/>
        </w:rPr>
        <w:t>16</w:t>
      </w:r>
      <w:r>
        <w:rPr>
          <w:rFonts w:hint="eastAsia" w:ascii="Times New Roman" w:hAnsi="Times New Roman" w:eastAsia="仿宋_GB2312" w:cs="Times New Roman"/>
          <w:color w:val="auto"/>
          <w:szCs w:val="24"/>
        </w:rPr>
        <w:t>~20</w:t>
      </w:r>
      <w:r>
        <w:rPr>
          <w:rFonts w:hint="eastAsia" w:ascii="Times New Roman" w:hAnsi="Times New Roman" w:eastAsia="仿宋_GB2312" w:cs="Times New Roman"/>
          <w:color w:val="auto"/>
          <w:szCs w:val="24"/>
          <w:lang w:val="en-US" w:eastAsia="zh-CN"/>
        </w:rPr>
        <w:t>35</w:t>
      </w:r>
      <w:r>
        <w:rPr>
          <w:rFonts w:hint="eastAsia" w:ascii="Times New Roman" w:hAnsi="Times New Roman" w:eastAsia="仿宋_GB2312" w:cs="Times New Roman"/>
          <w:color w:val="auto"/>
          <w:szCs w:val="24"/>
        </w:rPr>
        <w:t>）》</w:t>
      </w:r>
    </w:p>
    <w:p>
      <w:pPr>
        <w:adjustRightInd w:val="0"/>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南昌市是江西省省会，长江中游地区重要的中心城市，国家历史文化名城。南昌市城乡规划、建设和管理的各项工作要以科学发展观为指导，坚持经济、社会、人口、环境和资源相协调的可持续发展战略，按照合理布局、集约发展的原则，推进经济结构调整和发展方式转变，不断增强城市综合实力和可持续发展能力，完善公共服务设施和城市功能，逐步把南昌市建设成为经济繁荣、社会和谐、生态良好、特色鲜明的现代化城市。</w:t>
      </w:r>
    </w:p>
    <w:p>
      <w:pPr>
        <w:adjustRightInd w:val="0"/>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市域城镇等级分为中心城市、次中心城镇、重点建制镇、一般建制镇四级结构。空间结构按照“西进、东拓、南延、北控”的城市空间发展策略，中心城区形成“以赣江为主轴，一江两岸，南北两城，双核拥江，组团式、网络状发展”的总体空间格局。</w:t>
      </w:r>
    </w:p>
    <w:p>
      <w:pPr>
        <w:adjustRightInd w:val="0"/>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青山湖区属南昌市市域城镇等级中的中心城市，截止2019年末，青山湖区户籍青山湖区户籍总人口44.13万人。其中，城镇人口37.94万人，户籍人口城镇化率85.97%。2020年末常住人口130.73万人。</w:t>
      </w:r>
    </w:p>
    <w:p>
      <w:pPr>
        <w:adjustRightInd w:val="0"/>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（2）《南昌市青山湖区国民经济和社会发展第十四个五年规划和二</w:t>
      </w:r>
      <w:r>
        <w:rPr>
          <w:rFonts w:hint="eastAsia" w:ascii="宋体" w:hAnsi="宋体" w:cs="宋体"/>
          <w:color w:val="auto"/>
          <w:szCs w:val="24"/>
        </w:rPr>
        <w:t>〇</w:t>
      </w:r>
      <w:r>
        <w:rPr>
          <w:rFonts w:hint="eastAsia" w:ascii="仿宋_GB2312" w:hAnsi="仿宋_GB2312" w:eastAsia="仿宋_GB2312" w:cs="仿宋_GB2312"/>
          <w:color w:val="auto"/>
          <w:szCs w:val="24"/>
        </w:rPr>
        <w:t>三五年远景目标纲要</w:t>
      </w:r>
      <w:r>
        <w:rPr>
          <w:rFonts w:hint="eastAsia" w:ascii="Times New Roman" w:hAnsi="Times New Roman" w:eastAsia="仿宋_GB2312" w:cs="Times New Roman"/>
          <w:color w:val="auto"/>
          <w:szCs w:val="24"/>
        </w:rPr>
        <w:t>》</w:t>
      </w:r>
    </w:p>
    <w:p>
      <w:pPr>
        <w:adjustRightInd w:val="0"/>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青山湖区围绕实现“现代产城融合新城、美丽幸福青山湖”的城市愿景，打造全省创新创业高地、全省现代服务业高地、全省先进制造业高地、全省数字经济聚集区、全省高铁经济示范区、全省社会治理现代化样板区。依托区域资源禀赋和产业发展基础，结合青山湖“中心城区、高新园区、高铁新区”三区联动发展特点，构建“一核、两极、五带”空间发展格局。</w:t>
      </w:r>
    </w:p>
    <w:p>
      <w:pPr>
        <w:adjustRightInd w:val="0"/>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“一核”：都市经济发展核。</w:t>
      </w:r>
    </w:p>
    <w:p>
      <w:pPr>
        <w:adjustRightInd w:val="0"/>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“两极”：高新园区产业增长极和高铁新城城市增长极。</w:t>
      </w:r>
    </w:p>
    <w:p>
      <w:pPr>
        <w:adjustRightInd w:val="0"/>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“五带”：临江经济带、临站经济带、临河经济带、临街经济带和临钢经济带。</w:t>
      </w:r>
    </w:p>
    <w:p>
      <w:pPr>
        <w:adjustRightInd w:val="0"/>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本规划区域范围</w:t>
      </w:r>
      <w:r>
        <w:rPr>
          <w:rFonts w:hint="eastAsia" w:ascii="Times New Roman" w:hAnsi="Times New Roman" w:eastAsia="仿宋_GB2312" w:cs="Times New Roman"/>
          <w:color w:val="auto"/>
          <w:szCs w:val="24"/>
          <w:lang w:val="en-US" w:eastAsia="zh-CN"/>
        </w:rPr>
        <w:t>属于</w:t>
      </w:r>
      <w:r>
        <w:rPr>
          <w:rFonts w:hint="eastAsia" w:ascii="Times New Roman" w:hAnsi="Times New Roman" w:eastAsia="仿宋_GB2312" w:cs="Times New Roman"/>
          <w:color w:val="auto"/>
          <w:szCs w:val="24"/>
        </w:rPr>
        <w:t>高新园区和高铁新城范围。</w:t>
      </w:r>
    </w:p>
    <w:p>
      <w:pPr>
        <w:adjustRightInd w:val="0"/>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（3）南昌昌东工业园规划</w:t>
      </w:r>
    </w:p>
    <w:p>
      <w:pPr>
        <w:adjustRightInd w:val="0"/>
        <w:snapToGrid w:val="0"/>
        <w:spacing w:line="360" w:lineRule="auto"/>
        <w:ind w:firstLine="480" w:firstLineChars="200"/>
        <w:rPr>
          <w:rFonts w:hint="eastAsia" w:ascii="Times New Roman" w:hAnsi="Times New Roman" w:eastAsia="仿宋_GB2312" w:cs="Times New Roman"/>
          <w:color w:val="auto"/>
          <w:szCs w:val="24"/>
        </w:rPr>
      </w:pPr>
      <w:r>
        <w:rPr>
          <w:rFonts w:hint="eastAsia" w:ascii="Times New Roman" w:hAnsi="Times New Roman" w:eastAsia="仿宋_GB2312" w:cs="Times New Roman"/>
          <w:color w:val="auto"/>
          <w:szCs w:val="24"/>
        </w:rPr>
        <w:t>南昌昌东工业园区创建于2001年9月，是经南昌市政府批准设立的民营工业园区、省发改委批准设立的针织服装特色工业园区和省一类工业园区，2006年3月经省政府批准为省级开发区；原核准面积为500hm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，实际面积为503.81hm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，已开发建设面积约为793.91hm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（其中昌东工业园区老园区范围已开发503.81hm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，扩区调区范围已开发290.1hm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现有企业208家，其中老园区范围内118家，扩区调区范围内90家。在上级的正确领导以及社会各界的大力支持下，园区围绕“生态型、集约化、高效益”总体发展目标，坚持以科学发展观为指导，发挥优势，创造特色，创造性地开展工作，各项事业呈现加速发展的良好势头。截止到目前，工业园区形成了以针织服装和电子信息为主导产业的多元化现代工业园区。按照江西省人民政府办公厅《关于转发省发改委江西省省级开发区扩区和调整区位实施方案的通知》（赣府厅[2011]192号）精神，青山湖区政府要求计划组织实施“南昌昌东工业园区扩区调区项目”。江西省发展和改革委员会于2015年4月23日出具的《关于商请对昌东工业园区扩区调区材料进行审查的函》，同意昌东工业园区开展扩区前期工作。此次不涉及调区，仅在原核青山湖高新技术产业园部分区域水资源规划区域评估报告准面积基础上扩大园区面积，扩区共新增面积8.5678k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，原核准面积5km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，核实后实际面积5.0381km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，扩区后总规划面积13.6059km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w:t>
      </w:r>
    </w:p>
    <w:p>
      <w:pPr>
        <w:adjustRightInd w:val="0"/>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本规划区域属南昌昌东工业园区扩区调区规划内。</w:t>
      </w:r>
    </w:p>
    <w:p>
      <w:pPr>
        <w:adjustRightInd w:val="0"/>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（4）南昌市高铁东站周边地区规划</w:t>
      </w:r>
    </w:p>
    <w:p>
      <w:pPr>
        <w:adjustRightInd w:val="0"/>
        <w:snapToGrid w:val="0"/>
        <w:spacing w:line="360" w:lineRule="auto"/>
        <w:ind w:firstLine="480" w:firstLineChars="200"/>
        <w:rPr>
          <w:rFonts w:hint="eastAsia" w:ascii="Times New Roman" w:hAnsi="Times New Roman" w:eastAsia="仿宋_GB2312" w:cs="Times New Roman"/>
          <w:color w:val="auto"/>
          <w:szCs w:val="24"/>
        </w:rPr>
      </w:pPr>
      <w:r>
        <w:rPr>
          <w:rFonts w:hint="eastAsia" w:ascii="Times New Roman" w:hAnsi="Times New Roman" w:eastAsia="仿宋_GB2312" w:cs="Times New Roman"/>
          <w:color w:val="auto"/>
          <w:szCs w:val="24"/>
        </w:rPr>
        <w:t>南昌市高铁东站周边地区是根据上位规划，将高铁新区的发展融入南昌大都市区发展之中，践行站城一体，综合配套，充分发挥高铁东站的辐射带动作用。将规划区域建成南昌枢纽城市功能的重要承载地、昌东创新增长极及生态门户。发挥高铁枢纽优势，积极承接京津冀、长三角和粤港澳大湾区的人口及产能外溢，强化高铁新区与周边瑶湖、洪都等功能板块的联动发展，形成一个“产城融合”的优质服务中心。</w:t>
      </w:r>
    </w:p>
    <w:p>
      <w:pPr>
        <w:adjustRightInd w:val="0"/>
        <w:snapToGrid w:val="0"/>
        <w:spacing w:line="360" w:lineRule="auto"/>
        <w:ind w:firstLine="480" w:firstLineChars="200"/>
        <w:rPr>
          <w:rFonts w:hint="default" w:ascii="Times New Roman" w:hAnsi="Times New Roman" w:eastAsia="仿宋_GB2312" w:cs="Times New Roman"/>
          <w:color w:val="auto"/>
          <w:szCs w:val="24"/>
          <w:lang w:val="en-US" w:eastAsia="zh-CN"/>
        </w:rPr>
      </w:pPr>
      <w:r>
        <w:rPr>
          <w:rFonts w:hint="eastAsia" w:ascii="Times New Roman" w:hAnsi="Times New Roman" w:eastAsia="仿宋_GB2312" w:cs="Times New Roman"/>
          <w:color w:val="auto"/>
          <w:szCs w:val="24"/>
          <w:lang w:val="en-US" w:eastAsia="zh-CN"/>
        </w:rPr>
        <w:t>南昌市人民政府于2020年11月27日下发了《南昌市人民政府办公室关于南昌市高铁东站周边地区控制性详细规划的批复》（洪府办字[2020]492号），同意《南昌市高铁东站周边地区控制性详细规划》。</w:t>
      </w:r>
    </w:p>
    <w:p>
      <w:pPr>
        <w:adjustRightInd w:val="0"/>
        <w:snapToGrid w:val="0"/>
        <w:spacing w:line="360" w:lineRule="auto"/>
        <w:ind w:firstLine="480" w:firstLineChars="200"/>
        <w:rPr>
          <w:rFonts w:hint="eastAsia" w:ascii="Times New Roman" w:hAnsi="Times New Roman" w:eastAsia="仿宋_GB2312" w:cs="Times New Roman"/>
          <w:color w:val="auto"/>
          <w:szCs w:val="24"/>
        </w:rPr>
      </w:pPr>
      <w:r>
        <w:rPr>
          <w:rFonts w:hint="eastAsia" w:ascii="Times New Roman" w:hAnsi="Times New Roman" w:eastAsia="仿宋_GB2312" w:cs="Times New Roman"/>
          <w:color w:val="auto"/>
          <w:szCs w:val="24"/>
          <w:lang w:val="en-US" w:eastAsia="zh-CN"/>
        </w:rPr>
        <w:t>根据《南昌市高铁东站周边地区控制性详细规划》，</w:t>
      </w:r>
      <w:r>
        <w:rPr>
          <w:rFonts w:hint="eastAsia" w:ascii="Times New Roman" w:hAnsi="Times New Roman" w:eastAsia="仿宋_GB2312" w:cs="Times New Roman"/>
          <w:color w:val="auto"/>
          <w:szCs w:val="24"/>
        </w:rPr>
        <w:t>高铁</w:t>
      </w:r>
      <w:r>
        <w:rPr>
          <w:rFonts w:hint="eastAsia" w:ascii="Times New Roman" w:hAnsi="Times New Roman" w:eastAsia="仿宋_GB2312" w:cs="Times New Roman"/>
          <w:color w:val="auto"/>
          <w:szCs w:val="24"/>
          <w:lang w:val="en-US" w:eastAsia="zh-CN"/>
        </w:rPr>
        <w:t>东站周边区域</w:t>
      </w:r>
      <w:r>
        <w:rPr>
          <w:rFonts w:hint="eastAsia" w:ascii="Times New Roman" w:hAnsi="Times New Roman" w:eastAsia="仿宋_GB2312" w:cs="Times New Roman"/>
          <w:color w:val="auto"/>
          <w:szCs w:val="24"/>
        </w:rPr>
        <w:t>内规划常住人口23万人，规划范围总面积22.42km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规划区域总体上形成以广州路为依托的多元化功能组团作为综合发展轴，串联周边多条水系形成的蓝绿景观廊道，将南昌东站及周边1km核心圈层发展为站城一体示范区。以围绕规划水镜湖周边形成多元化服务中心。整个规划区形成“内枢、中城、外坊”三个层次的城市格局，依托高铁站圈开发特征，形成“内枢</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高铁站前交通集散及商务商业”、“中城</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文化休闲及门户配套”、“外坊</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新型产业及居住配套”的用地布局。</w:t>
      </w:r>
    </w:p>
    <w:p>
      <w:pPr>
        <w:adjustRightInd w:val="0"/>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本规划区域属“外坊</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新型产业及居住配套”范围。</w:t>
      </w:r>
    </w:p>
    <w:p>
      <w:pPr>
        <w:adjustRightInd w:val="0"/>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（5）本区规划</w:t>
      </w:r>
    </w:p>
    <w:p>
      <w:pPr>
        <w:adjustRightInd w:val="0"/>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根据《关于明确南昌市区域性评估评价试点区域的请示》（洪发改文[2020]148号），本区域（青山湖高新技术产业园部分区域）包含在南昌昌东工业园区扩区调区规划内，</w:t>
      </w:r>
      <w:r>
        <w:rPr>
          <w:rFonts w:hint="eastAsia" w:ascii="Times New Roman" w:hAnsi="Times New Roman" w:eastAsia="仿宋_GB2312" w:cs="Times New Roman"/>
          <w:color w:val="auto"/>
          <w:szCs w:val="24"/>
        </w:rPr>
        <w:t>亦属南昌市高铁东站周边地区规划内的南部区域，</w:t>
      </w:r>
      <w:r>
        <w:rPr>
          <w:rFonts w:hint="eastAsia" w:ascii="Times New Roman" w:hAnsi="Times New Roman" w:eastAsia="仿宋_GB2312" w:cs="Times New Roman"/>
          <w:color w:val="auto"/>
          <w:szCs w:val="24"/>
          <w:lang w:val="zh-CN"/>
        </w:rPr>
        <w:t>区域位于西总干渠水系以东、谢佛路以南、南嵩路以西、昌南大道以北，</w:t>
      </w:r>
      <w:r>
        <w:rPr>
          <w:rFonts w:hint="eastAsia" w:ascii="Times New Roman" w:hAnsi="Times New Roman" w:eastAsia="仿宋_GB2312" w:cs="Times New Roman"/>
          <w:color w:val="auto"/>
          <w:szCs w:val="24"/>
        </w:rPr>
        <w:t>用地面积100hm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。规划区域功能定位为电子信息和高端制造为主导产业的新型工业组团。</w:t>
      </w:r>
    </w:p>
    <w:p>
      <w:pPr>
        <w:pStyle w:val="6"/>
        <w:spacing w:line="360" w:lineRule="auto"/>
        <w:rPr>
          <w:rFonts w:eastAsia="仿宋_GB2312"/>
          <w:color w:val="auto"/>
          <w:szCs w:val="30"/>
        </w:rPr>
      </w:pPr>
      <w:r>
        <w:rPr>
          <w:color w:val="auto"/>
          <w:szCs w:val="30"/>
        </w:rPr>
        <w:t>2.1.</w:t>
      </w:r>
      <w:r>
        <w:rPr>
          <w:rFonts w:hint="eastAsia"/>
          <w:color w:val="auto"/>
          <w:szCs w:val="30"/>
        </w:rPr>
        <w:t>3</w:t>
      </w:r>
      <w:r>
        <w:rPr>
          <w:rFonts w:hint="eastAsia" w:eastAsia="仿宋_GB2312"/>
          <w:color w:val="auto"/>
          <w:szCs w:val="30"/>
        </w:rPr>
        <w:t>区域</w:t>
      </w:r>
      <w:r>
        <w:rPr>
          <w:rFonts w:eastAsia="仿宋_GB2312"/>
          <w:color w:val="auto"/>
          <w:szCs w:val="30"/>
        </w:rPr>
        <w:t>组成及</w:t>
      </w:r>
      <w:r>
        <w:rPr>
          <w:rFonts w:hint="eastAsia" w:eastAsia="仿宋_GB2312"/>
          <w:color w:val="auto"/>
          <w:szCs w:val="30"/>
        </w:rPr>
        <w:t>总体</w:t>
      </w:r>
      <w:r>
        <w:rPr>
          <w:rFonts w:eastAsia="仿宋_GB2312"/>
          <w:color w:val="auto"/>
          <w:szCs w:val="30"/>
        </w:rPr>
        <w:t>布置</w:t>
      </w:r>
    </w:p>
    <w:p>
      <w:pPr>
        <w:pStyle w:val="7"/>
        <w:spacing w:line="360" w:lineRule="auto"/>
        <w:rPr>
          <w:rFonts w:eastAsia="仿宋_GB2312"/>
          <w:color w:val="auto"/>
          <w:sz w:val="28"/>
          <w:szCs w:val="28"/>
        </w:rPr>
      </w:pPr>
      <w:r>
        <w:rPr>
          <w:rFonts w:eastAsia="仿宋_GB2312"/>
          <w:color w:val="auto"/>
          <w:sz w:val="28"/>
          <w:szCs w:val="28"/>
        </w:rPr>
        <w:t>2.1.</w:t>
      </w:r>
      <w:r>
        <w:rPr>
          <w:rFonts w:hint="eastAsia" w:eastAsia="仿宋_GB2312"/>
          <w:color w:val="auto"/>
          <w:sz w:val="28"/>
          <w:szCs w:val="28"/>
        </w:rPr>
        <w:t>3</w:t>
      </w:r>
      <w:r>
        <w:rPr>
          <w:rFonts w:eastAsia="仿宋_GB2312"/>
          <w:color w:val="auto"/>
          <w:sz w:val="28"/>
          <w:szCs w:val="28"/>
        </w:rPr>
        <w:t>.1</w:t>
      </w:r>
      <w:r>
        <w:rPr>
          <w:rFonts w:hint="eastAsia" w:eastAsia="仿宋_GB2312"/>
          <w:color w:val="auto"/>
          <w:sz w:val="28"/>
          <w:szCs w:val="28"/>
        </w:rPr>
        <w:t>区域组成</w:t>
      </w:r>
    </w:p>
    <w:p>
      <w:pPr>
        <w:adjustRightInd w:val="0"/>
        <w:snapToGrid w:val="0"/>
        <w:spacing w:line="360" w:lineRule="auto"/>
        <w:ind w:firstLine="480" w:firstLineChars="200"/>
        <w:jc w:val="left"/>
        <w:rPr>
          <w:rFonts w:hint="eastAsia" w:ascii="Times New Roman" w:hAnsi="Times New Roman" w:eastAsia="仿宋_GB2312" w:cs="Times New Roman"/>
          <w:color w:val="auto"/>
          <w:szCs w:val="24"/>
        </w:rPr>
      </w:pPr>
      <w:r>
        <w:rPr>
          <w:rFonts w:ascii="Times New Roman" w:hAnsi="Times New Roman" w:eastAsia="仿宋_GB2312" w:cs="Times New Roman"/>
          <w:color w:val="auto"/>
          <w:szCs w:val="24"/>
        </w:rPr>
        <w:t>园区组成包括区域规划功能区</w:t>
      </w:r>
      <w:r>
        <w:rPr>
          <w:rFonts w:hint="eastAsia" w:ascii="Times New Roman" w:hAnsi="Times New Roman" w:eastAsia="仿宋_GB2312" w:cs="Times New Roman"/>
          <w:color w:val="auto"/>
          <w:szCs w:val="24"/>
        </w:rPr>
        <w:t>和</w:t>
      </w:r>
      <w:r>
        <w:rPr>
          <w:rFonts w:ascii="Times New Roman" w:hAnsi="Times New Roman" w:eastAsia="仿宋_GB2312" w:cs="Times New Roman"/>
          <w:color w:val="auto"/>
          <w:szCs w:val="24"/>
        </w:rPr>
        <w:t>公共基础设施区</w:t>
      </w:r>
      <w:r>
        <w:rPr>
          <w:rFonts w:hint="eastAsia" w:ascii="Times New Roman" w:hAnsi="Times New Roman" w:eastAsia="仿宋_GB2312" w:cs="Times New Roman"/>
          <w:color w:val="auto"/>
          <w:szCs w:val="24"/>
        </w:rPr>
        <w:t>2</w:t>
      </w:r>
      <w:r>
        <w:rPr>
          <w:rFonts w:ascii="Times New Roman" w:hAnsi="Times New Roman" w:eastAsia="仿宋_GB2312" w:cs="Times New Roman"/>
          <w:color w:val="auto"/>
          <w:szCs w:val="24"/>
        </w:rPr>
        <w:t>大类</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其中区域规划功能区包括</w:t>
      </w:r>
      <w:r>
        <w:rPr>
          <w:rFonts w:hint="eastAsia" w:ascii="Times New Roman" w:hAnsi="Times New Roman" w:eastAsia="仿宋_GB2312" w:cs="Times New Roman"/>
          <w:color w:val="auto"/>
          <w:szCs w:val="24"/>
        </w:rPr>
        <w:t>工业用地和商业用地2</w:t>
      </w:r>
      <w:r>
        <w:rPr>
          <w:rFonts w:ascii="Times New Roman" w:hAnsi="Times New Roman" w:eastAsia="仿宋_GB2312" w:cs="Times New Roman"/>
          <w:color w:val="auto"/>
          <w:szCs w:val="24"/>
        </w:rPr>
        <w:t>个功能区</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公共基础设施区包括道路与交通设施用地、公用设施用地和绿地</w:t>
      </w:r>
      <w:r>
        <w:rPr>
          <w:rFonts w:hint="eastAsia" w:ascii="Times New Roman" w:hAnsi="Times New Roman" w:eastAsia="仿宋_GB2312" w:cs="Times New Roman"/>
          <w:color w:val="auto"/>
          <w:szCs w:val="24"/>
        </w:rPr>
        <w:t>3个功能区</w:t>
      </w:r>
      <w:r>
        <w:rPr>
          <w:rFonts w:ascii="Times New Roman" w:hAnsi="Times New Roman" w:eastAsia="仿宋_GB2312" w:cs="Times New Roman"/>
          <w:color w:val="auto"/>
          <w:szCs w:val="24"/>
        </w:rPr>
        <w:t>。区域组成详见下表</w:t>
      </w:r>
      <w:r>
        <w:rPr>
          <w:rFonts w:hint="eastAsia" w:ascii="Times New Roman" w:hAnsi="Times New Roman" w:eastAsia="仿宋_GB2312" w:cs="Times New Roman"/>
          <w:color w:val="auto"/>
          <w:szCs w:val="24"/>
        </w:rPr>
        <w:t>2.1-1，各地块土地利用规划详见图2.1-2，各地块指标详见表2.1-2。</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表2.1-1：区域组成一览表</w:t>
      </w:r>
    </w:p>
    <w:tbl>
      <w:tblPr>
        <w:tblStyle w:val="37"/>
        <w:tblW w:w="918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04"/>
        <w:gridCol w:w="1276"/>
        <w:gridCol w:w="2268"/>
        <w:gridCol w:w="1122"/>
        <w:gridCol w:w="351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04"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分类</w:t>
            </w:r>
          </w:p>
        </w:tc>
        <w:tc>
          <w:tcPr>
            <w:tcW w:w="3544" w:type="dxa"/>
            <w:gridSpan w:val="2"/>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用地类别</w:t>
            </w:r>
          </w:p>
        </w:tc>
        <w:tc>
          <w:tcPr>
            <w:tcW w:w="1122"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面积</w:t>
            </w:r>
            <w:r>
              <w:rPr>
                <w:rFonts w:hint="eastAsia" w:ascii="Times New Roman" w:hAnsi="Times New Roman" w:eastAsia="仿宋_GB2312" w:cs="Times New Roman"/>
                <w:b/>
                <w:color w:val="auto"/>
                <w:kern w:val="0"/>
                <w:sz w:val="21"/>
                <w:szCs w:val="21"/>
              </w:rPr>
              <w:t>（m</w:t>
            </w:r>
            <w:r>
              <w:rPr>
                <w:rFonts w:hint="eastAsia" w:ascii="Times New Roman" w:hAnsi="Times New Roman" w:eastAsia="仿宋_GB2312" w:cs="Times New Roman"/>
                <w:b/>
                <w:color w:val="auto"/>
                <w:kern w:val="0"/>
                <w:sz w:val="21"/>
                <w:szCs w:val="21"/>
                <w:vertAlign w:val="superscript"/>
              </w:rPr>
              <w:t>2</w:t>
            </w:r>
            <w:r>
              <w:rPr>
                <w:rFonts w:hint="eastAsia" w:ascii="Times New Roman" w:hAnsi="Times New Roman" w:eastAsia="仿宋_GB2312" w:cs="Times New Roman"/>
                <w:b/>
                <w:color w:val="auto"/>
                <w:kern w:val="0"/>
                <w:sz w:val="21"/>
                <w:szCs w:val="21"/>
              </w:rPr>
              <w:t>）</w:t>
            </w:r>
          </w:p>
        </w:tc>
        <w:tc>
          <w:tcPr>
            <w:tcW w:w="3510"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hint="eastAsia" w:ascii="Times New Roman" w:hAnsi="Times New Roman" w:eastAsia="仿宋_GB2312" w:cs="Times New Roman"/>
                <w:b/>
                <w:color w:val="auto"/>
                <w:kern w:val="0"/>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04" w:type="dxa"/>
            <w:vMerge w:val="restart"/>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公共基础设施区</w:t>
            </w:r>
          </w:p>
        </w:tc>
        <w:tc>
          <w:tcPr>
            <w:tcW w:w="1276" w:type="dxa"/>
            <w:vMerge w:val="restart"/>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道路与交通设施用地</w:t>
            </w:r>
            <w:r>
              <w:rPr>
                <w:rFonts w:hint="eastAsia" w:ascii="Times New Roman" w:hAnsi="Times New Roman" w:eastAsia="仿宋_GB2312" w:cs="Times New Roman"/>
                <w:color w:val="auto"/>
                <w:kern w:val="0"/>
                <w:sz w:val="21"/>
                <w:szCs w:val="21"/>
              </w:rPr>
              <w:t>（S）</w:t>
            </w:r>
          </w:p>
        </w:tc>
        <w:tc>
          <w:tcPr>
            <w:tcW w:w="226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道路用地</w:t>
            </w:r>
            <w:r>
              <w:rPr>
                <w:rFonts w:hint="eastAsia" w:ascii="Times New Roman" w:hAnsi="Times New Roman" w:eastAsia="仿宋_GB2312" w:cs="Times New Roman"/>
                <w:color w:val="auto"/>
                <w:kern w:val="0"/>
                <w:sz w:val="21"/>
                <w:szCs w:val="21"/>
              </w:rPr>
              <w:t>（S1）</w:t>
            </w:r>
          </w:p>
        </w:tc>
        <w:tc>
          <w:tcPr>
            <w:tcW w:w="1122"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111266</w:t>
            </w:r>
          </w:p>
        </w:tc>
        <w:tc>
          <w:tcPr>
            <w:tcW w:w="3510"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园区各地块周边道路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04" w:type="dxa"/>
            <w:vMerge w:val="continue"/>
            <w:shd w:val="clear" w:color="auto" w:fill="auto"/>
            <w:noWrap/>
            <w:vAlign w:val="center"/>
          </w:tcPr>
          <w:p>
            <w:pPr>
              <w:widowControl/>
              <w:jc w:val="center"/>
              <w:rPr>
                <w:rFonts w:ascii="Times New Roman" w:hAnsi="Times New Roman" w:eastAsia="仿宋_GB2312" w:cs="Times New Roman"/>
                <w:color w:val="auto"/>
                <w:kern w:val="0"/>
                <w:sz w:val="21"/>
                <w:szCs w:val="21"/>
              </w:rPr>
            </w:pPr>
          </w:p>
        </w:tc>
        <w:tc>
          <w:tcPr>
            <w:tcW w:w="1276" w:type="dxa"/>
            <w:vMerge w:val="continue"/>
            <w:shd w:val="clear" w:color="auto" w:fill="auto"/>
            <w:noWrap/>
            <w:vAlign w:val="center"/>
          </w:tcPr>
          <w:p>
            <w:pPr>
              <w:widowControl/>
              <w:jc w:val="center"/>
              <w:rPr>
                <w:rFonts w:ascii="Times New Roman" w:hAnsi="Times New Roman" w:eastAsia="仿宋_GB2312" w:cs="Times New Roman"/>
                <w:color w:val="auto"/>
                <w:kern w:val="0"/>
                <w:sz w:val="21"/>
                <w:szCs w:val="21"/>
              </w:rPr>
            </w:pPr>
          </w:p>
        </w:tc>
        <w:tc>
          <w:tcPr>
            <w:tcW w:w="226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社会停车场用地</w:t>
            </w:r>
            <w:r>
              <w:rPr>
                <w:rFonts w:hint="eastAsia" w:ascii="Times New Roman" w:hAnsi="Times New Roman" w:eastAsia="仿宋_GB2312" w:cs="Times New Roman"/>
                <w:color w:val="auto"/>
                <w:kern w:val="0"/>
                <w:sz w:val="21"/>
                <w:szCs w:val="21"/>
              </w:rPr>
              <w:t>（S42）</w:t>
            </w:r>
          </w:p>
        </w:tc>
        <w:tc>
          <w:tcPr>
            <w:tcW w:w="1122"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5418</w:t>
            </w:r>
          </w:p>
        </w:tc>
        <w:tc>
          <w:tcPr>
            <w:tcW w:w="3510" w:type="dxa"/>
            <w:shd w:val="clear" w:color="auto" w:fill="auto"/>
            <w:noWrap/>
            <w:vAlign w:val="center"/>
          </w:tcPr>
          <w:p>
            <w:pPr>
              <w:widowControl/>
              <w:jc w:val="center"/>
              <w:rPr>
                <w:rFonts w:ascii="Times New Roman" w:hAnsi="Times New Roman" w:eastAsia="仿宋_GB2312"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04" w:type="dxa"/>
            <w:vMerge w:val="continue"/>
            <w:shd w:val="clear" w:color="auto" w:fill="auto"/>
            <w:noWrap/>
            <w:vAlign w:val="center"/>
          </w:tcPr>
          <w:p>
            <w:pPr>
              <w:widowControl/>
              <w:jc w:val="center"/>
              <w:rPr>
                <w:rFonts w:ascii="Times New Roman" w:hAnsi="Times New Roman" w:eastAsia="仿宋_GB2312" w:cs="Times New Roman"/>
                <w:color w:val="auto"/>
                <w:kern w:val="0"/>
                <w:sz w:val="21"/>
                <w:szCs w:val="21"/>
              </w:rPr>
            </w:pPr>
          </w:p>
        </w:tc>
        <w:tc>
          <w:tcPr>
            <w:tcW w:w="1276" w:type="dxa"/>
            <w:vMerge w:val="continue"/>
            <w:shd w:val="clear" w:color="auto" w:fill="auto"/>
            <w:noWrap/>
            <w:vAlign w:val="center"/>
          </w:tcPr>
          <w:p>
            <w:pPr>
              <w:widowControl/>
              <w:jc w:val="center"/>
              <w:rPr>
                <w:rFonts w:ascii="Times New Roman" w:hAnsi="Times New Roman" w:eastAsia="仿宋_GB2312" w:cs="Times New Roman"/>
                <w:color w:val="auto"/>
                <w:kern w:val="0"/>
                <w:sz w:val="21"/>
                <w:szCs w:val="21"/>
              </w:rPr>
            </w:pPr>
          </w:p>
        </w:tc>
        <w:tc>
          <w:tcPr>
            <w:tcW w:w="226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小计</w:t>
            </w:r>
          </w:p>
        </w:tc>
        <w:tc>
          <w:tcPr>
            <w:tcW w:w="1122"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116644</w:t>
            </w:r>
          </w:p>
        </w:tc>
        <w:tc>
          <w:tcPr>
            <w:tcW w:w="3510"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占总面积比例</w:t>
            </w:r>
            <w:r>
              <w:rPr>
                <w:rFonts w:hint="eastAsia" w:ascii="Times New Roman" w:hAnsi="Times New Roman" w:eastAsia="仿宋_GB2312" w:cs="Times New Roman"/>
                <w:color w:val="auto"/>
                <w:kern w:val="0"/>
                <w:sz w:val="21"/>
                <w:szCs w:val="21"/>
              </w:rPr>
              <w:t>11.66%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04" w:type="dxa"/>
            <w:vMerge w:val="continue"/>
            <w:shd w:val="clear" w:color="auto" w:fill="auto"/>
            <w:noWrap/>
            <w:vAlign w:val="center"/>
          </w:tcPr>
          <w:p>
            <w:pPr>
              <w:widowControl/>
              <w:jc w:val="center"/>
              <w:rPr>
                <w:rFonts w:ascii="Times New Roman" w:hAnsi="Times New Roman" w:eastAsia="仿宋_GB2312" w:cs="Times New Roman"/>
                <w:color w:val="auto"/>
                <w:kern w:val="0"/>
                <w:sz w:val="21"/>
                <w:szCs w:val="21"/>
              </w:rPr>
            </w:pPr>
          </w:p>
        </w:tc>
        <w:tc>
          <w:tcPr>
            <w:tcW w:w="1276" w:type="dxa"/>
            <w:vMerge w:val="restart"/>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公用设施用地</w:t>
            </w:r>
            <w:r>
              <w:rPr>
                <w:rFonts w:hint="eastAsia" w:ascii="Times New Roman" w:hAnsi="Times New Roman" w:eastAsia="仿宋_GB2312" w:cs="Times New Roman"/>
                <w:color w:val="auto"/>
                <w:kern w:val="0"/>
                <w:sz w:val="21"/>
                <w:szCs w:val="21"/>
              </w:rPr>
              <w:t>（U）</w:t>
            </w:r>
          </w:p>
        </w:tc>
        <w:tc>
          <w:tcPr>
            <w:tcW w:w="226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供水用地</w:t>
            </w:r>
            <w:r>
              <w:rPr>
                <w:rFonts w:hint="eastAsia" w:ascii="Times New Roman" w:hAnsi="Times New Roman" w:eastAsia="仿宋_GB2312" w:cs="Times New Roman"/>
                <w:color w:val="auto"/>
                <w:kern w:val="0"/>
                <w:sz w:val="21"/>
                <w:szCs w:val="21"/>
              </w:rPr>
              <w:t>（U11）</w:t>
            </w:r>
          </w:p>
        </w:tc>
        <w:tc>
          <w:tcPr>
            <w:tcW w:w="1122"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107534</w:t>
            </w:r>
          </w:p>
        </w:tc>
        <w:tc>
          <w:tcPr>
            <w:tcW w:w="3510"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自来水厂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04" w:type="dxa"/>
            <w:vMerge w:val="continue"/>
            <w:shd w:val="clear" w:color="auto" w:fill="auto"/>
            <w:noWrap/>
            <w:vAlign w:val="center"/>
          </w:tcPr>
          <w:p>
            <w:pPr>
              <w:widowControl/>
              <w:jc w:val="center"/>
              <w:rPr>
                <w:rFonts w:ascii="Times New Roman" w:hAnsi="Times New Roman" w:eastAsia="仿宋_GB2312" w:cs="Times New Roman"/>
                <w:color w:val="auto"/>
                <w:kern w:val="0"/>
                <w:sz w:val="21"/>
                <w:szCs w:val="21"/>
              </w:rPr>
            </w:pPr>
          </w:p>
        </w:tc>
        <w:tc>
          <w:tcPr>
            <w:tcW w:w="1276" w:type="dxa"/>
            <w:vMerge w:val="continue"/>
            <w:shd w:val="clear" w:color="auto" w:fill="auto"/>
            <w:noWrap/>
            <w:vAlign w:val="center"/>
          </w:tcPr>
          <w:p>
            <w:pPr>
              <w:widowControl/>
              <w:jc w:val="center"/>
              <w:rPr>
                <w:rFonts w:ascii="Times New Roman" w:hAnsi="Times New Roman" w:eastAsia="仿宋_GB2312" w:cs="Times New Roman"/>
                <w:color w:val="auto"/>
                <w:kern w:val="0"/>
                <w:sz w:val="21"/>
                <w:szCs w:val="21"/>
              </w:rPr>
            </w:pPr>
          </w:p>
        </w:tc>
        <w:tc>
          <w:tcPr>
            <w:tcW w:w="226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环卫用地</w:t>
            </w:r>
            <w:r>
              <w:rPr>
                <w:rFonts w:hint="eastAsia" w:ascii="Times New Roman" w:hAnsi="Times New Roman" w:eastAsia="仿宋_GB2312" w:cs="Times New Roman"/>
                <w:color w:val="auto"/>
                <w:kern w:val="0"/>
                <w:sz w:val="21"/>
                <w:szCs w:val="21"/>
              </w:rPr>
              <w:t>（U22）</w:t>
            </w:r>
          </w:p>
        </w:tc>
        <w:tc>
          <w:tcPr>
            <w:tcW w:w="1122"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17208</w:t>
            </w:r>
          </w:p>
        </w:tc>
        <w:tc>
          <w:tcPr>
            <w:tcW w:w="3510"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垃圾转运站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04" w:type="dxa"/>
            <w:vMerge w:val="continue"/>
            <w:shd w:val="clear" w:color="auto" w:fill="auto"/>
            <w:noWrap/>
            <w:vAlign w:val="center"/>
          </w:tcPr>
          <w:p>
            <w:pPr>
              <w:widowControl/>
              <w:jc w:val="center"/>
              <w:rPr>
                <w:rFonts w:ascii="Times New Roman" w:hAnsi="Times New Roman" w:eastAsia="仿宋_GB2312" w:cs="Times New Roman"/>
                <w:color w:val="auto"/>
                <w:kern w:val="0"/>
                <w:sz w:val="21"/>
                <w:szCs w:val="21"/>
              </w:rPr>
            </w:pPr>
          </w:p>
        </w:tc>
        <w:tc>
          <w:tcPr>
            <w:tcW w:w="1276" w:type="dxa"/>
            <w:vMerge w:val="continue"/>
            <w:shd w:val="clear" w:color="auto" w:fill="auto"/>
            <w:noWrap/>
            <w:vAlign w:val="center"/>
          </w:tcPr>
          <w:p>
            <w:pPr>
              <w:widowControl/>
              <w:jc w:val="center"/>
              <w:rPr>
                <w:rFonts w:ascii="Times New Roman" w:hAnsi="Times New Roman" w:eastAsia="仿宋_GB2312" w:cs="Times New Roman"/>
                <w:color w:val="auto"/>
                <w:kern w:val="0"/>
                <w:sz w:val="21"/>
                <w:szCs w:val="21"/>
              </w:rPr>
            </w:pPr>
          </w:p>
        </w:tc>
        <w:tc>
          <w:tcPr>
            <w:tcW w:w="226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供应设施用地</w:t>
            </w:r>
            <w:r>
              <w:rPr>
                <w:rFonts w:hint="eastAsia" w:ascii="Times New Roman" w:hAnsi="Times New Roman" w:eastAsia="仿宋_GB2312" w:cs="Times New Roman"/>
                <w:color w:val="auto"/>
                <w:kern w:val="0"/>
                <w:sz w:val="21"/>
                <w:szCs w:val="21"/>
              </w:rPr>
              <w:t>（U1）</w:t>
            </w:r>
          </w:p>
        </w:tc>
        <w:tc>
          <w:tcPr>
            <w:tcW w:w="1122"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3914</w:t>
            </w:r>
          </w:p>
        </w:tc>
        <w:tc>
          <w:tcPr>
            <w:tcW w:w="3510"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供电场地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04" w:type="dxa"/>
            <w:vMerge w:val="continue"/>
            <w:shd w:val="clear" w:color="auto" w:fill="auto"/>
            <w:noWrap/>
            <w:vAlign w:val="center"/>
          </w:tcPr>
          <w:p>
            <w:pPr>
              <w:widowControl/>
              <w:jc w:val="center"/>
              <w:rPr>
                <w:rFonts w:ascii="Times New Roman" w:hAnsi="Times New Roman" w:eastAsia="仿宋_GB2312" w:cs="Times New Roman"/>
                <w:color w:val="auto"/>
                <w:kern w:val="0"/>
                <w:sz w:val="21"/>
                <w:szCs w:val="21"/>
              </w:rPr>
            </w:pPr>
          </w:p>
        </w:tc>
        <w:tc>
          <w:tcPr>
            <w:tcW w:w="1276" w:type="dxa"/>
            <w:vMerge w:val="continue"/>
            <w:shd w:val="clear" w:color="auto" w:fill="auto"/>
            <w:noWrap/>
            <w:vAlign w:val="center"/>
          </w:tcPr>
          <w:p>
            <w:pPr>
              <w:widowControl/>
              <w:jc w:val="center"/>
              <w:rPr>
                <w:rFonts w:ascii="Times New Roman" w:hAnsi="Times New Roman" w:eastAsia="仿宋_GB2312" w:cs="Times New Roman"/>
                <w:color w:val="auto"/>
                <w:kern w:val="0"/>
                <w:sz w:val="21"/>
                <w:szCs w:val="21"/>
              </w:rPr>
            </w:pPr>
          </w:p>
        </w:tc>
        <w:tc>
          <w:tcPr>
            <w:tcW w:w="226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小计</w:t>
            </w:r>
          </w:p>
        </w:tc>
        <w:tc>
          <w:tcPr>
            <w:tcW w:w="1122"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128656</w:t>
            </w:r>
          </w:p>
        </w:tc>
        <w:tc>
          <w:tcPr>
            <w:tcW w:w="3510"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占总面积比例</w:t>
            </w:r>
            <w:r>
              <w:rPr>
                <w:rFonts w:hint="eastAsia" w:ascii="Times New Roman" w:hAnsi="Times New Roman" w:eastAsia="仿宋_GB2312" w:cs="Times New Roman"/>
                <w:color w:val="auto"/>
                <w:kern w:val="0"/>
                <w:sz w:val="21"/>
                <w:szCs w:val="21"/>
              </w:rPr>
              <w:t>12.87%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04" w:type="dxa"/>
            <w:vMerge w:val="continue"/>
            <w:shd w:val="clear" w:color="auto" w:fill="auto"/>
            <w:noWrap/>
            <w:vAlign w:val="center"/>
          </w:tcPr>
          <w:p>
            <w:pPr>
              <w:widowControl/>
              <w:jc w:val="center"/>
              <w:rPr>
                <w:rFonts w:ascii="Times New Roman" w:hAnsi="Times New Roman" w:eastAsia="仿宋_GB2312" w:cs="Times New Roman"/>
                <w:color w:val="auto"/>
                <w:kern w:val="0"/>
                <w:sz w:val="21"/>
                <w:szCs w:val="21"/>
              </w:rPr>
            </w:pPr>
          </w:p>
        </w:tc>
        <w:tc>
          <w:tcPr>
            <w:tcW w:w="1276" w:type="dxa"/>
            <w:vMerge w:val="restart"/>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绿地</w:t>
            </w:r>
            <w:r>
              <w:rPr>
                <w:rFonts w:hint="eastAsia" w:ascii="Times New Roman" w:hAnsi="Times New Roman" w:eastAsia="仿宋_GB2312" w:cs="Times New Roman"/>
                <w:color w:val="auto"/>
                <w:kern w:val="0"/>
                <w:sz w:val="21"/>
                <w:szCs w:val="21"/>
              </w:rPr>
              <w:t>（G）</w:t>
            </w:r>
          </w:p>
        </w:tc>
        <w:tc>
          <w:tcPr>
            <w:tcW w:w="226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122"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1</w:t>
            </w:r>
            <w:r>
              <w:rPr>
                <w:rFonts w:hint="eastAsia" w:ascii="Times New Roman" w:hAnsi="Times New Roman" w:eastAsia="仿宋_GB2312" w:cs="Times New Roman"/>
                <w:color w:val="auto"/>
                <w:kern w:val="0"/>
                <w:sz w:val="21"/>
                <w:szCs w:val="21"/>
              </w:rPr>
              <w:t>01475</w:t>
            </w:r>
          </w:p>
        </w:tc>
        <w:tc>
          <w:tcPr>
            <w:tcW w:w="3510" w:type="dxa"/>
            <w:shd w:val="clear" w:color="auto" w:fill="auto"/>
            <w:noWrap/>
            <w:vAlign w:val="center"/>
          </w:tcPr>
          <w:p>
            <w:pPr>
              <w:widowControl/>
              <w:jc w:val="center"/>
              <w:rPr>
                <w:rFonts w:ascii="Times New Roman" w:hAnsi="Times New Roman" w:eastAsia="仿宋_GB2312"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04" w:type="dxa"/>
            <w:vMerge w:val="continue"/>
            <w:shd w:val="clear" w:color="auto" w:fill="auto"/>
            <w:noWrap/>
            <w:vAlign w:val="center"/>
          </w:tcPr>
          <w:p>
            <w:pPr>
              <w:widowControl/>
              <w:jc w:val="center"/>
              <w:rPr>
                <w:rFonts w:ascii="Times New Roman" w:hAnsi="Times New Roman" w:eastAsia="仿宋_GB2312" w:cs="Times New Roman"/>
                <w:color w:val="auto"/>
                <w:kern w:val="0"/>
                <w:sz w:val="21"/>
                <w:szCs w:val="21"/>
              </w:rPr>
            </w:pPr>
          </w:p>
        </w:tc>
        <w:tc>
          <w:tcPr>
            <w:tcW w:w="1276" w:type="dxa"/>
            <w:vMerge w:val="continue"/>
            <w:shd w:val="clear" w:color="auto" w:fill="auto"/>
            <w:noWrap/>
            <w:vAlign w:val="center"/>
          </w:tcPr>
          <w:p>
            <w:pPr>
              <w:widowControl/>
              <w:jc w:val="center"/>
              <w:rPr>
                <w:rFonts w:ascii="Times New Roman" w:hAnsi="Times New Roman" w:eastAsia="仿宋_GB2312" w:cs="Times New Roman"/>
                <w:color w:val="auto"/>
                <w:kern w:val="0"/>
                <w:sz w:val="21"/>
                <w:szCs w:val="21"/>
              </w:rPr>
            </w:pPr>
          </w:p>
        </w:tc>
        <w:tc>
          <w:tcPr>
            <w:tcW w:w="226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防护绿地</w:t>
            </w:r>
            <w:r>
              <w:rPr>
                <w:rFonts w:hint="eastAsia" w:ascii="Times New Roman" w:hAnsi="Times New Roman" w:eastAsia="仿宋_GB2312" w:cs="Times New Roman"/>
                <w:color w:val="auto"/>
                <w:kern w:val="0"/>
                <w:sz w:val="21"/>
                <w:szCs w:val="21"/>
              </w:rPr>
              <w:t>（G2）</w:t>
            </w:r>
          </w:p>
        </w:tc>
        <w:tc>
          <w:tcPr>
            <w:tcW w:w="1122"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98645</w:t>
            </w:r>
          </w:p>
        </w:tc>
        <w:tc>
          <w:tcPr>
            <w:tcW w:w="3510" w:type="dxa"/>
            <w:shd w:val="clear" w:color="auto" w:fill="auto"/>
            <w:noWrap/>
            <w:vAlign w:val="center"/>
          </w:tcPr>
          <w:p>
            <w:pPr>
              <w:widowControl/>
              <w:jc w:val="center"/>
              <w:rPr>
                <w:rFonts w:ascii="Times New Roman" w:hAnsi="Times New Roman" w:eastAsia="仿宋_GB2312"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04" w:type="dxa"/>
            <w:vMerge w:val="continue"/>
            <w:shd w:val="clear" w:color="auto" w:fill="auto"/>
            <w:noWrap/>
            <w:vAlign w:val="center"/>
          </w:tcPr>
          <w:p>
            <w:pPr>
              <w:widowControl/>
              <w:jc w:val="center"/>
              <w:rPr>
                <w:rFonts w:ascii="Times New Roman" w:hAnsi="Times New Roman" w:eastAsia="仿宋_GB2312" w:cs="Times New Roman"/>
                <w:color w:val="auto"/>
                <w:kern w:val="0"/>
                <w:sz w:val="21"/>
                <w:szCs w:val="21"/>
              </w:rPr>
            </w:pPr>
          </w:p>
        </w:tc>
        <w:tc>
          <w:tcPr>
            <w:tcW w:w="1276" w:type="dxa"/>
            <w:vMerge w:val="continue"/>
            <w:shd w:val="clear" w:color="auto" w:fill="auto"/>
            <w:noWrap/>
            <w:vAlign w:val="center"/>
          </w:tcPr>
          <w:p>
            <w:pPr>
              <w:widowControl/>
              <w:jc w:val="center"/>
              <w:rPr>
                <w:rFonts w:ascii="Times New Roman" w:hAnsi="Times New Roman" w:eastAsia="仿宋_GB2312" w:cs="Times New Roman"/>
                <w:color w:val="auto"/>
                <w:kern w:val="0"/>
                <w:sz w:val="21"/>
                <w:szCs w:val="21"/>
              </w:rPr>
            </w:pPr>
          </w:p>
        </w:tc>
        <w:tc>
          <w:tcPr>
            <w:tcW w:w="226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小计</w:t>
            </w:r>
          </w:p>
        </w:tc>
        <w:tc>
          <w:tcPr>
            <w:tcW w:w="1122"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200120</w:t>
            </w:r>
          </w:p>
        </w:tc>
        <w:tc>
          <w:tcPr>
            <w:tcW w:w="3510"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占总面积比例</w:t>
            </w:r>
            <w:r>
              <w:rPr>
                <w:rFonts w:hint="eastAsia" w:ascii="Times New Roman" w:hAnsi="Times New Roman" w:eastAsia="仿宋_GB2312" w:cs="Times New Roman"/>
                <w:color w:val="auto"/>
                <w:kern w:val="0"/>
                <w:sz w:val="21"/>
                <w:szCs w:val="21"/>
              </w:rPr>
              <w:t>20.01%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04" w:type="dxa"/>
            <w:vMerge w:val="continue"/>
            <w:shd w:val="clear" w:color="auto" w:fill="auto"/>
            <w:noWrap/>
            <w:vAlign w:val="center"/>
          </w:tcPr>
          <w:p>
            <w:pPr>
              <w:widowControl/>
              <w:jc w:val="center"/>
              <w:rPr>
                <w:rFonts w:ascii="Times New Roman" w:hAnsi="Times New Roman" w:eastAsia="仿宋_GB2312" w:cs="Times New Roman"/>
                <w:color w:val="auto"/>
                <w:kern w:val="0"/>
                <w:sz w:val="21"/>
                <w:szCs w:val="21"/>
              </w:rPr>
            </w:pPr>
          </w:p>
        </w:tc>
        <w:tc>
          <w:tcPr>
            <w:tcW w:w="3544" w:type="dxa"/>
            <w:gridSpan w:val="2"/>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合计</w:t>
            </w:r>
          </w:p>
        </w:tc>
        <w:tc>
          <w:tcPr>
            <w:tcW w:w="1122"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hint="eastAsia" w:ascii="Times New Roman" w:hAnsi="Times New Roman" w:eastAsia="仿宋_GB2312" w:cs="Times New Roman"/>
                <w:b/>
                <w:color w:val="auto"/>
                <w:kern w:val="0"/>
                <w:sz w:val="21"/>
                <w:szCs w:val="21"/>
              </w:rPr>
              <w:t>445420</w:t>
            </w:r>
          </w:p>
        </w:tc>
        <w:tc>
          <w:tcPr>
            <w:tcW w:w="3510" w:type="dxa"/>
            <w:shd w:val="clear" w:color="auto" w:fill="auto"/>
            <w:noWrap/>
            <w:vAlign w:val="center"/>
          </w:tcPr>
          <w:p>
            <w:pPr>
              <w:widowControl/>
              <w:jc w:val="center"/>
              <w:rPr>
                <w:rFonts w:ascii="Times New Roman" w:hAnsi="Times New Roman" w:eastAsia="仿宋_GB2312"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04" w:type="dxa"/>
            <w:vMerge w:val="restart"/>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区域规划功能区</w:t>
            </w:r>
          </w:p>
        </w:tc>
        <w:tc>
          <w:tcPr>
            <w:tcW w:w="1276" w:type="dxa"/>
            <w:vMerge w:val="restart"/>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工业用地</w:t>
            </w:r>
            <w:r>
              <w:rPr>
                <w:rFonts w:hint="eastAsia" w:ascii="Times New Roman" w:hAnsi="Times New Roman" w:eastAsia="仿宋_GB2312" w:cs="Times New Roman"/>
                <w:color w:val="auto"/>
                <w:kern w:val="0"/>
                <w:sz w:val="21"/>
                <w:szCs w:val="21"/>
              </w:rPr>
              <w:t>（M）</w:t>
            </w:r>
          </w:p>
        </w:tc>
        <w:tc>
          <w:tcPr>
            <w:tcW w:w="226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122"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538952</w:t>
            </w:r>
          </w:p>
        </w:tc>
        <w:tc>
          <w:tcPr>
            <w:tcW w:w="3510" w:type="dxa"/>
            <w:shd w:val="clear" w:color="auto" w:fill="auto"/>
            <w:noWrap/>
            <w:vAlign w:val="center"/>
          </w:tcPr>
          <w:p>
            <w:pPr>
              <w:widowControl/>
              <w:jc w:val="center"/>
              <w:rPr>
                <w:rFonts w:ascii="Times New Roman" w:hAnsi="Times New Roman" w:eastAsia="仿宋_GB2312"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1" w:hRule="atLeast"/>
          <w:jc w:val="center"/>
        </w:trPr>
        <w:tc>
          <w:tcPr>
            <w:tcW w:w="1004" w:type="dxa"/>
            <w:vMerge w:val="continue"/>
            <w:shd w:val="clear" w:color="auto" w:fill="auto"/>
            <w:noWrap/>
            <w:vAlign w:val="center"/>
          </w:tcPr>
          <w:p>
            <w:pPr>
              <w:widowControl/>
              <w:jc w:val="center"/>
              <w:rPr>
                <w:rFonts w:ascii="Times New Roman" w:hAnsi="Times New Roman" w:eastAsia="仿宋_GB2312" w:cs="Times New Roman"/>
                <w:color w:val="auto"/>
                <w:kern w:val="0"/>
                <w:sz w:val="21"/>
                <w:szCs w:val="21"/>
              </w:rPr>
            </w:pPr>
          </w:p>
        </w:tc>
        <w:tc>
          <w:tcPr>
            <w:tcW w:w="1276" w:type="dxa"/>
            <w:vMerge w:val="continue"/>
            <w:shd w:val="clear" w:color="auto" w:fill="auto"/>
            <w:noWrap/>
            <w:vAlign w:val="center"/>
          </w:tcPr>
          <w:p>
            <w:pPr>
              <w:widowControl/>
              <w:jc w:val="center"/>
              <w:rPr>
                <w:rFonts w:ascii="Times New Roman" w:hAnsi="Times New Roman" w:eastAsia="仿宋_GB2312" w:cs="Times New Roman"/>
                <w:color w:val="auto"/>
                <w:kern w:val="0"/>
                <w:sz w:val="21"/>
                <w:szCs w:val="21"/>
              </w:rPr>
            </w:pPr>
          </w:p>
        </w:tc>
        <w:tc>
          <w:tcPr>
            <w:tcW w:w="226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小计</w:t>
            </w:r>
          </w:p>
        </w:tc>
        <w:tc>
          <w:tcPr>
            <w:tcW w:w="1122"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538952</w:t>
            </w:r>
          </w:p>
        </w:tc>
        <w:tc>
          <w:tcPr>
            <w:tcW w:w="3510"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占总面积比例</w:t>
            </w:r>
            <w:r>
              <w:rPr>
                <w:rFonts w:hint="eastAsia" w:ascii="Times New Roman" w:hAnsi="Times New Roman" w:eastAsia="仿宋_GB2312" w:cs="Times New Roman"/>
                <w:color w:val="auto"/>
                <w:kern w:val="0"/>
                <w:sz w:val="21"/>
                <w:szCs w:val="21"/>
              </w:rPr>
              <w:t>53.90%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004" w:type="dxa"/>
            <w:vMerge w:val="continue"/>
            <w:shd w:val="clear" w:color="auto" w:fill="auto"/>
            <w:noWrap/>
            <w:vAlign w:val="center"/>
          </w:tcPr>
          <w:p>
            <w:pPr>
              <w:widowControl/>
              <w:jc w:val="center"/>
              <w:rPr>
                <w:rFonts w:ascii="Times New Roman" w:hAnsi="Times New Roman" w:eastAsia="仿宋_GB2312" w:cs="Times New Roman"/>
                <w:color w:val="auto"/>
                <w:kern w:val="0"/>
                <w:sz w:val="21"/>
                <w:szCs w:val="21"/>
              </w:rPr>
            </w:pPr>
          </w:p>
        </w:tc>
        <w:tc>
          <w:tcPr>
            <w:tcW w:w="1276" w:type="dxa"/>
            <w:vMerge w:val="restart"/>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商业用地</w:t>
            </w:r>
            <w:r>
              <w:rPr>
                <w:rFonts w:hint="eastAsia" w:ascii="Times New Roman" w:hAnsi="Times New Roman" w:eastAsia="仿宋_GB2312" w:cs="Times New Roman"/>
                <w:color w:val="auto"/>
                <w:kern w:val="0"/>
                <w:sz w:val="21"/>
                <w:szCs w:val="21"/>
              </w:rPr>
              <w:t>（B）</w:t>
            </w:r>
          </w:p>
        </w:tc>
        <w:tc>
          <w:tcPr>
            <w:tcW w:w="226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零售商业用地</w:t>
            </w:r>
            <w:r>
              <w:rPr>
                <w:rFonts w:hint="eastAsia" w:ascii="Times New Roman" w:hAnsi="Times New Roman" w:eastAsia="仿宋_GB2312" w:cs="Times New Roman"/>
                <w:color w:val="auto"/>
                <w:kern w:val="0"/>
                <w:sz w:val="21"/>
                <w:szCs w:val="21"/>
              </w:rPr>
              <w:t>（B1）</w:t>
            </w:r>
          </w:p>
        </w:tc>
        <w:tc>
          <w:tcPr>
            <w:tcW w:w="1122"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15628</w:t>
            </w:r>
          </w:p>
        </w:tc>
        <w:tc>
          <w:tcPr>
            <w:tcW w:w="3510" w:type="dxa"/>
            <w:shd w:val="clear" w:color="auto" w:fill="auto"/>
            <w:noWrap/>
            <w:vAlign w:val="center"/>
          </w:tcPr>
          <w:p>
            <w:pPr>
              <w:widowControl/>
              <w:jc w:val="center"/>
              <w:rPr>
                <w:rFonts w:ascii="Times New Roman" w:hAnsi="Times New Roman" w:eastAsia="仿宋_GB2312"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04" w:type="dxa"/>
            <w:vMerge w:val="continue"/>
            <w:shd w:val="clear" w:color="auto" w:fill="auto"/>
            <w:noWrap/>
            <w:vAlign w:val="center"/>
          </w:tcPr>
          <w:p>
            <w:pPr>
              <w:widowControl/>
              <w:jc w:val="center"/>
              <w:rPr>
                <w:rFonts w:ascii="Times New Roman" w:hAnsi="Times New Roman" w:eastAsia="仿宋_GB2312" w:cs="Times New Roman"/>
                <w:color w:val="auto"/>
                <w:kern w:val="0"/>
                <w:sz w:val="21"/>
                <w:szCs w:val="21"/>
              </w:rPr>
            </w:pPr>
          </w:p>
        </w:tc>
        <w:tc>
          <w:tcPr>
            <w:tcW w:w="1276" w:type="dxa"/>
            <w:vMerge w:val="continue"/>
            <w:shd w:val="clear" w:color="auto" w:fill="auto"/>
            <w:noWrap/>
            <w:vAlign w:val="center"/>
          </w:tcPr>
          <w:p>
            <w:pPr>
              <w:widowControl/>
              <w:jc w:val="center"/>
              <w:rPr>
                <w:rFonts w:ascii="Times New Roman" w:hAnsi="Times New Roman" w:eastAsia="仿宋_GB2312" w:cs="Times New Roman"/>
                <w:color w:val="auto"/>
                <w:kern w:val="0"/>
                <w:sz w:val="21"/>
                <w:szCs w:val="21"/>
              </w:rPr>
            </w:pPr>
          </w:p>
        </w:tc>
        <w:tc>
          <w:tcPr>
            <w:tcW w:w="226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小计</w:t>
            </w:r>
          </w:p>
        </w:tc>
        <w:tc>
          <w:tcPr>
            <w:tcW w:w="1122"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15628</w:t>
            </w:r>
          </w:p>
        </w:tc>
        <w:tc>
          <w:tcPr>
            <w:tcW w:w="3510"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占总面积比例</w:t>
            </w:r>
            <w:r>
              <w:rPr>
                <w:rFonts w:hint="eastAsia" w:ascii="Times New Roman" w:hAnsi="Times New Roman" w:eastAsia="仿宋_GB2312" w:cs="Times New Roman"/>
                <w:color w:val="auto"/>
                <w:kern w:val="0"/>
                <w:sz w:val="21"/>
                <w:szCs w:val="21"/>
              </w:rPr>
              <w:t>1.56%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04" w:type="dxa"/>
            <w:vMerge w:val="continue"/>
            <w:shd w:val="clear" w:color="auto" w:fill="auto"/>
            <w:noWrap/>
            <w:vAlign w:val="center"/>
          </w:tcPr>
          <w:p>
            <w:pPr>
              <w:widowControl/>
              <w:jc w:val="center"/>
              <w:rPr>
                <w:rFonts w:ascii="Times New Roman" w:hAnsi="Times New Roman" w:eastAsia="仿宋_GB2312" w:cs="Times New Roman"/>
                <w:color w:val="auto"/>
                <w:kern w:val="0"/>
                <w:sz w:val="21"/>
                <w:szCs w:val="21"/>
              </w:rPr>
            </w:pPr>
          </w:p>
        </w:tc>
        <w:tc>
          <w:tcPr>
            <w:tcW w:w="3544" w:type="dxa"/>
            <w:gridSpan w:val="2"/>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合计</w:t>
            </w:r>
          </w:p>
        </w:tc>
        <w:tc>
          <w:tcPr>
            <w:tcW w:w="1122"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hint="eastAsia" w:ascii="Times New Roman" w:hAnsi="Times New Roman" w:eastAsia="仿宋_GB2312" w:cs="Times New Roman"/>
                <w:b/>
                <w:color w:val="auto"/>
                <w:kern w:val="0"/>
                <w:sz w:val="21"/>
                <w:szCs w:val="21"/>
              </w:rPr>
              <w:t>554580</w:t>
            </w:r>
          </w:p>
        </w:tc>
        <w:tc>
          <w:tcPr>
            <w:tcW w:w="3510" w:type="dxa"/>
            <w:shd w:val="clear" w:color="auto" w:fill="auto"/>
            <w:noWrap/>
            <w:vAlign w:val="center"/>
          </w:tcPr>
          <w:p>
            <w:pPr>
              <w:widowControl/>
              <w:jc w:val="center"/>
              <w:rPr>
                <w:rFonts w:ascii="Times New Roman" w:hAnsi="Times New Roman" w:eastAsia="仿宋_GB2312"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548" w:type="dxa"/>
            <w:gridSpan w:val="3"/>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总计</w:t>
            </w:r>
          </w:p>
        </w:tc>
        <w:tc>
          <w:tcPr>
            <w:tcW w:w="1122"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hint="eastAsia" w:ascii="Times New Roman" w:hAnsi="Times New Roman" w:eastAsia="仿宋_GB2312" w:cs="Times New Roman"/>
                <w:b/>
                <w:color w:val="auto"/>
                <w:kern w:val="0"/>
                <w:sz w:val="21"/>
                <w:szCs w:val="21"/>
              </w:rPr>
              <w:t>1000000</w:t>
            </w:r>
          </w:p>
        </w:tc>
        <w:tc>
          <w:tcPr>
            <w:tcW w:w="3510" w:type="dxa"/>
            <w:shd w:val="clear" w:color="auto" w:fill="auto"/>
            <w:noWrap/>
            <w:vAlign w:val="center"/>
          </w:tcPr>
          <w:p>
            <w:pPr>
              <w:widowControl/>
              <w:jc w:val="center"/>
              <w:rPr>
                <w:rFonts w:ascii="Times New Roman" w:hAnsi="Times New Roman" w:eastAsia="仿宋_GB2312" w:cs="Times New Roman"/>
                <w:color w:val="auto"/>
                <w:kern w:val="0"/>
                <w:sz w:val="21"/>
                <w:szCs w:val="21"/>
              </w:rPr>
            </w:pPr>
          </w:p>
        </w:tc>
      </w:tr>
    </w:tbl>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表2.1-2：各地块占地面积一览表</w:t>
      </w:r>
    </w:p>
    <w:tbl>
      <w:tblPr>
        <w:tblStyle w:val="3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83"/>
        <w:gridCol w:w="2459"/>
        <w:gridCol w:w="1227"/>
        <w:gridCol w:w="335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hint="eastAsia" w:ascii="Times New Roman" w:hAnsi="Times New Roman" w:eastAsia="仿宋_GB2312" w:cs="Times New Roman"/>
                <w:b/>
                <w:color w:val="auto"/>
                <w:kern w:val="0"/>
                <w:sz w:val="21"/>
                <w:szCs w:val="21"/>
              </w:rPr>
              <w:t>地块编号</w:t>
            </w:r>
          </w:p>
        </w:tc>
        <w:tc>
          <w:tcPr>
            <w:tcW w:w="2459" w:type="dxa"/>
            <w:shd w:val="clear" w:color="auto" w:fill="auto"/>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用地类别</w:t>
            </w:r>
          </w:p>
        </w:tc>
        <w:tc>
          <w:tcPr>
            <w:tcW w:w="1227"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面积</w:t>
            </w:r>
            <w:r>
              <w:rPr>
                <w:rFonts w:hint="eastAsia" w:ascii="Times New Roman" w:hAnsi="Times New Roman" w:eastAsia="仿宋_GB2312" w:cs="Times New Roman"/>
                <w:b/>
                <w:color w:val="auto"/>
                <w:kern w:val="0"/>
                <w:sz w:val="21"/>
                <w:szCs w:val="21"/>
              </w:rPr>
              <w:t>（m</w:t>
            </w:r>
            <w:r>
              <w:rPr>
                <w:rFonts w:hint="eastAsia" w:ascii="Times New Roman" w:hAnsi="Times New Roman" w:eastAsia="仿宋_GB2312" w:cs="Times New Roman"/>
                <w:b/>
                <w:color w:val="auto"/>
                <w:kern w:val="0"/>
                <w:sz w:val="21"/>
                <w:szCs w:val="21"/>
                <w:vertAlign w:val="superscript"/>
              </w:rPr>
              <w:t>2</w:t>
            </w:r>
            <w:r>
              <w:rPr>
                <w:rFonts w:hint="eastAsia" w:ascii="Times New Roman" w:hAnsi="Times New Roman" w:eastAsia="仿宋_GB2312" w:cs="Times New Roman"/>
                <w:b/>
                <w:color w:val="auto"/>
                <w:kern w:val="0"/>
                <w:sz w:val="21"/>
                <w:szCs w:val="21"/>
              </w:rPr>
              <w:t>）</w:t>
            </w:r>
          </w:p>
        </w:tc>
        <w:tc>
          <w:tcPr>
            <w:tcW w:w="3351" w:type="dxa"/>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E01</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227"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5355</w:t>
            </w:r>
          </w:p>
        </w:tc>
        <w:tc>
          <w:tcPr>
            <w:tcW w:w="3351"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E02</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227"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39902</w:t>
            </w:r>
          </w:p>
        </w:tc>
        <w:tc>
          <w:tcPr>
            <w:tcW w:w="3351"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E03</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防护绿地</w:t>
            </w:r>
            <w:r>
              <w:rPr>
                <w:rFonts w:hint="eastAsia" w:ascii="Times New Roman" w:hAnsi="Times New Roman" w:eastAsia="仿宋_GB2312" w:cs="Times New Roman"/>
                <w:color w:val="auto"/>
                <w:kern w:val="0"/>
                <w:sz w:val="21"/>
                <w:szCs w:val="21"/>
              </w:rPr>
              <w:t>（G2）</w:t>
            </w:r>
          </w:p>
        </w:tc>
        <w:tc>
          <w:tcPr>
            <w:tcW w:w="1227"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2746</w:t>
            </w:r>
          </w:p>
        </w:tc>
        <w:tc>
          <w:tcPr>
            <w:tcW w:w="3351"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E04</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环卫用地</w:t>
            </w:r>
            <w:r>
              <w:rPr>
                <w:rFonts w:hint="eastAsia" w:ascii="Times New Roman" w:hAnsi="Times New Roman" w:eastAsia="仿宋_GB2312" w:cs="Times New Roman"/>
                <w:color w:val="auto"/>
                <w:kern w:val="0"/>
                <w:sz w:val="21"/>
                <w:szCs w:val="21"/>
              </w:rPr>
              <w:t>（U22）</w:t>
            </w:r>
          </w:p>
        </w:tc>
        <w:tc>
          <w:tcPr>
            <w:tcW w:w="1227"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17208</w:t>
            </w:r>
          </w:p>
        </w:tc>
        <w:tc>
          <w:tcPr>
            <w:tcW w:w="3351"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E05</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227"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6569</w:t>
            </w:r>
          </w:p>
        </w:tc>
        <w:tc>
          <w:tcPr>
            <w:tcW w:w="3351"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E06</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227"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73216</w:t>
            </w:r>
          </w:p>
        </w:tc>
        <w:tc>
          <w:tcPr>
            <w:tcW w:w="3351"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E07</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227"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5787</w:t>
            </w:r>
          </w:p>
        </w:tc>
        <w:tc>
          <w:tcPr>
            <w:tcW w:w="3351"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E08</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227"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21180</w:t>
            </w:r>
          </w:p>
        </w:tc>
        <w:tc>
          <w:tcPr>
            <w:tcW w:w="3351"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已出让</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暂未扰动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E09</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227"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46731</w:t>
            </w:r>
          </w:p>
        </w:tc>
        <w:tc>
          <w:tcPr>
            <w:tcW w:w="3351"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已出让</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区域评估前已场地平整</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未编报水土保持方案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E10</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227"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4386</w:t>
            </w:r>
          </w:p>
        </w:tc>
        <w:tc>
          <w:tcPr>
            <w:tcW w:w="3351"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E11</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227"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28954</w:t>
            </w:r>
          </w:p>
        </w:tc>
        <w:tc>
          <w:tcPr>
            <w:tcW w:w="3351"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已出让</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区域评估前场地已完成建设</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未编报水土保持方案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E12</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227"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10249</w:t>
            </w:r>
          </w:p>
        </w:tc>
        <w:tc>
          <w:tcPr>
            <w:tcW w:w="3351"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E13</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供应设施用地</w:t>
            </w:r>
            <w:r>
              <w:rPr>
                <w:rFonts w:hint="eastAsia" w:ascii="Times New Roman" w:hAnsi="Times New Roman" w:eastAsia="仿宋_GB2312" w:cs="Times New Roman"/>
                <w:color w:val="auto"/>
                <w:kern w:val="0"/>
                <w:sz w:val="21"/>
                <w:szCs w:val="21"/>
              </w:rPr>
              <w:t>（U1）</w:t>
            </w:r>
          </w:p>
        </w:tc>
        <w:tc>
          <w:tcPr>
            <w:tcW w:w="1227"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3914</w:t>
            </w:r>
          </w:p>
        </w:tc>
        <w:tc>
          <w:tcPr>
            <w:tcW w:w="3351"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E14</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防护绿地</w:t>
            </w:r>
            <w:r>
              <w:rPr>
                <w:rFonts w:hint="eastAsia" w:ascii="Times New Roman" w:hAnsi="Times New Roman" w:eastAsia="仿宋_GB2312" w:cs="Times New Roman"/>
                <w:color w:val="auto"/>
                <w:kern w:val="0"/>
                <w:sz w:val="21"/>
                <w:szCs w:val="21"/>
              </w:rPr>
              <w:t>（G2）</w:t>
            </w:r>
          </w:p>
        </w:tc>
        <w:tc>
          <w:tcPr>
            <w:tcW w:w="1227"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2089</w:t>
            </w:r>
          </w:p>
        </w:tc>
        <w:tc>
          <w:tcPr>
            <w:tcW w:w="3351"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E15</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社会停车场用地</w:t>
            </w:r>
            <w:r>
              <w:rPr>
                <w:rFonts w:hint="eastAsia" w:ascii="Times New Roman" w:hAnsi="Times New Roman" w:eastAsia="仿宋_GB2312" w:cs="Times New Roman"/>
                <w:color w:val="auto"/>
                <w:kern w:val="0"/>
                <w:sz w:val="21"/>
                <w:szCs w:val="21"/>
              </w:rPr>
              <w:t>（S42）</w:t>
            </w:r>
          </w:p>
        </w:tc>
        <w:tc>
          <w:tcPr>
            <w:tcW w:w="1227"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5418</w:t>
            </w:r>
          </w:p>
        </w:tc>
        <w:tc>
          <w:tcPr>
            <w:tcW w:w="3351"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E16</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零售商业用地</w:t>
            </w:r>
            <w:r>
              <w:rPr>
                <w:rFonts w:hint="eastAsia" w:ascii="Times New Roman" w:hAnsi="Times New Roman" w:eastAsia="仿宋_GB2312" w:cs="Times New Roman"/>
                <w:color w:val="auto"/>
                <w:kern w:val="0"/>
                <w:sz w:val="21"/>
                <w:szCs w:val="21"/>
              </w:rPr>
              <w:t>（B1）</w:t>
            </w:r>
          </w:p>
        </w:tc>
        <w:tc>
          <w:tcPr>
            <w:tcW w:w="1227"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15628</w:t>
            </w:r>
          </w:p>
        </w:tc>
        <w:tc>
          <w:tcPr>
            <w:tcW w:w="3351"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E17</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227"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113247</w:t>
            </w:r>
          </w:p>
        </w:tc>
        <w:tc>
          <w:tcPr>
            <w:tcW w:w="3351"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已出让</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正在施工建设</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区域评估前入驻企业已编报水土保持方案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E18</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供水工地</w:t>
            </w:r>
            <w:r>
              <w:rPr>
                <w:rFonts w:hint="eastAsia" w:ascii="Times New Roman" w:hAnsi="Times New Roman" w:eastAsia="仿宋_GB2312" w:cs="Times New Roman"/>
                <w:color w:val="auto"/>
                <w:kern w:val="0"/>
                <w:sz w:val="21"/>
                <w:szCs w:val="21"/>
              </w:rPr>
              <w:t>（U11）</w:t>
            </w:r>
          </w:p>
        </w:tc>
        <w:tc>
          <w:tcPr>
            <w:tcW w:w="1227"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107534</w:t>
            </w:r>
          </w:p>
        </w:tc>
        <w:tc>
          <w:tcPr>
            <w:tcW w:w="3351"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E19</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227"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33848</w:t>
            </w:r>
          </w:p>
        </w:tc>
        <w:tc>
          <w:tcPr>
            <w:tcW w:w="3351"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已出让</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区域评估前已场地平整</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未编报水土保持方案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E20</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防护绿地</w:t>
            </w:r>
            <w:r>
              <w:rPr>
                <w:rFonts w:hint="eastAsia" w:ascii="Times New Roman" w:hAnsi="Times New Roman" w:eastAsia="仿宋_GB2312" w:cs="Times New Roman"/>
                <w:color w:val="auto"/>
                <w:kern w:val="0"/>
                <w:sz w:val="21"/>
                <w:szCs w:val="21"/>
              </w:rPr>
              <w:t>（G2）</w:t>
            </w:r>
          </w:p>
        </w:tc>
        <w:tc>
          <w:tcPr>
            <w:tcW w:w="1227"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36196</w:t>
            </w:r>
          </w:p>
        </w:tc>
        <w:tc>
          <w:tcPr>
            <w:tcW w:w="3351"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E21</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227"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181874</w:t>
            </w:r>
          </w:p>
        </w:tc>
        <w:tc>
          <w:tcPr>
            <w:tcW w:w="3351"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已出让</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正在施工建设</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区域评估前入驻企业已编报水土保持方案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E22</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防护绿地</w:t>
            </w:r>
            <w:r>
              <w:rPr>
                <w:rFonts w:hint="eastAsia" w:ascii="Times New Roman" w:hAnsi="Times New Roman" w:eastAsia="仿宋_GB2312" w:cs="Times New Roman"/>
                <w:color w:val="auto"/>
                <w:kern w:val="0"/>
                <w:sz w:val="21"/>
                <w:szCs w:val="21"/>
              </w:rPr>
              <w:t>（G2）</w:t>
            </w:r>
          </w:p>
        </w:tc>
        <w:tc>
          <w:tcPr>
            <w:tcW w:w="1227"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52536</w:t>
            </w:r>
          </w:p>
        </w:tc>
        <w:tc>
          <w:tcPr>
            <w:tcW w:w="3351"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F08</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41363</w:t>
            </w:r>
          </w:p>
        </w:tc>
        <w:tc>
          <w:tcPr>
            <w:tcW w:w="3351" w:type="dxa"/>
            <w:vAlign w:val="center"/>
          </w:tcPr>
          <w:p>
            <w:pPr>
              <w:widowControl/>
              <w:jc w:val="center"/>
              <w:rPr>
                <w:rFonts w:ascii="Times New Roman" w:hAnsi="Times New Roman" w:eastAsia="仿宋_GB2312"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F14</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公园绿地（G1）</w:t>
            </w:r>
          </w:p>
        </w:tc>
        <w:tc>
          <w:tcPr>
            <w:tcW w:w="1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27766</w:t>
            </w:r>
          </w:p>
        </w:tc>
        <w:tc>
          <w:tcPr>
            <w:tcW w:w="3351" w:type="dxa"/>
            <w:vAlign w:val="center"/>
          </w:tcPr>
          <w:p>
            <w:pPr>
              <w:widowControl/>
              <w:jc w:val="center"/>
              <w:rPr>
                <w:rFonts w:ascii="Times New Roman" w:hAnsi="Times New Roman" w:eastAsia="仿宋_GB2312"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F18</w:t>
            </w:r>
          </w:p>
        </w:tc>
        <w:tc>
          <w:tcPr>
            <w:tcW w:w="24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防护绿地</w:t>
            </w:r>
            <w:r>
              <w:rPr>
                <w:rFonts w:hint="eastAsia" w:ascii="Times New Roman" w:hAnsi="Times New Roman" w:eastAsia="仿宋_GB2312" w:cs="Times New Roman"/>
                <w:color w:val="auto"/>
                <w:kern w:val="0"/>
                <w:sz w:val="21"/>
                <w:szCs w:val="21"/>
              </w:rPr>
              <w:t>（G2）</w:t>
            </w:r>
          </w:p>
        </w:tc>
        <w:tc>
          <w:tcPr>
            <w:tcW w:w="1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5078</w:t>
            </w:r>
          </w:p>
        </w:tc>
        <w:tc>
          <w:tcPr>
            <w:tcW w:w="3351" w:type="dxa"/>
            <w:vAlign w:val="center"/>
          </w:tcPr>
          <w:p>
            <w:pPr>
              <w:widowControl/>
              <w:jc w:val="center"/>
              <w:rPr>
                <w:rFonts w:ascii="Times New Roman" w:hAnsi="Times New Roman" w:eastAsia="仿宋_GB2312"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742" w:type="dxa"/>
            <w:gridSpan w:val="2"/>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总计</w:t>
            </w:r>
          </w:p>
        </w:tc>
        <w:tc>
          <w:tcPr>
            <w:tcW w:w="1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888774</w:t>
            </w:r>
          </w:p>
        </w:tc>
        <w:tc>
          <w:tcPr>
            <w:tcW w:w="3351" w:type="dxa"/>
            <w:vAlign w:val="center"/>
          </w:tcPr>
          <w:p>
            <w:pPr>
              <w:widowControl/>
              <w:jc w:val="center"/>
              <w:rPr>
                <w:rFonts w:ascii="Times New Roman" w:hAnsi="Times New Roman" w:eastAsia="仿宋_GB2312" w:cs="Times New Roman"/>
                <w:color w:val="auto"/>
                <w:kern w:val="0"/>
                <w:sz w:val="21"/>
                <w:szCs w:val="21"/>
              </w:rPr>
            </w:pPr>
          </w:p>
        </w:tc>
      </w:tr>
    </w:tbl>
    <w:p>
      <w:pPr>
        <w:adjustRightInd w:val="0"/>
        <w:snapToGrid w:val="0"/>
        <w:spacing w:line="360" w:lineRule="auto"/>
        <w:jc w:val="left"/>
        <w:rPr>
          <w:rFonts w:ascii="Times New Roman" w:hAnsi="Times New Roman" w:eastAsia="仿宋_GB2312" w:cs="Times New Roman"/>
          <w:color w:val="auto"/>
          <w:szCs w:val="24"/>
        </w:rPr>
      </w:pPr>
    </w:p>
    <w:p>
      <w:pPr>
        <w:adjustRightInd w:val="0"/>
        <w:snapToGrid w:val="0"/>
        <w:spacing w:line="360" w:lineRule="auto"/>
        <w:ind w:firstLine="480" w:firstLineChars="200"/>
        <w:jc w:val="left"/>
        <w:rPr>
          <w:rFonts w:ascii="Times New Roman" w:hAnsi="Times New Roman" w:eastAsia="仿宋_GB2312" w:cs="Times New Roman"/>
          <w:color w:val="auto"/>
          <w:szCs w:val="24"/>
        </w:rPr>
        <w:sectPr>
          <w:headerReference r:id="rId12" w:type="default"/>
          <w:footerReference r:id="rId13" w:type="default"/>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32" w:charSpace="0"/>
        </w:sectPr>
      </w:pPr>
    </w:p>
    <w:p>
      <w:pPr>
        <w:adjustRightInd w:val="0"/>
        <w:snapToGrid w:val="0"/>
        <w:spacing w:line="360" w:lineRule="auto"/>
        <w:jc w:val="center"/>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drawing>
          <wp:inline distT="0" distB="0" distL="0" distR="0">
            <wp:extent cx="7988935" cy="5408295"/>
            <wp:effectExtent l="19050" t="0" r="0" b="0"/>
            <wp:docPr id="1" name="图片 7" descr="C:\Users\Administrator\AppData\Local\Microsoft\Windows\INetCache\Content.Word\总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7" descr="C:\Users\Administrator\AppData\Local\Microsoft\Windows\INetCache\Content.Word\总图.jpg"/>
                    <pic:cNvPicPr>
                      <a:picLocks noChangeAspect="1" noChangeArrowheads="1"/>
                    </pic:cNvPicPr>
                  </pic:nvPicPr>
                  <pic:blipFill>
                    <a:blip r:embed="rId56" cstate="print"/>
                    <a:srcRect/>
                    <a:stretch>
                      <a:fillRect/>
                    </a:stretch>
                  </pic:blipFill>
                  <pic:spPr>
                    <a:xfrm>
                      <a:off x="0" y="0"/>
                      <a:ext cx="7989108" cy="5408592"/>
                    </a:xfrm>
                    <a:prstGeom prst="rect">
                      <a:avLst/>
                    </a:prstGeom>
                    <a:noFill/>
                    <a:ln w="9525">
                      <a:noFill/>
                      <a:miter lim="800000"/>
                      <a:headEnd/>
                      <a:tailEnd/>
                    </a:ln>
                  </pic:spPr>
                </pic:pic>
              </a:graphicData>
            </a:graphic>
          </wp:inline>
        </w:drawing>
      </w:r>
    </w:p>
    <w:p>
      <w:pPr>
        <w:adjustRightInd w:val="0"/>
        <w:snapToGrid w:val="0"/>
        <w:spacing w:line="360" w:lineRule="auto"/>
        <w:jc w:val="center"/>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图2.1-2：土地利用规划图</w:t>
      </w:r>
    </w:p>
    <w:p>
      <w:pPr>
        <w:adjustRightInd w:val="0"/>
        <w:snapToGrid w:val="0"/>
        <w:spacing w:beforeLines="50" w:line="360" w:lineRule="auto"/>
        <w:ind w:firstLine="482" w:firstLineChars="200"/>
        <w:jc w:val="left"/>
        <w:rPr>
          <w:rFonts w:ascii="Times New Roman" w:hAnsi="Times New Roman" w:eastAsia="仿宋_GB2312" w:cs="Times New Roman"/>
          <w:b/>
          <w:color w:val="auto"/>
          <w:szCs w:val="24"/>
        </w:rPr>
        <w:sectPr>
          <w:headerReference r:id="rId14" w:type="default"/>
          <w:footerReference r:id="rId15" w:type="default"/>
          <w:pgSz w:w="16838" w:h="11906" w:orient="landscape"/>
          <w:pgMar w:top="1440" w:right="1627" w:bottom="1440" w:left="1627" w:header="851" w:footer="992" w:gutter="0"/>
          <w:pgBorders>
            <w:top w:val="none" w:sz="0" w:space="0"/>
            <w:left w:val="none" w:sz="0" w:space="0"/>
            <w:bottom w:val="none" w:sz="0" w:space="0"/>
            <w:right w:val="none" w:sz="0" w:space="0"/>
          </w:pgBorders>
          <w:cols w:space="720" w:num="1"/>
          <w:docGrid w:type="lines" w:linePitch="332" w:charSpace="0"/>
        </w:sectPr>
      </w:pPr>
    </w:p>
    <w:p>
      <w:pPr>
        <w:keepNext/>
        <w:keepLines/>
        <w:spacing w:line="360" w:lineRule="auto"/>
        <w:outlineLvl w:val="3"/>
        <w:rPr>
          <w:rFonts w:ascii="Times New Roman" w:hAnsi="Times New Roman" w:eastAsia="仿宋_GB2312" w:cs="Times New Roman"/>
          <w:b/>
          <w:bCs/>
          <w:color w:val="auto"/>
          <w:sz w:val="28"/>
          <w:szCs w:val="28"/>
        </w:rPr>
      </w:pPr>
      <w:r>
        <w:rPr>
          <w:rFonts w:hint="eastAsia" w:ascii="Times New Roman" w:hAnsi="Times New Roman" w:eastAsia="仿宋_GB2312" w:cs="Times New Roman"/>
          <w:b/>
          <w:bCs/>
          <w:color w:val="auto"/>
          <w:sz w:val="28"/>
          <w:szCs w:val="28"/>
        </w:rPr>
        <w:t>2.1.3.2 区域原始情况</w:t>
      </w:r>
    </w:p>
    <w:p>
      <w:pPr>
        <w:adjustRightInd w:val="0"/>
        <w:snapToGrid w:val="0"/>
        <w:spacing w:line="360" w:lineRule="auto"/>
        <w:ind w:firstLine="480" w:firstLineChars="200"/>
        <w:jc w:val="left"/>
        <w:rPr>
          <w:rFonts w:hint="eastAsia" w:ascii="Times New Roman" w:hAnsi="Times New Roman" w:eastAsia="仿宋_GB2312" w:cs="Times New Roman"/>
          <w:color w:val="auto"/>
          <w:szCs w:val="24"/>
        </w:rPr>
      </w:pPr>
      <w:r>
        <w:rPr>
          <w:rFonts w:hint="eastAsia" w:ascii="Times New Roman" w:hAnsi="Times New Roman" w:eastAsia="仿宋_GB2312" w:cs="Times New Roman"/>
          <w:color w:val="auto"/>
          <w:szCs w:val="24"/>
        </w:rPr>
        <w:t>（1）区域现状建设情况</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根据2020年6月印发的《关于明确南昌市区域性评估评价试点区域的请示》（洪发改文[2020]148号），本区域为青山湖区试点区域，</w:t>
      </w:r>
      <w:r>
        <w:rPr>
          <w:rFonts w:hint="eastAsia" w:ascii="Times New Roman" w:hAnsi="Times New Roman" w:eastAsia="仿宋_GB2312" w:cs="Times New Roman"/>
          <w:color w:val="auto"/>
          <w:szCs w:val="24"/>
          <w:lang w:val="zh-CN"/>
        </w:rPr>
        <w:t>位于西总干渠水系以东、谢佛路以南、南嵩路以西、昌南大道以北，</w:t>
      </w:r>
      <w:r>
        <w:rPr>
          <w:rFonts w:hint="eastAsia" w:ascii="Times New Roman" w:hAnsi="Times New Roman" w:eastAsia="仿宋_GB2312" w:cs="Times New Roman"/>
          <w:color w:val="auto"/>
          <w:szCs w:val="24"/>
        </w:rPr>
        <w:t>用地面积100hm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。区域于2021年1月建设，规划前已出让E08、E09、E11、E17、E19和E21共计6个地块，均为出让的一类工业用地（M1），区域内已建有经十八路（谢佛路至杨家山路段）和杨家山路（西总干渠至南嵩路段）。</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其中E08、E17和E21地块出让企业为南昌昌东项目管理有限公司，作为南昌电子信息（LED）产业创新示范园（二期）的建设用地。E08地块暂未扰动，E17和E21地块部分区域共计26.34hm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作为南昌电子信息（LED）产业创新示范园（二期）一组团项目建设用地。该项目已于2020年9月开工建设，南昌昌东项目管理有限公司于2021年1月委托江西日福生态科技有限公司编制了水土保持方案，于2021年3月8日青山湖区农业农村局召开了该项目水土保持方案技术审查会，于2021年3月22日取得了南昌市青山湖区农业农村局下发的《南昌电子信息（LED）产业创新示范园（二期）一组团项目水土保持方案报告书的批复》（湖农字[2021]26号）。E17、E21剩余部分的3.17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及E08地块作为后续电子信息产业园的建设用地。</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E09地块出让企业为江西省融澳实业发展有限公司，作为江西省融澳实业发展有限公司高端服装产业园的建设用地，评估报告介入前</w:t>
      </w:r>
      <w:r>
        <w:rPr>
          <w:rFonts w:hint="eastAsia" w:ascii="Times New Roman" w:hAnsi="Times New Roman" w:eastAsia="仿宋_GB2312" w:cs="Times New Roman"/>
          <w:color w:val="auto"/>
          <w:szCs w:val="24"/>
          <w:lang w:eastAsia="zh-CN"/>
        </w:rPr>
        <w:t>已对场地进行了</w:t>
      </w:r>
      <w:r>
        <w:rPr>
          <w:rFonts w:hint="eastAsia" w:ascii="Times New Roman" w:hAnsi="Times New Roman" w:eastAsia="仿宋_GB2312" w:cs="Times New Roman"/>
          <w:color w:val="auto"/>
          <w:szCs w:val="24"/>
        </w:rPr>
        <w:t>平整，江西省融澳实业发展有限公司尚未进场施工建设。</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E11地块出让企业为江西通宝冷冻食品有限公司，作为江西通宝冷冻食品有限公司服装产业园的建设用地，该地块已于2020年开工建设，截止区域评估</w:t>
      </w:r>
      <w:r>
        <w:rPr>
          <w:rFonts w:hint="eastAsia" w:ascii="Times New Roman" w:hAnsi="Times New Roman" w:eastAsia="仿宋_GB2312" w:cs="Times New Roman"/>
          <w:color w:val="auto"/>
          <w:szCs w:val="24"/>
          <w:lang w:val="en-US" w:eastAsia="zh-CN"/>
        </w:rPr>
        <w:t>报告</w:t>
      </w:r>
      <w:r>
        <w:rPr>
          <w:rFonts w:hint="eastAsia" w:ascii="Times New Roman" w:hAnsi="Times New Roman" w:eastAsia="仿宋_GB2312" w:cs="Times New Roman"/>
          <w:color w:val="auto"/>
          <w:szCs w:val="24"/>
        </w:rPr>
        <w:t>介入时，已基本完成建设，建有4栋8~10层厂房，地下车库8000m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，未编报水土保持方案。</w:t>
      </w:r>
    </w:p>
    <w:p>
      <w:pPr>
        <w:adjustRightInd w:val="0"/>
        <w:snapToGrid w:val="0"/>
        <w:spacing w:line="360" w:lineRule="auto"/>
        <w:ind w:firstLine="480" w:firstLineChars="200"/>
        <w:jc w:val="left"/>
        <w:rPr>
          <w:rFonts w:hint="eastAsia" w:ascii="仿宋_GB2312" w:hAnsi="仿宋_GB2312" w:eastAsia="仿宋_GB2312" w:cs="仿宋_GB2312"/>
          <w:color w:val="auto"/>
          <w:szCs w:val="24"/>
        </w:rPr>
      </w:pPr>
      <w:r>
        <w:rPr>
          <w:rFonts w:hint="eastAsia" w:ascii="Times New Roman" w:hAnsi="Times New Roman" w:eastAsia="仿宋_GB2312" w:cs="Times New Roman"/>
          <w:color w:val="auto"/>
          <w:szCs w:val="24"/>
        </w:rPr>
        <w:t>E19地块出让企业为江西</w:t>
      </w:r>
      <w:r>
        <w:rPr>
          <w:rFonts w:hint="eastAsia" w:ascii="仿宋_GB2312" w:hAnsi="宋体" w:cs="宋体"/>
          <w:color w:val="auto"/>
          <w:szCs w:val="24"/>
        </w:rPr>
        <w:t>曌赟</w:t>
      </w:r>
      <w:r>
        <w:rPr>
          <w:rFonts w:hint="eastAsia" w:ascii="仿宋_GB2312" w:hAnsi="宋体" w:eastAsia="仿宋_GB2312" w:cs="宋体"/>
          <w:color w:val="auto"/>
          <w:szCs w:val="24"/>
        </w:rPr>
        <w:t>实业有限公司，作为南昌</w:t>
      </w:r>
      <w:r>
        <w:rPr>
          <w:rFonts w:hint="eastAsia" w:ascii="仿宋_GB2312" w:hAnsi="宋体" w:cs="宋体"/>
          <w:color w:val="auto"/>
          <w:szCs w:val="24"/>
        </w:rPr>
        <w:t>曌赟</w:t>
      </w:r>
      <w:r>
        <w:rPr>
          <w:rFonts w:hint="eastAsia" w:ascii="仿宋_GB2312" w:hAnsi="宋体" w:eastAsia="仿宋_GB2312" w:cs="宋体"/>
          <w:color w:val="auto"/>
          <w:szCs w:val="24"/>
        </w:rPr>
        <w:t>电子科技产业园的建设用地，</w:t>
      </w:r>
      <w:r>
        <w:rPr>
          <w:rFonts w:hint="eastAsia" w:ascii="Times New Roman" w:hAnsi="Times New Roman" w:eastAsia="仿宋_GB2312" w:cs="Times New Roman"/>
          <w:color w:val="auto"/>
          <w:szCs w:val="24"/>
        </w:rPr>
        <w:t>评估报告介入前</w:t>
      </w:r>
      <w:r>
        <w:rPr>
          <w:rFonts w:hint="eastAsia" w:ascii="Times New Roman" w:hAnsi="Times New Roman" w:eastAsia="仿宋_GB2312" w:cs="Times New Roman"/>
          <w:color w:val="auto"/>
          <w:szCs w:val="24"/>
          <w:lang w:eastAsia="zh-CN"/>
        </w:rPr>
        <w:t>已对场地进行了</w:t>
      </w:r>
      <w:r>
        <w:rPr>
          <w:rFonts w:hint="eastAsia" w:ascii="Times New Roman" w:hAnsi="Times New Roman" w:eastAsia="仿宋_GB2312" w:cs="Times New Roman"/>
          <w:color w:val="auto"/>
          <w:szCs w:val="24"/>
        </w:rPr>
        <w:t>平整，</w:t>
      </w:r>
      <w:r>
        <w:rPr>
          <w:rFonts w:hint="eastAsia" w:ascii="仿宋_GB2312" w:hAnsi="仿宋_GB2312" w:eastAsia="仿宋_GB2312" w:cs="仿宋_GB2312"/>
          <w:color w:val="auto"/>
          <w:szCs w:val="24"/>
        </w:rPr>
        <w:t>江西曌赟实业有限公司尚未进场施工建设。</w:t>
      </w:r>
    </w:p>
    <w:p>
      <w:pPr>
        <w:adjustRightInd w:val="0"/>
        <w:snapToGrid w:val="0"/>
        <w:spacing w:line="360" w:lineRule="auto"/>
        <w:ind w:firstLine="480" w:firstLineChars="200"/>
        <w:jc w:val="left"/>
        <w:rPr>
          <w:rFonts w:hint="eastAsia" w:ascii="Times New Roman" w:hAnsi="Times New Roman" w:eastAsia="仿宋_GB2312" w:cs="Times New Roman"/>
          <w:color w:val="auto"/>
          <w:szCs w:val="24"/>
        </w:rPr>
      </w:pPr>
      <w:r>
        <w:rPr>
          <w:rFonts w:hint="eastAsia" w:ascii="Times New Roman" w:hAnsi="Times New Roman" w:eastAsia="仿宋_GB2312" w:cs="Times New Roman"/>
          <w:color w:val="auto"/>
          <w:szCs w:val="24"/>
        </w:rPr>
        <w:t>区域内道路的经十八路（谢佛路至杨家山路段）和杨家山路（西总干渠至南嵩路段）已完成建设，经十八路已建路段（谢佛路至杨家山路段）长521m，宽20m，建成面积为1.14hm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；杨家山路已建成路段（西总干渠至南嵩路段）长1336m，宽20m，建成面积为2.79hm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w:t>
      </w:r>
    </w:p>
    <w:p>
      <w:pPr>
        <w:adjustRightInd w:val="0"/>
        <w:snapToGrid w:val="0"/>
        <w:spacing w:line="360" w:lineRule="auto"/>
        <w:jc w:val="center"/>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表2.1-3：评估区域各地块及道路建设情况一览表</w:t>
      </w:r>
    </w:p>
    <w:tbl>
      <w:tblPr>
        <w:tblStyle w:val="37"/>
        <w:tblW w:w="914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43"/>
        <w:gridCol w:w="2224"/>
        <w:gridCol w:w="1175"/>
        <w:gridCol w:w="390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8" w:hRule="atLeast"/>
          <w:tblHeader/>
          <w:jc w:val="center"/>
        </w:trPr>
        <w:tc>
          <w:tcPr>
            <w:tcW w:w="1843"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hint="eastAsia" w:ascii="Times New Roman" w:hAnsi="Times New Roman" w:eastAsia="仿宋_GB2312" w:cs="Times New Roman"/>
                <w:b/>
                <w:color w:val="auto"/>
                <w:kern w:val="0"/>
                <w:sz w:val="21"/>
                <w:szCs w:val="21"/>
              </w:rPr>
              <w:t>地块编号</w:t>
            </w:r>
          </w:p>
        </w:tc>
        <w:tc>
          <w:tcPr>
            <w:tcW w:w="2224" w:type="dxa"/>
            <w:shd w:val="clear" w:color="auto" w:fill="auto"/>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用地类别</w:t>
            </w:r>
          </w:p>
        </w:tc>
        <w:tc>
          <w:tcPr>
            <w:tcW w:w="1175"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面积</w:t>
            </w:r>
            <w:r>
              <w:rPr>
                <w:rFonts w:hint="eastAsia" w:ascii="Times New Roman" w:hAnsi="Times New Roman" w:eastAsia="仿宋_GB2312" w:cs="Times New Roman"/>
                <w:b/>
                <w:color w:val="auto"/>
                <w:kern w:val="0"/>
                <w:sz w:val="21"/>
                <w:szCs w:val="21"/>
              </w:rPr>
              <w:t>（m</w:t>
            </w:r>
            <w:r>
              <w:rPr>
                <w:rFonts w:hint="eastAsia" w:ascii="Times New Roman" w:hAnsi="Times New Roman" w:eastAsia="仿宋_GB2312" w:cs="Times New Roman"/>
                <w:b/>
                <w:color w:val="auto"/>
                <w:kern w:val="0"/>
                <w:sz w:val="21"/>
                <w:szCs w:val="21"/>
                <w:vertAlign w:val="superscript"/>
              </w:rPr>
              <w:t>2</w:t>
            </w:r>
            <w:r>
              <w:rPr>
                <w:rFonts w:hint="eastAsia" w:ascii="Times New Roman" w:hAnsi="Times New Roman" w:eastAsia="仿宋_GB2312" w:cs="Times New Roman"/>
                <w:b/>
                <w:color w:val="auto"/>
                <w:kern w:val="0"/>
                <w:sz w:val="21"/>
                <w:szCs w:val="21"/>
              </w:rPr>
              <w:t>）</w:t>
            </w:r>
          </w:p>
        </w:tc>
        <w:tc>
          <w:tcPr>
            <w:tcW w:w="3907" w:type="dxa"/>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067" w:type="dxa"/>
            <w:gridSpan w:val="2"/>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已建区域</w:t>
            </w:r>
          </w:p>
        </w:tc>
        <w:tc>
          <w:tcPr>
            <w:tcW w:w="1175" w:type="dxa"/>
            <w:shd w:val="clear" w:color="auto" w:fill="auto"/>
            <w:noWrap/>
            <w:vAlign w:val="center"/>
          </w:tcPr>
          <w:p>
            <w:pPr>
              <w:jc w:val="center"/>
              <w:rPr>
                <w:rFonts w:ascii="Times New Roman" w:hAnsi="Times New Roman" w:cs="Times New Roman"/>
                <w:b/>
                <w:color w:val="auto"/>
                <w:sz w:val="21"/>
                <w:szCs w:val="21"/>
              </w:rPr>
            </w:pPr>
            <w:r>
              <w:rPr>
                <w:rFonts w:hint="eastAsia" w:ascii="Times New Roman" w:hAnsi="Times New Roman" w:cs="Times New Roman"/>
                <w:b/>
                <w:color w:val="auto"/>
                <w:sz w:val="21"/>
                <w:szCs w:val="21"/>
              </w:rPr>
              <w:t>148854</w:t>
            </w:r>
          </w:p>
        </w:tc>
        <w:tc>
          <w:tcPr>
            <w:tcW w:w="3907"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6" w:hRule="atLeast"/>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E09</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175"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46731</w:t>
            </w:r>
          </w:p>
        </w:tc>
        <w:tc>
          <w:tcPr>
            <w:tcW w:w="3907"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已出让</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场地平整</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未编报水土保持方案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E11</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175"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28954</w:t>
            </w:r>
          </w:p>
        </w:tc>
        <w:tc>
          <w:tcPr>
            <w:tcW w:w="3907"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已出让</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未编报水土保持方案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E19</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175"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33848</w:t>
            </w:r>
          </w:p>
        </w:tc>
        <w:tc>
          <w:tcPr>
            <w:tcW w:w="3907"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已出让</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场地平整</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未编报水土保持方案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hint="eastAsia"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经十八路（谢佛路至杨家山路段）</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道路用地</w:t>
            </w:r>
            <w:r>
              <w:rPr>
                <w:rFonts w:hint="eastAsia" w:ascii="Times New Roman" w:hAnsi="Times New Roman" w:eastAsia="仿宋_GB2312" w:cs="Times New Roman"/>
                <w:color w:val="auto"/>
                <w:kern w:val="0"/>
                <w:sz w:val="21"/>
                <w:szCs w:val="21"/>
              </w:rPr>
              <w:t>（S1）</w:t>
            </w:r>
          </w:p>
        </w:tc>
        <w:tc>
          <w:tcPr>
            <w:tcW w:w="1175"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11421</w:t>
            </w:r>
          </w:p>
        </w:tc>
        <w:tc>
          <w:tcPr>
            <w:tcW w:w="3907"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未编报水土保持方案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hint="eastAsia"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杨家山路</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道路用地</w:t>
            </w:r>
            <w:r>
              <w:rPr>
                <w:rFonts w:hint="eastAsia" w:ascii="Times New Roman" w:hAnsi="Times New Roman" w:eastAsia="仿宋_GB2312" w:cs="Times New Roman"/>
                <w:color w:val="auto"/>
                <w:kern w:val="0"/>
                <w:sz w:val="21"/>
                <w:szCs w:val="21"/>
              </w:rPr>
              <w:t>（S1）</w:t>
            </w:r>
          </w:p>
        </w:tc>
        <w:tc>
          <w:tcPr>
            <w:tcW w:w="1175"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27900</w:t>
            </w:r>
          </w:p>
        </w:tc>
        <w:tc>
          <w:tcPr>
            <w:tcW w:w="3907"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未编报水土保持方案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067" w:type="dxa"/>
            <w:gridSpan w:val="2"/>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在建区域</w:t>
            </w:r>
          </w:p>
        </w:tc>
        <w:tc>
          <w:tcPr>
            <w:tcW w:w="1175" w:type="dxa"/>
            <w:shd w:val="clear" w:color="auto" w:fill="auto"/>
            <w:noWrap/>
            <w:vAlign w:val="center"/>
          </w:tcPr>
          <w:p>
            <w:pPr>
              <w:jc w:val="center"/>
              <w:rPr>
                <w:rFonts w:ascii="Times New Roman" w:hAnsi="Times New Roman" w:cs="Times New Roman"/>
                <w:b/>
                <w:color w:val="auto"/>
                <w:sz w:val="21"/>
                <w:szCs w:val="21"/>
              </w:rPr>
            </w:pPr>
            <w:r>
              <w:rPr>
                <w:rFonts w:hint="eastAsia" w:ascii="Times New Roman" w:hAnsi="Times New Roman" w:cs="Times New Roman"/>
                <w:b/>
                <w:color w:val="auto"/>
                <w:sz w:val="21"/>
                <w:szCs w:val="21"/>
              </w:rPr>
              <w:t>263447</w:t>
            </w:r>
          </w:p>
        </w:tc>
        <w:tc>
          <w:tcPr>
            <w:tcW w:w="3907"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E17部分区域</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175"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110833</w:t>
            </w:r>
          </w:p>
        </w:tc>
        <w:tc>
          <w:tcPr>
            <w:tcW w:w="3907" w:type="dxa"/>
            <w:vMerge w:val="restar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已出让</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正在</w:t>
            </w:r>
            <w:r>
              <w:rPr>
                <w:rFonts w:hint="eastAsia" w:ascii="Times New Roman" w:hAnsi="Times New Roman" w:eastAsia="仿宋_GB2312" w:cs="Times New Roman"/>
                <w:color w:val="auto"/>
                <w:sz w:val="21"/>
                <w:szCs w:val="21"/>
                <w:lang w:val="en-US" w:eastAsia="zh-CN"/>
              </w:rPr>
              <w:t>南昌电子信息（LED）产业创新示范园（二期）一组团项目</w:t>
            </w:r>
            <w:r>
              <w:rPr>
                <w:rFonts w:ascii="Times New Roman" w:hAnsi="Times New Roman" w:eastAsia="仿宋_GB2312" w:cs="Times New Roman"/>
                <w:color w:val="auto"/>
                <w:sz w:val="21"/>
                <w:szCs w:val="21"/>
              </w:rPr>
              <w:t>施工建设</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已编报水土保持方案</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取得水保批复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E21部分区域</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175"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152614</w:t>
            </w:r>
          </w:p>
        </w:tc>
        <w:tc>
          <w:tcPr>
            <w:tcW w:w="3907" w:type="dxa"/>
            <w:vMerge w:val="continue"/>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067" w:type="dxa"/>
            <w:gridSpan w:val="2"/>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未建区域</w:t>
            </w:r>
          </w:p>
        </w:tc>
        <w:tc>
          <w:tcPr>
            <w:tcW w:w="1175" w:type="dxa"/>
            <w:shd w:val="clear" w:color="auto" w:fill="auto"/>
            <w:noWrap/>
            <w:vAlign w:val="center"/>
          </w:tcPr>
          <w:p>
            <w:pPr>
              <w:jc w:val="center"/>
              <w:rPr>
                <w:rFonts w:ascii="Times New Roman" w:hAnsi="Times New Roman" w:cs="Times New Roman"/>
                <w:b/>
                <w:color w:val="auto"/>
                <w:sz w:val="21"/>
                <w:szCs w:val="21"/>
              </w:rPr>
            </w:pPr>
            <w:r>
              <w:rPr>
                <w:rFonts w:hint="eastAsia" w:ascii="Times New Roman" w:hAnsi="Times New Roman" w:cs="Times New Roman"/>
                <w:b/>
                <w:color w:val="auto"/>
                <w:sz w:val="21"/>
                <w:szCs w:val="21"/>
              </w:rPr>
              <w:t>587699</w:t>
            </w:r>
          </w:p>
        </w:tc>
        <w:tc>
          <w:tcPr>
            <w:tcW w:w="3907"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E01</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175"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5355</w:t>
            </w:r>
          </w:p>
        </w:tc>
        <w:tc>
          <w:tcPr>
            <w:tcW w:w="3907"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E02</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175"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39902</w:t>
            </w:r>
          </w:p>
        </w:tc>
        <w:tc>
          <w:tcPr>
            <w:tcW w:w="3907"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E03</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防护绿地</w:t>
            </w:r>
            <w:r>
              <w:rPr>
                <w:rFonts w:hint="eastAsia" w:ascii="Times New Roman" w:hAnsi="Times New Roman" w:eastAsia="仿宋_GB2312" w:cs="Times New Roman"/>
                <w:color w:val="auto"/>
                <w:kern w:val="0"/>
                <w:sz w:val="21"/>
                <w:szCs w:val="21"/>
              </w:rPr>
              <w:t>（G2）</w:t>
            </w:r>
          </w:p>
        </w:tc>
        <w:tc>
          <w:tcPr>
            <w:tcW w:w="1175"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2746</w:t>
            </w:r>
          </w:p>
        </w:tc>
        <w:tc>
          <w:tcPr>
            <w:tcW w:w="3907"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E04</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环卫用地</w:t>
            </w:r>
            <w:r>
              <w:rPr>
                <w:rFonts w:hint="eastAsia" w:ascii="Times New Roman" w:hAnsi="Times New Roman" w:eastAsia="仿宋_GB2312" w:cs="Times New Roman"/>
                <w:color w:val="auto"/>
                <w:kern w:val="0"/>
                <w:sz w:val="21"/>
                <w:szCs w:val="21"/>
              </w:rPr>
              <w:t>（U22）</w:t>
            </w:r>
          </w:p>
        </w:tc>
        <w:tc>
          <w:tcPr>
            <w:tcW w:w="1175"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17208</w:t>
            </w:r>
          </w:p>
        </w:tc>
        <w:tc>
          <w:tcPr>
            <w:tcW w:w="3907"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E05</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175"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6569</w:t>
            </w:r>
          </w:p>
        </w:tc>
        <w:tc>
          <w:tcPr>
            <w:tcW w:w="3907"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E06</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175"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73216</w:t>
            </w:r>
          </w:p>
        </w:tc>
        <w:tc>
          <w:tcPr>
            <w:tcW w:w="3907"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E07</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175"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5787</w:t>
            </w:r>
          </w:p>
        </w:tc>
        <w:tc>
          <w:tcPr>
            <w:tcW w:w="3907"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E08</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175"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21180</w:t>
            </w:r>
          </w:p>
        </w:tc>
        <w:tc>
          <w:tcPr>
            <w:tcW w:w="3907"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已出让</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E10</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175"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4386</w:t>
            </w:r>
          </w:p>
        </w:tc>
        <w:tc>
          <w:tcPr>
            <w:tcW w:w="3907"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E12</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175"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10249</w:t>
            </w:r>
          </w:p>
        </w:tc>
        <w:tc>
          <w:tcPr>
            <w:tcW w:w="3907" w:type="dxa"/>
            <w:vAlign w:val="center"/>
          </w:tcPr>
          <w:p>
            <w:pPr>
              <w:jc w:val="center"/>
              <w:rPr>
                <w:color w:val="auto"/>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E13</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供应设施用地</w:t>
            </w:r>
            <w:r>
              <w:rPr>
                <w:rFonts w:hint="eastAsia" w:ascii="Times New Roman" w:hAnsi="Times New Roman" w:eastAsia="仿宋_GB2312" w:cs="Times New Roman"/>
                <w:color w:val="auto"/>
                <w:kern w:val="0"/>
                <w:sz w:val="21"/>
                <w:szCs w:val="21"/>
              </w:rPr>
              <w:t>（U1）</w:t>
            </w:r>
          </w:p>
        </w:tc>
        <w:tc>
          <w:tcPr>
            <w:tcW w:w="1175"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3914</w:t>
            </w:r>
          </w:p>
        </w:tc>
        <w:tc>
          <w:tcPr>
            <w:tcW w:w="3907" w:type="dxa"/>
            <w:vAlign w:val="center"/>
          </w:tcPr>
          <w:p>
            <w:pPr>
              <w:jc w:val="center"/>
              <w:rPr>
                <w:color w:val="auto"/>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E14</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防护绿地</w:t>
            </w:r>
            <w:r>
              <w:rPr>
                <w:rFonts w:hint="eastAsia" w:ascii="Times New Roman" w:hAnsi="Times New Roman" w:eastAsia="仿宋_GB2312" w:cs="Times New Roman"/>
                <w:color w:val="auto"/>
                <w:kern w:val="0"/>
                <w:sz w:val="21"/>
                <w:szCs w:val="21"/>
              </w:rPr>
              <w:t>（G2）</w:t>
            </w:r>
          </w:p>
        </w:tc>
        <w:tc>
          <w:tcPr>
            <w:tcW w:w="1175"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2089</w:t>
            </w:r>
          </w:p>
        </w:tc>
        <w:tc>
          <w:tcPr>
            <w:tcW w:w="3907" w:type="dxa"/>
            <w:vAlign w:val="center"/>
          </w:tcPr>
          <w:p>
            <w:pPr>
              <w:jc w:val="center"/>
              <w:rPr>
                <w:color w:val="auto"/>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E15</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社会停车场用地</w:t>
            </w:r>
            <w:r>
              <w:rPr>
                <w:rFonts w:hint="eastAsia" w:ascii="Times New Roman" w:hAnsi="Times New Roman" w:eastAsia="仿宋_GB2312" w:cs="Times New Roman"/>
                <w:color w:val="auto"/>
                <w:kern w:val="0"/>
                <w:sz w:val="21"/>
                <w:szCs w:val="21"/>
              </w:rPr>
              <w:t>（S42）</w:t>
            </w:r>
          </w:p>
        </w:tc>
        <w:tc>
          <w:tcPr>
            <w:tcW w:w="1175"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5418</w:t>
            </w:r>
          </w:p>
        </w:tc>
        <w:tc>
          <w:tcPr>
            <w:tcW w:w="3907" w:type="dxa"/>
            <w:vAlign w:val="center"/>
          </w:tcPr>
          <w:p>
            <w:pPr>
              <w:jc w:val="center"/>
              <w:rPr>
                <w:color w:val="auto"/>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E16</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零售商业用地</w:t>
            </w:r>
            <w:r>
              <w:rPr>
                <w:rFonts w:hint="eastAsia" w:ascii="Times New Roman" w:hAnsi="Times New Roman" w:eastAsia="仿宋_GB2312" w:cs="Times New Roman"/>
                <w:color w:val="auto"/>
                <w:kern w:val="0"/>
                <w:sz w:val="21"/>
                <w:szCs w:val="21"/>
              </w:rPr>
              <w:t>（B1）</w:t>
            </w:r>
          </w:p>
        </w:tc>
        <w:tc>
          <w:tcPr>
            <w:tcW w:w="1175"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15628</w:t>
            </w:r>
          </w:p>
        </w:tc>
        <w:tc>
          <w:tcPr>
            <w:tcW w:w="3907" w:type="dxa"/>
            <w:vAlign w:val="center"/>
          </w:tcPr>
          <w:p>
            <w:pPr>
              <w:jc w:val="center"/>
              <w:rPr>
                <w:color w:val="auto"/>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E17剩余部分</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175"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2415</w:t>
            </w:r>
          </w:p>
        </w:tc>
        <w:tc>
          <w:tcPr>
            <w:tcW w:w="3907"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E18</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供水工地</w:t>
            </w:r>
            <w:r>
              <w:rPr>
                <w:rFonts w:hint="eastAsia" w:ascii="Times New Roman" w:hAnsi="Times New Roman" w:eastAsia="仿宋_GB2312" w:cs="Times New Roman"/>
                <w:color w:val="auto"/>
                <w:kern w:val="0"/>
                <w:sz w:val="21"/>
                <w:szCs w:val="21"/>
              </w:rPr>
              <w:t>（U11）</w:t>
            </w:r>
          </w:p>
        </w:tc>
        <w:tc>
          <w:tcPr>
            <w:tcW w:w="1175"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107534</w:t>
            </w:r>
          </w:p>
        </w:tc>
        <w:tc>
          <w:tcPr>
            <w:tcW w:w="3907"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E20</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防护绿地</w:t>
            </w:r>
            <w:r>
              <w:rPr>
                <w:rFonts w:hint="eastAsia" w:ascii="Times New Roman" w:hAnsi="Times New Roman" w:eastAsia="仿宋_GB2312" w:cs="Times New Roman"/>
                <w:color w:val="auto"/>
                <w:kern w:val="0"/>
                <w:sz w:val="21"/>
                <w:szCs w:val="21"/>
              </w:rPr>
              <w:t>（G2）</w:t>
            </w:r>
          </w:p>
        </w:tc>
        <w:tc>
          <w:tcPr>
            <w:tcW w:w="1175"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36196</w:t>
            </w:r>
          </w:p>
        </w:tc>
        <w:tc>
          <w:tcPr>
            <w:tcW w:w="3907"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E21剩余部分</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175"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29260</w:t>
            </w:r>
          </w:p>
        </w:tc>
        <w:tc>
          <w:tcPr>
            <w:tcW w:w="3907"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E22</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防护绿地</w:t>
            </w:r>
            <w:r>
              <w:rPr>
                <w:rFonts w:hint="eastAsia" w:ascii="Times New Roman" w:hAnsi="Times New Roman" w:eastAsia="仿宋_GB2312" w:cs="Times New Roman"/>
                <w:color w:val="auto"/>
                <w:kern w:val="0"/>
                <w:sz w:val="21"/>
                <w:szCs w:val="21"/>
              </w:rPr>
              <w:t>（G2）</w:t>
            </w:r>
          </w:p>
        </w:tc>
        <w:tc>
          <w:tcPr>
            <w:tcW w:w="1175"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52536</w:t>
            </w:r>
          </w:p>
        </w:tc>
        <w:tc>
          <w:tcPr>
            <w:tcW w:w="3907"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F08</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175"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41363</w:t>
            </w:r>
          </w:p>
        </w:tc>
        <w:tc>
          <w:tcPr>
            <w:tcW w:w="3907" w:type="dxa"/>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F14</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公园绿地（G1）</w:t>
            </w:r>
          </w:p>
        </w:tc>
        <w:tc>
          <w:tcPr>
            <w:tcW w:w="1175"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27766</w:t>
            </w:r>
          </w:p>
        </w:tc>
        <w:tc>
          <w:tcPr>
            <w:tcW w:w="3907" w:type="dxa"/>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F18</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防护绿地</w:t>
            </w:r>
            <w:r>
              <w:rPr>
                <w:rFonts w:hint="eastAsia" w:ascii="Times New Roman" w:hAnsi="Times New Roman" w:eastAsia="仿宋_GB2312" w:cs="Times New Roman"/>
                <w:color w:val="auto"/>
                <w:kern w:val="0"/>
                <w:sz w:val="21"/>
                <w:szCs w:val="21"/>
              </w:rPr>
              <w:t>（G2）</w:t>
            </w:r>
          </w:p>
        </w:tc>
        <w:tc>
          <w:tcPr>
            <w:tcW w:w="1175"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5078</w:t>
            </w:r>
          </w:p>
        </w:tc>
        <w:tc>
          <w:tcPr>
            <w:tcW w:w="3907" w:type="dxa"/>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hint="eastAsia"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尤氨公路</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道路用地</w:t>
            </w:r>
            <w:r>
              <w:rPr>
                <w:rFonts w:hint="eastAsia" w:ascii="Times New Roman" w:hAnsi="Times New Roman" w:eastAsia="仿宋_GB2312" w:cs="Times New Roman"/>
                <w:color w:val="auto"/>
                <w:kern w:val="0"/>
                <w:sz w:val="21"/>
                <w:szCs w:val="21"/>
              </w:rPr>
              <w:t>（S1）</w:t>
            </w:r>
          </w:p>
        </w:tc>
        <w:tc>
          <w:tcPr>
            <w:tcW w:w="1175" w:type="dxa"/>
            <w:shd w:val="clear" w:color="auto" w:fill="auto"/>
            <w:noWrap/>
            <w:vAlign w:val="center"/>
          </w:tcPr>
          <w:p>
            <w:pPr>
              <w:widowControl/>
              <w:jc w:val="center"/>
              <w:rPr>
                <w:rFonts w:hint="eastAsia"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22712</w:t>
            </w:r>
          </w:p>
        </w:tc>
        <w:tc>
          <w:tcPr>
            <w:tcW w:w="3907" w:type="dxa"/>
            <w:vAlign w:val="center"/>
          </w:tcPr>
          <w:p>
            <w:pPr>
              <w:jc w:val="center"/>
              <w:rPr>
                <w:color w:val="auto"/>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hint="eastAsia"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梧岗南路</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道路用地</w:t>
            </w:r>
            <w:r>
              <w:rPr>
                <w:rFonts w:hint="eastAsia" w:ascii="Times New Roman" w:hAnsi="Times New Roman" w:eastAsia="仿宋_GB2312" w:cs="Times New Roman"/>
                <w:color w:val="auto"/>
                <w:kern w:val="0"/>
                <w:sz w:val="21"/>
                <w:szCs w:val="21"/>
              </w:rPr>
              <w:t>（S1）</w:t>
            </w:r>
          </w:p>
        </w:tc>
        <w:tc>
          <w:tcPr>
            <w:tcW w:w="1175" w:type="dxa"/>
            <w:shd w:val="clear" w:color="auto" w:fill="auto"/>
            <w:noWrap/>
            <w:vAlign w:val="center"/>
          </w:tcPr>
          <w:p>
            <w:pPr>
              <w:widowControl/>
              <w:jc w:val="center"/>
              <w:rPr>
                <w:rFonts w:hint="eastAsia"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9522</w:t>
            </w:r>
          </w:p>
        </w:tc>
        <w:tc>
          <w:tcPr>
            <w:tcW w:w="3907" w:type="dxa"/>
            <w:vAlign w:val="center"/>
          </w:tcPr>
          <w:p>
            <w:pPr>
              <w:jc w:val="center"/>
              <w:rPr>
                <w:color w:val="auto"/>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hint="eastAsia"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嵩氨路</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道路用地</w:t>
            </w:r>
            <w:r>
              <w:rPr>
                <w:rFonts w:hint="eastAsia" w:ascii="Times New Roman" w:hAnsi="Times New Roman" w:eastAsia="仿宋_GB2312" w:cs="Times New Roman"/>
                <w:color w:val="auto"/>
                <w:kern w:val="0"/>
                <w:sz w:val="21"/>
                <w:szCs w:val="21"/>
              </w:rPr>
              <w:t>（S1）</w:t>
            </w:r>
          </w:p>
        </w:tc>
        <w:tc>
          <w:tcPr>
            <w:tcW w:w="1175" w:type="dxa"/>
            <w:shd w:val="clear" w:color="auto" w:fill="auto"/>
            <w:noWrap/>
            <w:vAlign w:val="center"/>
          </w:tcPr>
          <w:p>
            <w:pPr>
              <w:widowControl/>
              <w:jc w:val="center"/>
              <w:rPr>
                <w:rFonts w:hint="eastAsia"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6514</w:t>
            </w:r>
          </w:p>
        </w:tc>
        <w:tc>
          <w:tcPr>
            <w:tcW w:w="3907" w:type="dxa"/>
            <w:vAlign w:val="center"/>
          </w:tcPr>
          <w:p>
            <w:pPr>
              <w:jc w:val="center"/>
              <w:rPr>
                <w:color w:val="auto"/>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hint="eastAsia"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王家路</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道路用地</w:t>
            </w:r>
            <w:r>
              <w:rPr>
                <w:rFonts w:hint="eastAsia" w:ascii="Times New Roman" w:hAnsi="Times New Roman" w:eastAsia="仿宋_GB2312" w:cs="Times New Roman"/>
                <w:color w:val="auto"/>
                <w:kern w:val="0"/>
                <w:sz w:val="21"/>
                <w:szCs w:val="21"/>
              </w:rPr>
              <w:t>（S1）</w:t>
            </w:r>
          </w:p>
        </w:tc>
        <w:tc>
          <w:tcPr>
            <w:tcW w:w="1175" w:type="dxa"/>
            <w:shd w:val="clear" w:color="auto" w:fill="auto"/>
            <w:noWrap/>
            <w:vAlign w:val="center"/>
          </w:tcPr>
          <w:p>
            <w:pPr>
              <w:widowControl/>
              <w:jc w:val="center"/>
              <w:rPr>
                <w:rFonts w:hint="eastAsia"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10065</w:t>
            </w:r>
          </w:p>
        </w:tc>
        <w:tc>
          <w:tcPr>
            <w:tcW w:w="3907" w:type="dxa"/>
            <w:vAlign w:val="center"/>
          </w:tcPr>
          <w:p>
            <w:pPr>
              <w:jc w:val="center"/>
              <w:rPr>
                <w:color w:val="auto"/>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hint="eastAsia"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经十六路</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道路用地</w:t>
            </w:r>
            <w:r>
              <w:rPr>
                <w:rFonts w:hint="eastAsia" w:ascii="Times New Roman" w:hAnsi="Times New Roman" w:eastAsia="仿宋_GB2312" w:cs="Times New Roman"/>
                <w:color w:val="auto"/>
                <w:kern w:val="0"/>
                <w:sz w:val="21"/>
                <w:szCs w:val="21"/>
              </w:rPr>
              <w:t>（S1）</w:t>
            </w:r>
          </w:p>
        </w:tc>
        <w:tc>
          <w:tcPr>
            <w:tcW w:w="1175" w:type="dxa"/>
            <w:shd w:val="clear" w:color="auto" w:fill="auto"/>
            <w:noWrap/>
            <w:vAlign w:val="center"/>
          </w:tcPr>
          <w:p>
            <w:pPr>
              <w:widowControl/>
              <w:jc w:val="center"/>
              <w:rPr>
                <w:rFonts w:hint="eastAsia"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5793</w:t>
            </w:r>
          </w:p>
        </w:tc>
        <w:tc>
          <w:tcPr>
            <w:tcW w:w="3907" w:type="dxa"/>
            <w:vAlign w:val="center"/>
          </w:tcPr>
          <w:p>
            <w:pPr>
              <w:jc w:val="center"/>
              <w:rPr>
                <w:color w:val="auto"/>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hint="eastAsia"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经十七路</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道路用地</w:t>
            </w:r>
            <w:r>
              <w:rPr>
                <w:rFonts w:hint="eastAsia" w:ascii="Times New Roman" w:hAnsi="Times New Roman" w:eastAsia="仿宋_GB2312" w:cs="Times New Roman"/>
                <w:color w:val="auto"/>
                <w:kern w:val="0"/>
                <w:sz w:val="21"/>
                <w:szCs w:val="21"/>
              </w:rPr>
              <w:t>（S1）</w:t>
            </w:r>
          </w:p>
        </w:tc>
        <w:tc>
          <w:tcPr>
            <w:tcW w:w="1175" w:type="dxa"/>
            <w:shd w:val="clear" w:color="auto" w:fill="auto"/>
            <w:noWrap/>
            <w:vAlign w:val="center"/>
          </w:tcPr>
          <w:p>
            <w:pPr>
              <w:widowControl/>
              <w:jc w:val="center"/>
              <w:rPr>
                <w:rFonts w:hint="eastAsia"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11783</w:t>
            </w:r>
          </w:p>
        </w:tc>
        <w:tc>
          <w:tcPr>
            <w:tcW w:w="3907" w:type="dxa"/>
            <w:vAlign w:val="center"/>
          </w:tcPr>
          <w:p>
            <w:pPr>
              <w:jc w:val="center"/>
              <w:rPr>
                <w:color w:val="auto"/>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hint="eastAsia"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经十八路（杨家山路至王家路段）</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道路用地</w:t>
            </w:r>
            <w:r>
              <w:rPr>
                <w:rFonts w:hint="eastAsia" w:ascii="Times New Roman" w:hAnsi="Times New Roman" w:eastAsia="仿宋_GB2312" w:cs="Times New Roman"/>
                <w:color w:val="auto"/>
                <w:kern w:val="0"/>
                <w:sz w:val="21"/>
                <w:szCs w:val="21"/>
              </w:rPr>
              <w:t>（S1）</w:t>
            </w:r>
          </w:p>
        </w:tc>
        <w:tc>
          <w:tcPr>
            <w:tcW w:w="1175" w:type="dxa"/>
            <w:shd w:val="clear" w:color="auto" w:fill="auto"/>
            <w:noWrap/>
            <w:vAlign w:val="center"/>
          </w:tcPr>
          <w:p>
            <w:pPr>
              <w:widowControl/>
              <w:jc w:val="center"/>
              <w:rPr>
                <w:rFonts w:hint="eastAsia"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2942</w:t>
            </w:r>
          </w:p>
        </w:tc>
        <w:tc>
          <w:tcPr>
            <w:tcW w:w="3907" w:type="dxa"/>
            <w:vAlign w:val="center"/>
          </w:tcPr>
          <w:p>
            <w:pPr>
              <w:jc w:val="center"/>
              <w:rPr>
                <w:color w:val="auto"/>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843" w:type="dxa"/>
            <w:shd w:val="clear" w:color="auto" w:fill="auto"/>
            <w:noWrap/>
            <w:vAlign w:val="center"/>
          </w:tcPr>
          <w:p>
            <w:pPr>
              <w:widowControl/>
              <w:jc w:val="center"/>
              <w:rPr>
                <w:rFonts w:hint="eastAsia"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经十九路</w:t>
            </w:r>
          </w:p>
        </w:tc>
        <w:tc>
          <w:tcPr>
            <w:tcW w:w="222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道路用地</w:t>
            </w:r>
            <w:r>
              <w:rPr>
                <w:rFonts w:hint="eastAsia" w:ascii="Times New Roman" w:hAnsi="Times New Roman" w:eastAsia="仿宋_GB2312" w:cs="Times New Roman"/>
                <w:color w:val="auto"/>
                <w:kern w:val="0"/>
                <w:sz w:val="21"/>
                <w:szCs w:val="21"/>
              </w:rPr>
              <w:t>（S1）</w:t>
            </w:r>
          </w:p>
        </w:tc>
        <w:tc>
          <w:tcPr>
            <w:tcW w:w="1175" w:type="dxa"/>
            <w:shd w:val="clear" w:color="auto" w:fill="auto"/>
            <w:noWrap/>
            <w:vAlign w:val="center"/>
          </w:tcPr>
          <w:p>
            <w:pPr>
              <w:widowControl/>
              <w:jc w:val="center"/>
              <w:rPr>
                <w:rFonts w:hint="eastAsia"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2573</w:t>
            </w:r>
          </w:p>
        </w:tc>
        <w:tc>
          <w:tcPr>
            <w:tcW w:w="3907" w:type="dxa"/>
            <w:vAlign w:val="center"/>
          </w:tcPr>
          <w:p>
            <w:pPr>
              <w:jc w:val="center"/>
              <w:rPr>
                <w:color w:val="auto"/>
              </w:rPr>
            </w:pPr>
            <w:r>
              <w:rPr>
                <w:rFonts w:ascii="Times New Roman" w:hAnsi="Times New Roman" w:eastAsia="仿宋_GB2312" w:cs="Times New Roman"/>
                <w:color w:val="auto"/>
                <w:sz w:val="21"/>
                <w:szCs w:val="21"/>
              </w:rPr>
              <w:t>未扰动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067" w:type="dxa"/>
            <w:gridSpan w:val="2"/>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总计</w:t>
            </w:r>
          </w:p>
        </w:tc>
        <w:tc>
          <w:tcPr>
            <w:tcW w:w="1175"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hint="eastAsia" w:ascii="Times New Roman" w:hAnsi="Times New Roman" w:eastAsia="仿宋_GB2312" w:cs="Times New Roman"/>
                <w:b/>
                <w:color w:val="auto"/>
                <w:kern w:val="0"/>
                <w:sz w:val="21"/>
                <w:szCs w:val="21"/>
              </w:rPr>
              <w:t>1000000</w:t>
            </w:r>
          </w:p>
        </w:tc>
        <w:tc>
          <w:tcPr>
            <w:tcW w:w="3907" w:type="dxa"/>
            <w:vAlign w:val="center"/>
          </w:tcPr>
          <w:p>
            <w:pPr>
              <w:widowControl/>
              <w:jc w:val="center"/>
              <w:rPr>
                <w:rFonts w:ascii="Times New Roman" w:hAnsi="Times New Roman" w:eastAsia="仿宋_GB2312" w:cs="Times New Roman"/>
                <w:color w:val="auto"/>
                <w:kern w:val="0"/>
                <w:sz w:val="21"/>
                <w:szCs w:val="21"/>
              </w:rPr>
            </w:pPr>
          </w:p>
        </w:tc>
      </w:tr>
    </w:tbl>
    <w:p>
      <w:pPr>
        <w:adjustRightInd w:val="0"/>
        <w:snapToGrid w:val="0"/>
        <w:spacing w:line="360" w:lineRule="auto"/>
        <w:ind w:firstLine="480" w:firstLineChars="200"/>
        <w:jc w:val="left"/>
        <w:rPr>
          <w:rFonts w:hint="eastAsia" w:ascii="Times New Roman" w:hAnsi="Times New Roman" w:eastAsia="仿宋_GB2312" w:cs="Times New Roman"/>
          <w:color w:val="auto"/>
          <w:szCs w:val="24"/>
        </w:rPr>
      </w:pPr>
      <w:r>
        <w:rPr>
          <w:rFonts w:hint="eastAsia" w:ascii="Times New Roman" w:hAnsi="Times New Roman" w:eastAsia="仿宋_GB2312" w:cs="Times New Roman"/>
          <w:color w:val="auto"/>
          <w:szCs w:val="24"/>
        </w:rPr>
        <w:t>（2）区域原始水系情况</w:t>
      </w:r>
    </w:p>
    <w:p>
      <w:pPr>
        <w:adjustRightInd w:val="0"/>
        <w:snapToGrid w:val="0"/>
        <w:spacing w:line="360" w:lineRule="auto"/>
        <w:ind w:firstLine="480" w:firstLineChars="200"/>
        <w:jc w:val="left"/>
        <w:rPr>
          <w:rFonts w:hint="eastAsia" w:ascii="Times New Roman" w:hAnsi="Times New Roman" w:eastAsia="仿宋_GB2312" w:cs="Times New Roman"/>
          <w:color w:val="auto"/>
          <w:szCs w:val="24"/>
        </w:rPr>
      </w:pPr>
      <w:r>
        <w:rPr>
          <w:rFonts w:hint="eastAsia" w:ascii="Times New Roman" w:hAnsi="Times New Roman" w:eastAsia="仿宋_GB2312" w:cs="Times New Roman"/>
          <w:color w:val="auto"/>
          <w:szCs w:val="24"/>
        </w:rPr>
        <w:t>评估区域内原状水系主要为杨家山</w:t>
      </w:r>
      <w:r>
        <w:rPr>
          <w:rFonts w:hint="eastAsia" w:ascii="Times New Roman" w:hAnsi="Times New Roman" w:eastAsia="仿宋_GB2312" w:cs="Times New Roman"/>
          <w:color w:val="auto"/>
          <w:szCs w:val="24"/>
          <w:lang w:val="zh-CN"/>
        </w:rPr>
        <w:t>村庄和王家庄村庄周边的坑塘水面，在规划区域西侧边界外侧为赣抚平原西总干渠。结合区域规划及上位规划，本区域内部的坑塘水面全部填平作为城市建设用地，区域内无规划水系。区域西侧的西总干渠作为</w:t>
      </w:r>
      <w:r>
        <w:rPr>
          <w:rFonts w:hint="eastAsia" w:ascii="Times New Roman" w:hAnsi="Times New Roman" w:eastAsia="仿宋_GB2312" w:cs="Times New Roman"/>
          <w:color w:val="auto"/>
          <w:szCs w:val="24"/>
        </w:rPr>
        <w:t>南昌市高铁东站周边地区规划的水系生态廊道。</w:t>
      </w:r>
    </w:p>
    <w:p>
      <w:pPr>
        <w:adjustRightInd w:val="0"/>
        <w:snapToGrid w:val="0"/>
        <w:spacing w:line="360" w:lineRule="auto"/>
        <w:ind w:left="-286" w:leftChars="-236" w:hanging="280" w:hangingChars="117"/>
        <w:jc w:val="center"/>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drawing>
          <wp:inline distT="0" distB="0" distL="0" distR="0">
            <wp:extent cx="6054725" cy="3027045"/>
            <wp:effectExtent l="19050" t="0" r="2721" b="0"/>
            <wp:docPr id="27" name="图片 10" descr="C:\Users\Administrator\AppData\Local\Microsoft\Windows\INetCache\Content.Word\原始情况2020年9月-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descr="C:\Users\Administrator\AppData\Local\Microsoft\Windows\INetCache\Content.Word\原始情况2020年9月-Model.jpg"/>
                    <pic:cNvPicPr>
                      <a:picLocks noChangeAspect="1" noChangeArrowheads="1"/>
                    </pic:cNvPicPr>
                  </pic:nvPicPr>
                  <pic:blipFill>
                    <a:blip r:embed="rId57" cstate="print"/>
                    <a:srcRect/>
                    <a:stretch>
                      <a:fillRect/>
                    </a:stretch>
                  </pic:blipFill>
                  <pic:spPr>
                    <a:xfrm>
                      <a:off x="0" y="0"/>
                      <a:ext cx="6061643" cy="3030823"/>
                    </a:xfrm>
                    <a:prstGeom prst="rect">
                      <a:avLst/>
                    </a:prstGeom>
                    <a:noFill/>
                    <a:ln w="9525">
                      <a:noFill/>
                      <a:miter lim="800000"/>
                      <a:headEnd/>
                      <a:tailEnd/>
                    </a:ln>
                  </pic:spPr>
                </pic:pic>
              </a:graphicData>
            </a:graphic>
          </wp:inline>
        </w:drawing>
      </w:r>
    </w:p>
    <w:p>
      <w:pPr>
        <w:adjustRightInd w:val="0"/>
        <w:snapToGrid w:val="0"/>
        <w:spacing w:line="360" w:lineRule="auto"/>
        <w:jc w:val="center"/>
        <w:rPr>
          <w:rFonts w:ascii="Times New Roman" w:hAnsi="Times New Roman" w:eastAsia="仿宋_GB2312" w:cs="Times New Roman"/>
          <w:b/>
          <w:color w:val="auto"/>
        </w:rPr>
      </w:pPr>
      <w:r>
        <w:rPr>
          <w:rFonts w:hint="eastAsia" w:ascii="Times New Roman" w:hAnsi="Times New Roman" w:eastAsia="仿宋_GB2312" w:cs="Times New Roman"/>
          <w:b/>
          <w:color w:val="auto"/>
        </w:rPr>
        <w:t>图2.1-3：2020年9月区域历史卫星遥感图</w:t>
      </w:r>
    </w:p>
    <w:tbl>
      <w:tblPr>
        <w:tblStyle w:val="37"/>
        <w:tblW w:w="909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529"/>
        <w:gridCol w:w="456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9" w:hRule="atLeast"/>
          <w:jc w:val="center"/>
        </w:trPr>
        <w:tc>
          <w:tcPr>
            <w:tcW w:w="4529" w:type="dxa"/>
            <w:vAlign w:val="center"/>
          </w:tcPr>
          <w:p>
            <w:pPr>
              <w:snapToGrid w:val="0"/>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drawing>
                <wp:inline distT="0" distB="0" distL="0" distR="0">
                  <wp:extent cx="2733675" cy="2047875"/>
                  <wp:effectExtent l="19050" t="0" r="9525" b="0"/>
                  <wp:docPr id="87" name="图片 87" descr="C:\Users\Administrator\AppData\Local\Microsoft\Windows\INetCache\Content.Word\DJI_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C:\Users\Administrator\AppData\Local\Microsoft\Windows\INetCache\Content.Word\DJI_0288.jpg"/>
                          <pic:cNvPicPr>
                            <a:picLocks noChangeAspect="1" noChangeArrowheads="1"/>
                          </pic:cNvPicPr>
                        </pic:nvPicPr>
                        <pic:blipFill>
                          <a:blip r:embed="rId58" cstate="print"/>
                          <a:srcRect/>
                          <a:stretch>
                            <a:fillRect/>
                          </a:stretch>
                        </pic:blipFill>
                        <pic:spPr>
                          <a:xfrm>
                            <a:off x="0" y="0"/>
                            <a:ext cx="2733675" cy="2047875"/>
                          </a:xfrm>
                          <a:prstGeom prst="rect">
                            <a:avLst/>
                          </a:prstGeom>
                          <a:noFill/>
                          <a:ln w="9525">
                            <a:noFill/>
                            <a:miter lim="800000"/>
                            <a:headEnd/>
                            <a:tailEnd/>
                          </a:ln>
                        </pic:spPr>
                      </pic:pic>
                    </a:graphicData>
                  </a:graphic>
                </wp:inline>
              </w:drawing>
            </w:r>
          </w:p>
        </w:tc>
        <w:tc>
          <w:tcPr>
            <w:tcW w:w="4562" w:type="dxa"/>
            <w:vAlign w:val="center"/>
          </w:tcPr>
          <w:p>
            <w:pPr>
              <w:snapToGrid w:val="0"/>
              <w:jc w:val="center"/>
              <w:rPr>
                <w:rFonts w:ascii="仿宋_GB2312" w:hAnsi="Times New Roman" w:eastAsia="仿宋_GB2312" w:cs="Times New Roman"/>
                <w:color w:val="auto"/>
                <w:sz w:val="21"/>
                <w:szCs w:val="21"/>
              </w:rPr>
            </w:pPr>
            <w:r>
              <w:rPr>
                <w:rFonts w:ascii="仿宋_GB2312" w:hAnsi="Times New Roman" w:eastAsia="仿宋_GB2312" w:cs="Times New Roman"/>
                <w:color w:val="auto"/>
                <w:sz w:val="21"/>
                <w:szCs w:val="21"/>
              </w:rPr>
              <w:drawing>
                <wp:inline distT="0" distB="0" distL="0" distR="0">
                  <wp:extent cx="2686050" cy="2014220"/>
                  <wp:effectExtent l="19050" t="0" r="0" b="0"/>
                  <wp:docPr id="81" name="图片 81" descr="C:\Users\Administrator\AppData\Local\Microsoft\Windows\INetCache\Content.Word\DJI_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C:\Users\Administrator\AppData\Local\Microsoft\Windows\INetCache\Content.Word\DJI_0298.jpg"/>
                          <pic:cNvPicPr>
                            <a:picLocks noChangeAspect="1" noChangeArrowheads="1"/>
                          </pic:cNvPicPr>
                        </pic:nvPicPr>
                        <pic:blipFill>
                          <a:blip r:embed="rId59" cstate="print"/>
                          <a:srcRect/>
                          <a:stretch>
                            <a:fillRect/>
                          </a:stretch>
                        </pic:blipFill>
                        <pic:spPr>
                          <a:xfrm>
                            <a:off x="0" y="0"/>
                            <a:ext cx="2686050" cy="2014538"/>
                          </a:xfrm>
                          <a:prstGeom prst="rect">
                            <a:avLst/>
                          </a:prstGeom>
                          <a:noFill/>
                          <a:ln w="9525">
                            <a:noFill/>
                            <a:miter lim="800000"/>
                            <a:headEnd/>
                            <a:tailEnd/>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9" w:hRule="atLeast"/>
          <w:jc w:val="center"/>
        </w:trPr>
        <w:tc>
          <w:tcPr>
            <w:tcW w:w="4529" w:type="dxa"/>
            <w:vAlign w:val="center"/>
          </w:tcPr>
          <w:p>
            <w:pPr>
              <w:snapToGrid w:val="0"/>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drawing>
                <wp:inline distT="0" distB="0" distL="0" distR="0">
                  <wp:extent cx="2733675" cy="2047875"/>
                  <wp:effectExtent l="19050" t="0" r="9525" b="0"/>
                  <wp:docPr id="40" name="图片 85" descr="C:\Users\Administrator\AppData\Local\Microsoft\Windows\INetCache\Content.Word\DJI_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85" descr="C:\Users\Administrator\AppData\Local\Microsoft\Windows\INetCache\Content.Word\DJI_0331.jpg"/>
                          <pic:cNvPicPr>
                            <a:picLocks noChangeAspect="1" noChangeArrowheads="1"/>
                          </pic:cNvPicPr>
                        </pic:nvPicPr>
                        <pic:blipFill>
                          <a:blip r:embed="rId60" cstate="print"/>
                          <a:srcRect/>
                          <a:stretch>
                            <a:fillRect/>
                          </a:stretch>
                        </pic:blipFill>
                        <pic:spPr>
                          <a:xfrm>
                            <a:off x="0" y="0"/>
                            <a:ext cx="2733675" cy="2047875"/>
                          </a:xfrm>
                          <a:prstGeom prst="rect">
                            <a:avLst/>
                          </a:prstGeom>
                          <a:noFill/>
                          <a:ln w="9525">
                            <a:noFill/>
                            <a:miter lim="800000"/>
                            <a:headEnd/>
                            <a:tailEnd/>
                          </a:ln>
                        </pic:spPr>
                      </pic:pic>
                    </a:graphicData>
                  </a:graphic>
                </wp:inline>
              </w:drawing>
            </w:r>
          </w:p>
        </w:tc>
        <w:tc>
          <w:tcPr>
            <w:tcW w:w="4562" w:type="dxa"/>
            <w:vAlign w:val="center"/>
          </w:tcPr>
          <w:p>
            <w:pPr>
              <w:snapToGrid w:val="0"/>
              <w:jc w:val="center"/>
              <w:rPr>
                <w:rFonts w:ascii="仿宋_GB2312" w:hAnsi="Times New Roman" w:eastAsia="仿宋_GB2312" w:cs="Times New Roman"/>
                <w:color w:val="auto"/>
                <w:sz w:val="21"/>
                <w:szCs w:val="21"/>
              </w:rPr>
            </w:pPr>
            <w:r>
              <w:rPr>
                <w:rFonts w:ascii="仿宋_GB2312" w:hAnsi="Times New Roman" w:eastAsia="仿宋_GB2312" w:cs="Times New Roman"/>
                <w:color w:val="auto"/>
                <w:sz w:val="21"/>
                <w:szCs w:val="21"/>
              </w:rPr>
              <w:drawing>
                <wp:inline distT="0" distB="0" distL="0" distR="0">
                  <wp:extent cx="2688590" cy="2019300"/>
                  <wp:effectExtent l="19050" t="0" r="0" b="0"/>
                  <wp:docPr id="90" name="图片 90" descr="C:\Users\Administrator\AppData\Local\Microsoft\Windows\INetCache\Content.Word\DJI_0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C:\Users\Administrator\AppData\Local\Microsoft\Windows\INetCache\Content.Word\DJI_0368.jpg"/>
                          <pic:cNvPicPr>
                            <a:picLocks noChangeAspect="1" noChangeArrowheads="1"/>
                          </pic:cNvPicPr>
                        </pic:nvPicPr>
                        <pic:blipFill>
                          <a:blip r:embed="rId61" cstate="print"/>
                          <a:srcRect/>
                          <a:stretch>
                            <a:fillRect/>
                          </a:stretch>
                        </pic:blipFill>
                        <pic:spPr>
                          <a:xfrm>
                            <a:off x="0" y="0"/>
                            <a:ext cx="2689164" cy="2019300"/>
                          </a:xfrm>
                          <a:prstGeom prst="rect">
                            <a:avLst/>
                          </a:prstGeom>
                          <a:noFill/>
                          <a:ln w="9525">
                            <a:noFill/>
                            <a:miter lim="800000"/>
                            <a:headEnd/>
                            <a:tailEnd/>
                          </a:ln>
                        </pic:spPr>
                      </pic:pic>
                    </a:graphicData>
                  </a:graphic>
                </wp:inline>
              </w:drawing>
            </w:r>
          </w:p>
        </w:tc>
      </w:tr>
    </w:tbl>
    <w:p>
      <w:pPr>
        <w:adjustRightInd w:val="0"/>
        <w:snapToGrid w:val="0"/>
        <w:spacing w:line="360" w:lineRule="auto"/>
        <w:jc w:val="center"/>
        <w:rPr>
          <w:rFonts w:hint="eastAsia" w:ascii="Times New Roman" w:hAnsi="Times New Roman" w:eastAsia="仿宋_GB2312" w:cs="Times New Roman"/>
          <w:b/>
          <w:color w:val="auto"/>
          <w:lang w:val="en-US" w:eastAsia="zh-CN"/>
        </w:rPr>
      </w:pPr>
      <w:r>
        <w:rPr>
          <w:rFonts w:hint="eastAsia" w:ascii="Times New Roman" w:hAnsi="Times New Roman" w:eastAsia="仿宋_GB2312" w:cs="Times New Roman"/>
          <w:b/>
          <w:color w:val="auto"/>
        </w:rPr>
        <w:t>图2.1-4：</w:t>
      </w:r>
      <w:r>
        <w:rPr>
          <w:rFonts w:hint="eastAsia" w:ascii="Times New Roman" w:hAnsi="Times New Roman" w:eastAsia="仿宋_GB2312" w:cs="Times New Roman"/>
          <w:b/>
          <w:color w:val="auto"/>
          <w:lang w:val="en-US" w:eastAsia="zh-CN"/>
        </w:rPr>
        <w:t>评估报告</w:t>
      </w:r>
      <w:r>
        <w:rPr>
          <w:rFonts w:hint="eastAsia" w:ascii="Times New Roman" w:hAnsi="Times New Roman" w:eastAsia="仿宋_GB2312" w:cs="Times New Roman"/>
          <w:b/>
          <w:color w:val="auto"/>
        </w:rPr>
        <w:t>介入时区域现状</w:t>
      </w:r>
      <w:r>
        <w:rPr>
          <w:rFonts w:hint="eastAsia" w:ascii="Times New Roman" w:hAnsi="Times New Roman" w:eastAsia="仿宋_GB2312" w:cs="Times New Roman"/>
          <w:b/>
          <w:color w:val="auto"/>
          <w:lang w:val="en-US" w:eastAsia="zh-CN"/>
        </w:rPr>
        <w:t>图</w:t>
      </w:r>
    </w:p>
    <w:p>
      <w:pPr>
        <w:keepNext/>
        <w:keepLines/>
        <w:spacing w:line="360" w:lineRule="auto"/>
        <w:outlineLvl w:val="3"/>
        <w:rPr>
          <w:rFonts w:ascii="Times New Roman" w:hAnsi="Times New Roman" w:eastAsia="仿宋_GB2312" w:cs="Times New Roman"/>
          <w:b/>
          <w:bCs/>
          <w:color w:val="auto"/>
          <w:sz w:val="28"/>
          <w:szCs w:val="28"/>
        </w:rPr>
      </w:pPr>
      <w:r>
        <w:rPr>
          <w:rFonts w:hint="eastAsia" w:ascii="Times New Roman" w:hAnsi="Times New Roman" w:eastAsia="仿宋_GB2312" w:cs="Times New Roman"/>
          <w:b/>
          <w:bCs/>
          <w:color w:val="auto"/>
          <w:sz w:val="28"/>
          <w:szCs w:val="28"/>
        </w:rPr>
        <w:t>2.1.3.3 区域规划功能区</w:t>
      </w:r>
    </w:p>
    <w:p>
      <w:pPr>
        <w:adjustRightInd w:val="0"/>
        <w:snapToGrid w:val="0"/>
        <w:spacing w:line="360" w:lineRule="auto"/>
        <w:ind w:firstLine="480" w:firstLineChars="200"/>
        <w:jc w:val="left"/>
        <w:rPr>
          <w:rFonts w:ascii="Times New Roman" w:hAnsi="Times New Roman" w:eastAsia="仿宋_GB2312" w:cs="Times New Roman"/>
          <w:color w:val="auto"/>
        </w:rPr>
      </w:pPr>
      <w:r>
        <w:rPr>
          <w:rFonts w:hint="eastAsia" w:ascii="Times New Roman" w:hAnsi="Times New Roman" w:eastAsia="仿宋_GB2312" w:cs="Times New Roman"/>
          <w:color w:val="auto"/>
        </w:rPr>
        <w:t>（一）工业用地</w:t>
      </w:r>
    </w:p>
    <w:p>
      <w:pPr>
        <w:adjustRightInd w:val="0"/>
        <w:snapToGrid w:val="0"/>
        <w:spacing w:line="360" w:lineRule="auto"/>
        <w:ind w:firstLine="480" w:firstLineChars="200"/>
        <w:jc w:val="left"/>
        <w:rPr>
          <w:rFonts w:ascii="Times New Roman" w:hAnsi="Times New Roman" w:eastAsia="仿宋_GB2312" w:cs="Times New Roman"/>
          <w:color w:val="auto"/>
        </w:rPr>
      </w:pPr>
      <w:r>
        <w:rPr>
          <w:rFonts w:hint="eastAsia" w:ascii="Times New Roman" w:hAnsi="Times New Roman" w:eastAsia="仿宋_GB2312" w:cs="Times New Roman"/>
          <w:color w:val="auto"/>
        </w:rPr>
        <w:t>区域规划的工业用地53.90hm</w:t>
      </w:r>
      <w:r>
        <w:rPr>
          <w:rFonts w:hint="eastAsia" w:ascii="Times New Roman" w:hAnsi="Times New Roman" w:eastAsia="仿宋_GB2312" w:cs="Times New Roman"/>
          <w:color w:val="auto"/>
          <w:vertAlign w:val="superscript"/>
        </w:rPr>
        <w:t>2</w:t>
      </w:r>
      <w:r>
        <w:rPr>
          <w:rFonts w:hint="eastAsia" w:ascii="Times New Roman" w:hAnsi="Times New Roman" w:eastAsia="仿宋_GB2312" w:cs="Times New Roman"/>
          <w:color w:val="auto"/>
        </w:rPr>
        <w:t>，占规划区域的53.90%，包含E02、E06、E08、E09、E11、E17、E19和E21的8个规划地块，均为一类工业用地（M1）。</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rPr>
        <w:t>其中E08、E09、E11、E17、E19和E21的6个规划地块已出让。E08地块尚未扰动；E09和E19地块在</w:t>
      </w:r>
      <w:r>
        <w:rPr>
          <w:rFonts w:hint="eastAsia" w:ascii="Times New Roman" w:hAnsi="Times New Roman" w:eastAsia="仿宋_GB2312" w:cs="Times New Roman"/>
          <w:color w:val="auto"/>
          <w:szCs w:val="24"/>
        </w:rPr>
        <w:t>区域性评估评价试点区域的</w:t>
      </w:r>
      <w:r>
        <w:rPr>
          <w:rFonts w:hint="eastAsia" w:ascii="Times New Roman" w:hAnsi="Times New Roman" w:eastAsia="仿宋_GB2312" w:cs="Times New Roman"/>
          <w:color w:val="auto"/>
        </w:rPr>
        <w:t>规划前已完成平整至周边道路高程，地块入驻企业尚未进场建设，后续园区管理单位不再进行扰动；E17和E19地块部分区域的26.34hm</w:t>
      </w:r>
      <w:r>
        <w:rPr>
          <w:rFonts w:hint="eastAsia" w:ascii="Times New Roman" w:hAnsi="Times New Roman" w:eastAsia="仿宋_GB2312" w:cs="Times New Roman"/>
          <w:color w:val="auto"/>
          <w:vertAlign w:val="superscript"/>
        </w:rPr>
        <w:t>2</w:t>
      </w:r>
      <w:r>
        <w:rPr>
          <w:rFonts w:hint="eastAsia" w:ascii="Times New Roman" w:hAnsi="Times New Roman" w:eastAsia="仿宋_GB2312" w:cs="Times New Roman"/>
          <w:color w:val="auto"/>
          <w:lang w:val="en-US" w:eastAsia="zh-CN"/>
        </w:rPr>
        <w:t>评估报告编制</w:t>
      </w:r>
      <w:r>
        <w:rPr>
          <w:rFonts w:hint="eastAsia" w:ascii="Times New Roman" w:hAnsi="Times New Roman" w:eastAsia="仿宋_GB2312" w:cs="Times New Roman"/>
          <w:color w:val="auto"/>
        </w:rPr>
        <w:t>介入时</w:t>
      </w:r>
      <w:r>
        <w:rPr>
          <w:rFonts w:hint="eastAsia" w:ascii="Times New Roman" w:hAnsi="Times New Roman" w:eastAsia="仿宋_GB2312" w:cs="Times New Roman"/>
          <w:color w:val="auto"/>
          <w:lang w:val="en-US" w:eastAsia="zh-CN"/>
        </w:rPr>
        <w:t>已</w:t>
      </w:r>
      <w:r>
        <w:rPr>
          <w:rFonts w:hint="eastAsia" w:ascii="Times New Roman" w:hAnsi="Times New Roman" w:eastAsia="仿宋_GB2312" w:cs="Times New Roman"/>
          <w:color w:val="auto"/>
        </w:rPr>
        <w:t>入驻企业</w:t>
      </w:r>
      <w:r>
        <w:rPr>
          <w:rFonts w:hint="eastAsia" w:ascii="Times New Roman" w:hAnsi="Times New Roman" w:eastAsia="仿宋_GB2312" w:cs="Times New Roman"/>
          <w:color w:val="auto"/>
          <w:lang w:val="en-US" w:eastAsia="zh-CN"/>
        </w:rPr>
        <w:t>并</w:t>
      </w:r>
      <w:r>
        <w:rPr>
          <w:rFonts w:hint="eastAsia" w:ascii="Times New Roman" w:hAnsi="Times New Roman" w:eastAsia="仿宋_GB2312" w:cs="Times New Roman"/>
          <w:color w:val="auto"/>
        </w:rPr>
        <w:t>正在进行建设，且已取得水土保持方案批复，E17和E19地块的剩余区域</w:t>
      </w:r>
      <w:r>
        <w:rPr>
          <w:rFonts w:hint="eastAsia" w:ascii="Times New Roman" w:hAnsi="Times New Roman" w:eastAsia="仿宋_GB2312" w:cs="Times New Roman"/>
          <w:color w:val="auto"/>
          <w:szCs w:val="24"/>
        </w:rPr>
        <w:t>3.17hm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暂未扰动；E11地块</w:t>
      </w:r>
      <w:r>
        <w:rPr>
          <w:rFonts w:hint="eastAsia" w:ascii="Times New Roman" w:hAnsi="Times New Roman" w:eastAsia="仿宋_GB2312" w:cs="Times New Roman"/>
          <w:color w:val="auto"/>
        </w:rPr>
        <w:t>在</w:t>
      </w:r>
      <w:r>
        <w:rPr>
          <w:rFonts w:hint="eastAsia" w:ascii="Times New Roman" w:hAnsi="Times New Roman" w:eastAsia="仿宋_GB2312" w:cs="Times New Roman"/>
          <w:color w:val="auto"/>
          <w:szCs w:val="24"/>
        </w:rPr>
        <w:t>区域性评估评价试点区域的</w:t>
      </w:r>
      <w:r>
        <w:rPr>
          <w:rFonts w:hint="eastAsia" w:ascii="Times New Roman" w:hAnsi="Times New Roman" w:eastAsia="仿宋_GB2312" w:cs="Times New Roman"/>
          <w:color w:val="auto"/>
        </w:rPr>
        <w:t>规划前已完成平整，现</w:t>
      </w:r>
      <w:r>
        <w:rPr>
          <w:rFonts w:hint="eastAsia" w:ascii="Times New Roman" w:hAnsi="Times New Roman" w:eastAsia="仿宋_GB2312" w:cs="Times New Roman"/>
          <w:color w:val="auto"/>
          <w:szCs w:val="24"/>
        </w:rPr>
        <w:t>已基本完成建设。其余地块暂未出让未扰动。</w:t>
      </w:r>
    </w:p>
    <w:p>
      <w:pPr>
        <w:adjustRightInd w:val="0"/>
        <w:snapToGrid w:val="0"/>
        <w:spacing w:line="360" w:lineRule="auto"/>
        <w:jc w:val="center"/>
        <w:rPr>
          <w:rFonts w:ascii="Times New Roman" w:hAnsi="Times New Roman" w:eastAsia="仿宋_GB2312" w:cs="Times New Roman"/>
          <w:b/>
          <w:color w:val="auto"/>
        </w:rPr>
      </w:pPr>
      <w:r>
        <w:rPr>
          <w:rFonts w:hint="eastAsia" w:ascii="Times New Roman" w:hAnsi="Times New Roman" w:eastAsia="仿宋_GB2312" w:cs="Times New Roman"/>
          <w:b/>
          <w:color w:val="auto"/>
        </w:rPr>
        <w:drawing>
          <wp:inline distT="0" distB="0" distL="0" distR="0">
            <wp:extent cx="5266690" cy="3437890"/>
            <wp:effectExtent l="19050" t="0" r="0" b="0"/>
            <wp:docPr id="7" name="图片 7" descr="C:\Users\Administrator\AppData\Local\Microsoft\Windows\INetCache\Content.Word\工业用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AppData\Local\Microsoft\Windows\INetCache\Content.Word\工业用地.jpg"/>
                    <pic:cNvPicPr>
                      <a:picLocks noChangeAspect="1" noChangeArrowheads="1"/>
                    </pic:cNvPicPr>
                  </pic:nvPicPr>
                  <pic:blipFill>
                    <a:blip r:embed="rId62" cstate="print"/>
                    <a:srcRect/>
                    <a:stretch>
                      <a:fillRect/>
                    </a:stretch>
                  </pic:blipFill>
                  <pic:spPr>
                    <a:xfrm>
                      <a:off x="0" y="0"/>
                      <a:ext cx="5266690" cy="3437890"/>
                    </a:xfrm>
                    <a:prstGeom prst="rect">
                      <a:avLst/>
                    </a:prstGeom>
                    <a:noFill/>
                    <a:ln w="9525">
                      <a:noFill/>
                      <a:miter lim="800000"/>
                      <a:headEnd/>
                      <a:tailEnd/>
                    </a:ln>
                  </pic:spPr>
                </pic:pic>
              </a:graphicData>
            </a:graphic>
          </wp:inline>
        </w:drawing>
      </w:r>
    </w:p>
    <w:p>
      <w:pPr>
        <w:adjustRightInd w:val="0"/>
        <w:snapToGrid w:val="0"/>
        <w:spacing w:line="360" w:lineRule="auto"/>
        <w:jc w:val="center"/>
        <w:rPr>
          <w:rFonts w:ascii="Times New Roman" w:hAnsi="Times New Roman" w:eastAsia="仿宋_GB2312" w:cs="Times New Roman"/>
          <w:color w:val="auto"/>
        </w:rPr>
      </w:pPr>
      <w:r>
        <w:rPr>
          <w:rFonts w:hint="eastAsia" w:ascii="Times New Roman" w:hAnsi="Times New Roman" w:eastAsia="仿宋_GB2312" w:cs="Times New Roman"/>
          <w:b/>
          <w:color w:val="auto"/>
        </w:rPr>
        <w:t>图2.1-5：</w:t>
      </w:r>
      <w:r>
        <w:rPr>
          <w:rFonts w:hint="eastAsia" w:ascii="Times New Roman" w:hAnsi="Times New Roman" w:eastAsia="仿宋_GB2312" w:cs="Times New Roman"/>
          <w:b/>
          <w:color w:val="auto"/>
          <w:szCs w:val="24"/>
        </w:rPr>
        <w:t>工业用地规划总体布局图</w:t>
      </w:r>
    </w:p>
    <w:p>
      <w:pPr>
        <w:adjustRightInd w:val="0"/>
        <w:snapToGrid w:val="0"/>
        <w:spacing w:line="360" w:lineRule="auto"/>
        <w:ind w:firstLine="480" w:firstLineChars="200"/>
        <w:jc w:val="left"/>
        <w:rPr>
          <w:rFonts w:ascii="Times New Roman" w:hAnsi="Times New Roman" w:eastAsia="仿宋_GB2312" w:cs="Times New Roman"/>
          <w:color w:val="auto"/>
        </w:rPr>
      </w:pPr>
      <w:r>
        <w:rPr>
          <w:rFonts w:hint="eastAsia" w:ascii="Times New Roman" w:hAnsi="Times New Roman" w:eastAsia="仿宋_GB2312" w:cs="Times New Roman"/>
          <w:color w:val="auto"/>
        </w:rPr>
        <w:t>（二）商业用地</w:t>
      </w:r>
    </w:p>
    <w:p>
      <w:pPr>
        <w:adjustRightInd w:val="0"/>
        <w:snapToGrid w:val="0"/>
        <w:spacing w:line="360" w:lineRule="auto"/>
        <w:ind w:firstLine="480" w:firstLineChars="200"/>
        <w:jc w:val="left"/>
        <w:rPr>
          <w:rFonts w:ascii="Times New Roman" w:hAnsi="Times New Roman" w:eastAsia="仿宋_GB2312" w:cs="Times New Roman"/>
          <w:color w:val="auto"/>
        </w:rPr>
      </w:pPr>
      <w:r>
        <w:rPr>
          <w:rFonts w:hint="eastAsia" w:ascii="Times New Roman" w:hAnsi="Times New Roman" w:eastAsia="仿宋_GB2312" w:cs="Times New Roman"/>
          <w:color w:val="auto"/>
        </w:rPr>
        <w:t>区域规划的商业用地1.56hm</w:t>
      </w:r>
      <w:r>
        <w:rPr>
          <w:rFonts w:hint="eastAsia" w:ascii="Times New Roman" w:hAnsi="Times New Roman" w:eastAsia="仿宋_GB2312" w:cs="Times New Roman"/>
          <w:color w:val="auto"/>
          <w:vertAlign w:val="superscript"/>
        </w:rPr>
        <w:t>2</w:t>
      </w:r>
      <w:r>
        <w:rPr>
          <w:rFonts w:hint="eastAsia" w:ascii="Times New Roman" w:hAnsi="Times New Roman" w:eastAsia="仿宋_GB2312" w:cs="Times New Roman"/>
          <w:color w:val="auto"/>
        </w:rPr>
        <w:t>，占规划区域的1.56%，为E16地块，位于本区域东北侧，属零售商业用地（B1）。地块未出让，未扰动。</w:t>
      </w:r>
    </w:p>
    <w:p>
      <w:pPr>
        <w:adjustRightInd w:val="0"/>
        <w:snapToGrid w:val="0"/>
        <w:spacing w:line="360" w:lineRule="auto"/>
        <w:jc w:val="center"/>
        <w:rPr>
          <w:rFonts w:ascii="Times New Roman" w:hAnsi="Times New Roman" w:eastAsia="仿宋_GB2312" w:cs="Times New Roman"/>
          <w:b/>
          <w:color w:val="auto"/>
        </w:rPr>
      </w:pPr>
      <w:r>
        <w:rPr>
          <w:rFonts w:hint="eastAsia" w:ascii="Times New Roman" w:hAnsi="Times New Roman" w:eastAsia="仿宋_GB2312" w:cs="Times New Roman"/>
          <w:b/>
          <w:color w:val="auto"/>
        </w:rPr>
        <w:drawing>
          <wp:inline distT="0" distB="0" distL="0" distR="0">
            <wp:extent cx="5266690" cy="3645535"/>
            <wp:effectExtent l="19050" t="0" r="0" b="0"/>
            <wp:docPr id="19" name="图片 10" descr="C:\Users\Administrator\AppData\Local\Microsoft\Windows\INetCache\Content.Word\商业用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descr="C:\Users\Administrator\AppData\Local\Microsoft\Windows\INetCache\Content.Word\商业用地.jpg"/>
                    <pic:cNvPicPr>
                      <a:picLocks noChangeAspect="1" noChangeArrowheads="1"/>
                    </pic:cNvPicPr>
                  </pic:nvPicPr>
                  <pic:blipFill>
                    <a:blip r:embed="rId63" cstate="print"/>
                    <a:srcRect/>
                    <a:stretch>
                      <a:fillRect/>
                    </a:stretch>
                  </pic:blipFill>
                  <pic:spPr>
                    <a:xfrm>
                      <a:off x="0" y="0"/>
                      <a:ext cx="5266690" cy="3645535"/>
                    </a:xfrm>
                    <a:prstGeom prst="rect">
                      <a:avLst/>
                    </a:prstGeom>
                    <a:noFill/>
                    <a:ln w="9525">
                      <a:noFill/>
                      <a:miter lim="800000"/>
                      <a:headEnd/>
                      <a:tailEnd/>
                    </a:ln>
                  </pic:spPr>
                </pic:pic>
              </a:graphicData>
            </a:graphic>
          </wp:inline>
        </w:drawing>
      </w:r>
    </w:p>
    <w:p>
      <w:pPr>
        <w:adjustRightInd w:val="0"/>
        <w:snapToGrid w:val="0"/>
        <w:spacing w:line="360" w:lineRule="auto"/>
        <w:jc w:val="center"/>
        <w:rPr>
          <w:rFonts w:ascii="Times New Roman" w:hAnsi="Times New Roman" w:eastAsia="仿宋_GB2312" w:cs="Times New Roman"/>
          <w:color w:val="auto"/>
        </w:rPr>
      </w:pPr>
      <w:r>
        <w:rPr>
          <w:rFonts w:hint="eastAsia" w:ascii="Times New Roman" w:hAnsi="Times New Roman" w:eastAsia="仿宋_GB2312" w:cs="Times New Roman"/>
          <w:b/>
          <w:color w:val="auto"/>
        </w:rPr>
        <w:t>图2.1-6：</w:t>
      </w:r>
      <w:r>
        <w:rPr>
          <w:rFonts w:hint="eastAsia" w:ascii="Times New Roman" w:hAnsi="Times New Roman" w:eastAsia="仿宋_GB2312" w:cs="Times New Roman"/>
          <w:b/>
          <w:color w:val="auto"/>
          <w:szCs w:val="24"/>
        </w:rPr>
        <w:t>商业用地规划总体布局图</w:t>
      </w:r>
    </w:p>
    <w:p>
      <w:pPr>
        <w:keepNext/>
        <w:keepLines/>
        <w:spacing w:line="360" w:lineRule="auto"/>
        <w:outlineLvl w:val="3"/>
        <w:rPr>
          <w:rFonts w:ascii="Times New Roman" w:hAnsi="Times New Roman" w:eastAsia="仿宋_GB2312" w:cs="Times New Roman"/>
          <w:b/>
          <w:bCs/>
          <w:color w:val="auto"/>
          <w:sz w:val="28"/>
          <w:szCs w:val="28"/>
        </w:rPr>
      </w:pPr>
      <w:r>
        <w:rPr>
          <w:rFonts w:hint="eastAsia" w:ascii="Times New Roman" w:hAnsi="Times New Roman" w:eastAsia="仿宋_GB2312" w:cs="Times New Roman"/>
          <w:b/>
          <w:bCs/>
          <w:color w:val="auto"/>
          <w:sz w:val="28"/>
          <w:szCs w:val="28"/>
        </w:rPr>
        <w:t>2.1.3.4 公共基础设施区</w:t>
      </w:r>
    </w:p>
    <w:p>
      <w:pPr>
        <w:adjustRightInd w:val="0"/>
        <w:snapToGrid w:val="0"/>
        <w:spacing w:line="360" w:lineRule="auto"/>
        <w:ind w:firstLine="480" w:firstLineChars="200"/>
        <w:jc w:val="left"/>
        <w:rPr>
          <w:rFonts w:ascii="Times New Roman" w:hAnsi="Times New Roman" w:eastAsia="仿宋_GB2312" w:cs="Times New Roman"/>
          <w:color w:val="auto"/>
        </w:rPr>
      </w:pPr>
      <w:r>
        <w:rPr>
          <w:rFonts w:hint="eastAsia" w:ascii="Times New Roman" w:hAnsi="Times New Roman" w:eastAsia="仿宋_GB2312" w:cs="Times New Roman"/>
          <w:color w:val="auto"/>
        </w:rPr>
        <w:t>（一）道路与交通设施用地</w:t>
      </w:r>
    </w:p>
    <w:p>
      <w:pPr>
        <w:adjustRightInd w:val="0"/>
        <w:snapToGrid w:val="0"/>
        <w:spacing w:line="360" w:lineRule="auto"/>
        <w:ind w:firstLine="480" w:firstLineChars="200"/>
        <w:jc w:val="left"/>
        <w:rPr>
          <w:rFonts w:ascii="Times New Roman" w:hAnsi="Times New Roman" w:eastAsia="仿宋_GB2312" w:cs="Times New Roman"/>
          <w:color w:val="auto"/>
        </w:rPr>
      </w:pPr>
      <w:r>
        <w:rPr>
          <w:rFonts w:hint="eastAsia" w:ascii="Times New Roman" w:hAnsi="Times New Roman" w:eastAsia="仿宋_GB2312" w:cs="Times New Roman"/>
          <w:color w:val="auto"/>
        </w:rPr>
        <w:t>（1）规划指标</w:t>
      </w:r>
    </w:p>
    <w:p>
      <w:pPr>
        <w:adjustRightInd w:val="0"/>
        <w:snapToGrid w:val="0"/>
        <w:spacing w:line="360" w:lineRule="auto"/>
        <w:ind w:firstLine="480" w:firstLineChars="200"/>
        <w:jc w:val="left"/>
        <w:rPr>
          <w:rFonts w:ascii="Times New Roman" w:hAnsi="Times New Roman" w:eastAsia="仿宋_GB2312" w:cs="Times New Roman"/>
          <w:color w:val="auto"/>
        </w:rPr>
      </w:pPr>
      <w:r>
        <w:rPr>
          <w:rFonts w:hint="eastAsia" w:ascii="Times New Roman" w:hAnsi="Times New Roman" w:eastAsia="仿宋_GB2312" w:cs="Times New Roman"/>
          <w:color w:val="auto"/>
        </w:rPr>
        <w:t>区域规划的道路与交通设施用地包含道路用地和（S1）和社会停车场用地（S42），总用地面积为11.66hm</w:t>
      </w:r>
      <w:r>
        <w:rPr>
          <w:rFonts w:hint="eastAsia" w:ascii="Times New Roman" w:hAnsi="Times New Roman" w:eastAsia="仿宋_GB2312" w:cs="Times New Roman"/>
          <w:color w:val="auto"/>
          <w:vertAlign w:val="superscript"/>
        </w:rPr>
        <w:t>2</w:t>
      </w:r>
      <w:r>
        <w:rPr>
          <w:rFonts w:hint="eastAsia" w:ascii="Times New Roman" w:hAnsi="Times New Roman" w:eastAsia="仿宋_GB2312" w:cs="Times New Roman"/>
          <w:color w:val="auto"/>
        </w:rPr>
        <w:t>，占规划区域的11.66%。其中区域规划的道路用地包含尤氨公路、经十六路、经十七路、经十八路、经十九路、嵩氨路、杨家山路、梧岗南路和王家路9条园区道路，占地面积为11.13hm</w:t>
      </w:r>
      <w:r>
        <w:rPr>
          <w:rFonts w:hint="eastAsia" w:ascii="Times New Roman" w:hAnsi="Times New Roman" w:eastAsia="仿宋_GB2312" w:cs="Times New Roman"/>
          <w:color w:val="auto"/>
          <w:vertAlign w:val="superscript"/>
        </w:rPr>
        <w:t>2</w:t>
      </w:r>
      <w:r>
        <w:rPr>
          <w:rFonts w:hint="eastAsia" w:ascii="Times New Roman" w:hAnsi="Times New Roman" w:eastAsia="仿宋_GB2312" w:cs="Times New Roman"/>
          <w:color w:val="auto"/>
        </w:rPr>
        <w:t>；社会停车场用地为E15地块，占地面积为0.54hm</w:t>
      </w:r>
      <w:r>
        <w:rPr>
          <w:rFonts w:hint="eastAsia" w:ascii="Times New Roman" w:hAnsi="Times New Roman" w:eastAsia="仿宋_GB2312" w:cs="Times New Roman"/>
          <w:color w:val="auto"/>
          <w:vertAlign w:val="superscript"/>
        </w:rPr>
        <w:t>2</w:t>
      </w:r>
      <w:r>
        <w:rPr>
          <w:rFonts w:hint="eastAsia" w:ascii="Times New Roman" w:hAnsi="Times New Roman" w:eastAsia="仿宋_GB2312" w:cs="Times New Roman"/>
          <w:color w:val="auto"/>
        </w:rPr>
        <w:t>。</w:t>
      </w:r>
    </w:p>
    <w:p>
      <w:pPr>
        <w:adjustRightInd w:val="0"/>
        <w:snapToGrid w:val="0"/>
        <w:spacing w:line="360" w:lineRule="auto"/>
        <w:ind w:firstLine="480" w:firstLineChars="200"/>
        <w:jc w:val="left"/>
        <w:rPr>
          <w:rFonts w:ascii="Times New Roman" w:hAnsi="Times New Roman" w:eastAsia="仿宋_GB2312" w:cs="Times New Roman"/>
          <w:color w:val="auto"/>
        </w:rPr>
      </w:pPr>
      <w:r>
        <w:rPr>
          <w:rFonts w:hint="eastAsia" w:ascii="Times New Roman" w:hAnsi="Times New Roman" w:eastAsia="仿宋_GB2312" w:cs="Times New Roman"/>
          <w:color w:val="auto"/>
        </w:rPr>
        <w:t>（2）道路交通规划</w:t>
      </w:r>
    </w:p>
    <w:p>
      <w:pPr>
        <w:adjustRightInd w:val="0"/>
        <w:snapToGrid w:val="0"/>
        <w:spacing w:line="360" w:lineRule="auto"/>
        <w:ind w:firstLine="480" w:firstLineChars="200"/>
        <w:jc w:val="left"/>
        <w:rPr>
          <w:rFonts w:ascii="Times New Roman" w:hAnsi="Times New Roman" w:eastAsia="仿宋_GB2312" w:cs="Times New Roman"/>
          <w:color w:val="auto"/>
        </w:rPr>
      </w:pPr>
      <w:r>
        <w:rPr>
          <w:rFonts w:hint="eastAsia" w:ascii="Times New Roman" w:hAnsi="Times New Roman" w:eastAsia="仿宋_GB2312" w:cs="Times New Roman"/>
          <w:color w:val="auto"/>
        </w:rPr>
        <w:t>①道路等级、路网布局规划及主要规划指标</w:t>
      </w:r>
    </w:p>
    <w:p>
      <w:pPr>
        <w:adjustRightInd w:val="0"/>
        <w:snapToGrid w:val="0"/>
        <w:spacing w:line="360" w:lineRule="auto"/>
        <w:ind w:firstLine="480" w:firstLineChars="200"/>
        <w:jc w:val="left"/>
        <w:rPr>
          <w:rFonts w:ascii="Times New Roman" w:hAnsi="Times New Roman" w:eastAsia="仿宋_GB2312" w:cs="Times New Roman"/>
          <w:color w:val="auto"/>
        </w:rPr>
      </w:pPr>
      <w:r>
        <w:rPr>
          <w:rFonts w:hint="eastAsia" w:ascii="Times New Roman" w:hAnsi="Times New Roman" w:eastAsia="仿宋_GB2312" w:cs="Times New Roman"/>
          <w:color w:val="auto"/>
        </w:rPr>
        <w:t>a.规划区域内的道路划分为主干路（尤氨公路）和支路（其余8条道路）2类，主要道路路网结构为“两横三纵”。</w:t>
      </w:r>
    </w:p>
    <w:p>
      <w:pPr>
        <w:adjustRightInd w:val="0"/>
        <w:snapToGrid w:val="0"/>
        <w:spacing w:line="360" w:lineRule="auto"/>
        <w:ind w:firstLine="480" w:firstLineChars="200"/>
        <w:jc w:val="left"/>
        <w:rPr>
          <w:rFonts w:ascii="Times New Roman" w:hAnsi="Times New Roman" w:eastAsia="仿宋_GB2312" w:cs="Times New Roman"/>
          <w:color w:val="auto"/>
        </w:rPr>
      </w:pPr>
      <w:r>
        <w:rPr>
          <w:rFonts w:hint="eastAsia" w:ascii="Times New Roman" w:hAnsi="Times New Roman" w:eastAsia="仿宋_GB2312" w:cs="Times New Roman"/>
          <w:color w:val="auto"/>
        </w:rPr>
        <w:t>b.路面类型：沥青混凝土路面</w:t>
      </w:r>
    </w:p>
    <w:p>
      <w:pPr>
        <w:adjustRightInd w:val="0"/>
        <w:snapToGrid w:val="0"/>
        <w:spacing w:line="360" w:lineRule="auto"/>
        <w:ind w:firstLine="480" w:firstLineChars="200"/>
        <w:jc w:val="left"/>
        <w:rPr>
          <w:rFonts w:ascii="Times New Roman" w:hAnsi="Times New Roman" w:eastAsia="仿宋_GB2312" w:cs="Times New Roman"/>
          <w:color w:val="auto"/>
        </w:rPr>
      </w:pPr>
      <w:r>
        <w:rPr>
          <w:rFonts w:hint="eastAsia" w:ascii="Times New Roman" w:hAnsi="Times New Roman" w:eastAsia="仿宋_GB2312" w:cs="Times New Roman"/>
          <w:color w:val="auto"/>
        </w:rPr>
        <w:t>c.载荷等级：路面：BZZ-100KN</w:t>
      </w:r>
    </w:p>
    <w:p>
      <w:pPr>
        <w:adjustRightInd w:val="0"/>
        <w:snapToGrid w:val="0"/>
        <w:spacing w:line="360" w:lineRule="auto"/>
        <w:ind w:firstLine="480" w:firstLineChars="200"/>
        <w:jc w:val="left"/>
        <w:rPr>
          <w:rFonts w:hint="eastAsia" w:ascii="Times New Roman" w:hAnsi="Times New Roman" w:eastAsia="仿宋_GB2312" w:cs="Times New Roman"/>
          <w:color w:val="auto"/>
        </w:rPr>
      </w:pPr>
      <w:r>
        <w:rPr>
          <w:rFonts w:hint="eastAsia" w:ascii="Times New Roman" w:hAnsi="Times New Roman" w:eastAsia="仿宋_GB2312" w:cs="Times New Roman"/>
          <w:color w:val="auto"/>
        </w:rPr>
        <w:t>d.抗震标准：基本烈度VI度、设计基本地震加速度0.05g</w:t>
      </w:r>
    </w:p>
    <w:p>
      <w:pPr>
        <w:adjustRightInd w:val="0"/>
        <w:snapToGrid w:val="0"/>
        <w:spacing w:line="360" w:lineRule="auto"/>
        <w:jc w:val="center"/>
        <w:rPr>
          <w:rFonts w:ascii="Times New Roman" w:hAnsi="Times New Roman" w:eastAsia="仿宋_GB2312" w:cs="Times New Roman"/>
          <w:b/>
          <w:color w:val="auto"/>
        </w:rPr>
      </w:pPr>
      <w:r>
        <w:rPr>
          <w:rFonts w:ascii="Times New Roman" w:hAnsi="Times New Roman" w:eastAsia="仿宋_GB2312" w:cs="Times New Roman"/>
          <w:b/>
          <w:color w:val="auto"/>
        </w:rPr>
        <w:drawing>
          <wp:inline distT="0" distB="0" distL="0" distR="0">
            <wp:extent cx="4890135" cy="3869690"/>
            <wp:effectExtent l="19050" t="0" r="5443" b="0"/>
            <wp:docPr id="39" name="图片 13" descr="C:\Users\Administrator\AppData\Local\Microsoft\Windows\INetCache\Content.Word\道路用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descr="C:\Users\Administrator\AppData\Local\Microsoft\Windows\INetCache\Content.Word\道路用地.jpg"/>
                    <pic:cNvPicPr>
                      <a:picLocks noChangeAspect="1" noChangeArrowheads="1"/>
                    </pic:cNvPicPr>
                  </pic:nvPicPr>
                  <pic:blipFill>
                    <a:blip r:embed="rId64" cstate="print"/>
                    <a:srcRect/>
                    <a:stretch>
                      <a:fillRect/>
                    </a:stretch>
                  </pic:blipFill>
                  <pic:spPr>
                    <a:xfrm>
                      <a:off x="0" y="0"/>
                      <a:ext cx="4890619" cy="3870292"/>
                    </a:xfrm>
                    <a:prstGeom prst="rect">
                      <a:avLst/>
                    </a:prstGeom>
                    <a:noFill/>
                    <a:ln w="9525">
                      <a:noFill/>
                      <a:miter lim="800000"/>
                      <a:headEnd/>
                      <a:tailEnd/>
                    </a:ln>
                  </pic:spPr>
                </pic:pic>
              </a:graphicData>
            </a:graphic>
          </wp:inline>
        </w:drawing>
      </w:r>
    </w:p>
    <w:p>
      <w:pPr>
        <w:adjustRightInd w:val="0"/>
        <w:snapToGrid w:val="0"/>
        <w:spacing w:line="360" w:lineRule="auto"/>
        <w:jc w:val="center"/>
        <w:rPr>
          <w:rFonts w:ascii="Times New Roman" w:hAnsi="Times New Roman" w:eastAsia="仿宋_GB2312" w:cs="Times New Roman"/>
          <w:color w:val="auto"/>
        </w:rPr>
      </w:pPr>
      <w:r>
        <w:rPr>
          <w:rFonts w:hint="eastAsia" w:ascii="Times New Roman" w:hAnsi="Times New Roman" w:eastAsia="仿宋_GB2312" w:cs="Times New Roman"/>
          <w:b/>
          <w:color w:val="auto"/>
        </w:rPr>
        <w:t>图2.1-7：</w:t>
      </w:r>
      <w:r>
        <w:rPr>
          <w:rFonts w:hint="eastAsia" w:ascii="Times New Roman" w:hAnsi="Times New Roman" w:eastAsia="仿宋_GB2312" w:cs="Times New Roman"/>
          <w:b/>
          <w:color w:val="auto"/>
          <w:szCs w:val="24"/>
        </w:rPr>
        <w:t>道路与交通设施用地规划总体布局图</w:t>
      </w:r>
    </w:p>
    <w:p>
      <w:pPr>
        <w:adjustRightInd w:val="0"/>
        <w:snapToGrid w:val="0"/>
        <w:spacing w:line="360" w:lineRule="auto"/>
        <w:ind w:firstLine="480" w:firstLineChars="200"/>
        <w:jc w:val="left"/>
        <w:rPr>
          <w:rFonts w:ascii="Times New Roman" w:hAnsi="Times New Roman" w:eastAsia="仿宋_GB2312" w:cs="Times New Roman"/>
          <w:color w:val="auto"/>
        </w:rPr>
        <w:sectPr>
          <w:headerReference r:id="rId16" w:type="default"/>
          <w:footerReference r:id="rId17" w:type="default"/>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32" w:charSpace="0"/>
        </w:sectPr>
      </w:pPr>
    </w:p>
    <w:p>
      <w:pPr>
        <w:adjustRightInd w:val="0"/>
        <w:snapToGrid w:val="0"/>
        <w:spacing w:line="360" w:lineRule="auto"/>
        <w:ind w:firstLine="480" w:firstLineChars="200"/>
        <w:jc w:val="left"/>
        <w:rPr>
          <w:rFonts w:ascii="Times New Roman" w:hAnsi="Times New Roman" w:eastAsia="仿宋_GB2312" w:cs="Times New Roman"/>
          <w:color w:val="auto"/>
        </w:rPr>
      </w:pPr>
      <w:r>
        <w:rPr>
          <w:rFonts w:hint="eastAsia" w:ascii="Times New Roman" w:hAnsi="Times New Roman" w:eastAsia="仿宋_GB2312" w:cs="Times New Roman"/>
          <w:color w:val="auto"/>
        </w:rPr>
        <w:t>②道路断面规划</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表2.1-4：道路横断面概况一览表</w:t>
      </w:r>
    </w:p>
    <w:tbl>
      <w:tblPr>
        <w:tblStyle w:val="37"/>
        <w:tblW w:w="1340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41"/>
        <w:gridCol w:w="1347"/>
        <w:gridCol w:w="1097"/>
        <w:gridCol w:w="897"/>
        <w:gridCol w:w="1461"/>
        <w:gridCol w:w="4848"/>
        <w:gridCol w:w="1342"/>
        <w:gridCol w:w="176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5" w:hRule="atLeast"/>
          <w:jc w:val="center"/>
        </w:trPr>
        <w:tc>
          <w:tcPr>
            <w:tcW w:w="641" w:type="dxa"/>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序号</w:t>
            </w:r>
          </w:p>
        </w:tc>
        <w:tc>
          <w:tcPr>
            <w:tcW w:w="1347"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道路名称</w:t>
            </w:r>
          </w:p>
        </w:tc>
        <w:tc>
          <w:tcPr>
            <w:tcW w:w="1097" w:type="dxa"/>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道路等级</w:t>
            </w:r>
          </w:p>
        </w:tc>
        <w:tc>
          <w:tcPr>
            <w:tcW w:w="897" w:type="dxa"/>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走向</w:t>
            </w:r>
          </w:p>
        </w:tc>
        <w:tc>
          <w:tcPr>
            <w:tcW w:w="1461"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宽度（m）</w:t>
            </w:r>
          </w:p>
        </w:tc>
        <w:tc>
          <w:tcPr>
            <w:tcW w:w="4848"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道路横断面组成</w:t>
            </w:r>
          </w:p>
        </w:tc>
        <w:tc>
          <w:tcPr>
            <w:tcW w:w="1342" w:type="dxa"/>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长度</w:t>
            </w:r>
            <w:r>
              <w:rPr>
                <w:rFonts w:hint="eastAsia" w:ascii="Times New Roman" w:hAnsi="Times New Roman" w:eastAsia="仿宋_GB2312" w:cs="Times New Roman"/>
                <w:b/>
                <w:color w:val="auto"/>
                <w:kern w:val="0"/>
                <w:sz w:val="21"/>
                <w:szCs w:val="21"/>
              </w:rPr>
              <w:t>（m）</w:t>
            </w:r>
          </w:p>
        </w:tc>
        <w:tc>
          <w:tcPr>
            <w:tcW w:w="1768" w:type="dxa"/>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641" w:type="dxa"/>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1</w:t>
            </w:r>
          </w:p>
        </w:tc>
        <w:tc>
          <w:tcPr>
            <w:tcW w:w="134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尤氨公路</w:t>
            </w:r>
          </w:p>
        </w:tc>
        <w:tc>
          <w:tcPr>
            <w:tcW w:w="1097" w:type="dxa"/>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主干路</w:t>
            </w:r>
          </w:p>
        </w:tc>
        <w:tc>
          <w:tcPr>
            <w:tcW w:w="897" w:type="dxa"/>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南北</w:t>
            </w:r>
          </w:p>
        </w:tc>
        <w:tc>
          <w:tcPr>
            <w:tcW w:w="1461"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42~54</w:t>
            </w:r>
          </w:p>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典型断面42</w:t>
            </w:r>
          </w:p>
        </w:tc>
        <w:tc>
          <w:tcPr>
            <w:tcW w:w="484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4.5m人行道+3.5m非机动车道+1.5m侧分带+10.75m车行道+1.5m中分带+10.75m机动车道+1.5m侧分带+3.5m非机动车道+4.5m人行道</w:t>
            </w:r>
          </w:p>
        </w:tc>
        <w:tc>
          <w:tcPr>
            <w:tcW w:w="1342"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627</w:t>
            </w:r>
          </w:p>
        </w:tc>
        <w:tc>
          <w:tcPr>
            <w:tcW w:w="1768"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未建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641" w:type="dxa"/>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2</w:t>
            </w:r>
          </w:p>
        </w:tc>
        <w:tc>
          <w:tcPr>
            <w:tcW w:w="134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经十六路</w:t>
            </w:r>
          </w:p>
        </w:tc>
        <w:tc>
          <w:tcPr>
            <w:tcW w:w="109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支路</w:t>
            </w:r>
          </w:p>
        </w:tc>
        <w:tc>
          <w:tcPr>
            <w:tcW w:w="89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南北</w:t>
            </w:r>
          </w:p>
        </w:tc>
        <w:tc>
          <w:tcPr>
            <w:tcW w:w="1461"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20</w:t>
            </w:r>
          </w:p>
        </w:tc>
        <w:tc>
          <w:tcPr>
            <w:tcW w:w="484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3</w:t>
            </w:r>
            <w:r>
              <w:rPr>
                <w:rFonts w:ascii="Times New Roman" w:hAnsi="Times New Roman" w:eastAsia="仿宋_GB2312" w:cs="Times New Roman"/>
                <w:color w:val="auto"/>
                <w:kern w:val="0"/>
                <w:sz w:val="21"/>
                <w:szCs w:val="21"/>
              </w:rPr>
              <w:t>.5m人行道+1</w:t>
            </w:r>
            <w:r>
              <w:rPr>
                <w:rFonts w:hint="eastAsia" w:ascii="Times New Roman" w:hAnsi="Times New Roman" w:eastAsia="仿宋_GB2312" w:cs="Times New Roman"/>
                <w:color w:val="auto"/>
                <w:kern w:val="0"/>
                <w:sz w:val="21"/>
                <w:szCs w:val="21"/>
              </w:rPr>
              <w:t>3</w:t>
            </w:r>
            <w:r>
              <w:rPr>
                <w:rFonts w:ascii="Times New Roman" w:hAnsi="Times New Roman" w:eastAsia="仿宋_GB2312" w:cs="Times New Roman"/>
                <w:color w:val="auto"/>
                <w:kern w:val="0"/>
                <w:sz w:val="21"/>
                <w:szCs w:val="21"/>
              </w:rPr>
              <w:t>m车行道+</w:t>
            </w:r>
            <w:r>
              <w:rPr>
                <w:rFonts w:hint="eastAsia" w:ascii="Times New Roman" w:hAnsi="Times New Roman" w:eastAsia="仿宋_GB2312" w:cs="Times New Roman"/>
                <w:color w:val="auto"/>
                <w:kern w:val="0"/>
                <w:sz w:val="21"/>
                <w:szCs w:val="21"/>
              </w:rPr>
              <w:t>3</w:t>
            </w:r>
            <w:r>
              <w:rPr>
                <w:rFonts w:ascii="Times New Roman" w:hAnsi="Times New Roman" w:eastAsia="仿宋_GB2312" w:cs="Times New Roman"/>
                <w:color w:val="auto"/>
                <w:kern w:val="0"/>
                <w:sz w:val="21"/>
                <w:szCs w:val="21"/>
              </w:rPr>
              <w:t>.5m人行道</w:t>
            </w:r>
          </w:p>
        </w:tc>
        <w:tc>
          <w:tcPr>
            <w:tcW w:w="1342"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348</w:t>
            </w:r>
          </w:p>
        </w:tc>
        <w:tc>
          <w:tcPr>
            <w:tcW w:w="1768"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未建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641" w:type="dxa"/>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3</w:t>
            </w:r>
          </w:p>
        </w:tc>
        <w:tc>
          <w:tcPr>
            <w:tcW w:w="1347" w:type="dxa"/>
            <w:shd w:val="clear" w:color="auto" w:fill="auto"/>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经十七路</w:t>
            </w:r>
          </w:p>
        </w:tc>
        <w:tc>
          <w:tcPr>
            <w:tcW w:w="109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支路</w:t>
            </w:r>
          </w:p>
        </w:tc>
        <w:tc>
          <w:tcPr>
            <w:tcW w:w="897" w:type="dxa"/>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南北</w:t>
            </w:r>
          </w:p>
        </w:tc>
        <w:tc>
          <w:tcPr>
            <w:tcW w:w="1461"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22</w:t>
            </w:r>
          </w:p>
        </w:tc>
        <w:tc>
          <w:tcPr>
            <w:tcW w:w="484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4</w:t>
            </w:r>
            <w:r>
              <w:rPr>
                <w:rFonts w:ascii="Times New Roman" w:hAnsi="Times New Roman" w:eastAsia="仿宋_GB2312" w:cs="Times New Roman"/>
                <w:color w:val="auto"/>
                <w:kern w:val="0"/>
                <w:sz w:val="21"/>
                <w:szCs w:val="21"/>
              </w:rPr>
              <w:t>.5m人行道+1</w:t>
            </w:r>
            <w:r>
              <w:rPr>
                <w:rFonts w:hint="eastAsia" w:ascii="Times New Roman" w:hAnsi="Times New Roman" w:eastAsia="仿宋_GB2312" w:cs="Times New Roman"/>
                <w:color w:val="auto"/>
                <w:kern w:val="0"/>
                <w:sz w:val="21"/>
                <w:szCs w:val="21"/>
              </w:rPr>
              <w:t>3</w:t>
            </w:r>
            <w:r>
              <w:rPr>
                <w:rFonts w:ascii="Times New Roman" w:hAnsi="Times New Roman" w:eastAsia="仿宋_GB2312" w:cs="Times New Roman"/>
                <w:color w:val="auto"/>
                <w:kern w:val="0"/>
                <w:sz w:val="21"/>
                <w:szCs w:val="21"/>
              </w:rPr>
              <w:t>m车行道+</w:t>
            </w:r>
            <w:r>
              <w:rPr>
                <w:rFonts w:hint="eastAsia" w:ascii="Times New Roman" w:hAnsi="Times New Roman" w:eastAsia="仿宋_GB2312" w:cs="Times New Roman"/>
                <w:color w:val="auto"/>
                <w:kern w:val="0"/>
                <w:sz w:val="21"/>
                <w:szCs w:val="21"/>
              </w:rPr>
              <w:t>4</w:t>
            </w:r>
            <w:r>
              <w:rPr>
                <w:rFonts w:ascii="Times New Roman" w:hAnsi="Times New Roman" w:eastAsia="仿宋_GB2312" w:cs="Times New Roman"/>
                <w:color w:val="auto"/>
                <w:kern w:val="0"/>
                <w:sz w:val="21"/>
                <w:szCs w:val="21"/>
              </w:rPr>
              <w:t>.5m人行道</w:t>
            </w:r>
          </w:p>
        </w:tc>
        <w:tc>
          <w:tcPr>
            <w:tcW w:w="1342"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624</w:t>
            </w:r>
          </w:p>
        </w:tc>
        <w:tc>
          <w:tcPr>
            <w:tcW w:w="1768"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未建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641" w:type="dxa"/>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4</w:t>
            </w:r>
          </w:p>
        </w:tc>
        <w:tc>
          <w:tcPr>
            <w:tcW w:w="1347" w:type="dxa"/>
            <w:shd w:val="clear" w:color="auto" w:fill="auto"/>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经十八路</w:t>
            </w:r>
          </w:p>
        </w:tc>
        <w:tc>
          <w:tcPr>
            <w:tcW w:w="109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支路</w:t>
            </w:r>
          </w:p>
        </w:tc>
        <w:tc>
          <w:tcPr>
            <w:tcW w:w="897" w:type="dxa"/>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南北</w:t>
            </w:r>
          </w:p>
        </w:tc>
        <w:tc>
          <w:tcPr>
            <w:tcW w:w="1461"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20</w:t>
            </w:r>
          </w:p>
        </w:tc>
        <w:tc>
          <w:tcPr>
            <w:tcW w:w="484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3</w:t>
            </w:r>
            <w:r>
              <w:rPr>
                <w:rFonts w:ascii="Times New Roman" w:hAnsi="Times New Roman" w:eastAsia="仿宋_GB2312" w:cs="Times New Roman"/>
                <w:color w:val="auto"/>
                <w:kern w:val="0"/>
                <w:sz w:val="21"/>
                <w:szCs w:val="21"/>
              </w:rPr>
              <w:t>.5m人行道+1</w:t>
            </w:r>
            <w:r>
              <w:rPr>
                <w:rFonts w:hint="eastAsia" w:ascii="Times New Roman" w:hAnsi="Times New Roman" w:eastAsia="仿宋_GB2312" w:cs="Times New Roman"/>
                <w:color w:val="auto"/>
                <w:kern w:val="0"/>
                <w:sz w:val="21"/>
                <w:szCs w:val="21"/>
              </w:rPr>
              <w:t>3</w:t>
            </w:r>
            <w:r>
              <w:rPr>
                <w:rFonts w:ascii="Times New Roman" w:hAnsi="Times New Roman" w:eastAsia="仿宋_GB2312" w:cs="Times New Roman"/>
                <w:color w:val="auto"/>
                <w:kern w:val="0"/>
                <w:sz w:val="21"/>
                <w:szCs w:val="21"/>
              </w:rPr>
              <w:t>m车行道+</w:t>
            </w:r>
            <w:r>
              <w:rPr>
                <w:rFonts w:hint="eastAsia" w:ascii="Times New Roman" w:hAnsi="Times New Roman" w:eastAsia="仿宋_GB2312" w:cs="Times New Roman"/>
                <w:color w:val="auto"/>
                <w:kern w:val="0"/>
                <w:sz w:val="21"/>
                <w:szCs w:val="21"/>
              </w:rPr>
              <w:t>3</w:t>
            </w:r>
            <w:r>
              <w:rPr>
                <w:rFonts w:ascii="Times New Roman" w:hAnsi="Times New Roman" w:eastAsia="仿宋_GB2312" w:cs="Times New Roman"/>
                <w:color w:val="auto"/>
                <w:kern w:val="0"/>
                <w:sz w:val="21"/>
                <w:szCs w:val="21"/>
              </w:rPr>
              <w:t>.5m人行道</w:t>
            </w:r>
          </w:p>
        </w:tc>
        <w:tc>
          <w:tcPr>
            <w:tcW w:w="1342"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686</w:t>
            </w:r>
          </w:p>
        </w:tc>
        <w:tc>
          <w:tcPr>
            <w:tcW w:w="1768"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sz w:val="21"/>
                <w:szCs w:val="21"/>
              </w:rPr>
              <w:t>已建谢佛路至杨家山路段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641" w:type="dxa"/>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5</w:t>
            </w:r>
          </w:p>
        </w:tc>
        <w:tc>
          <w:tcPr>
            <w:tcW w:w="1347" w:type="dxa"/>
            <w:shd w:val="clear" w:color="auto" w:fill="auto"/>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经十九路</w:t>
            </w:r>
          </w:p>
        </w:tc>
        <w:tc>
          <w:tcPr>
            <w:tcW w:w="109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支路</w:t>
            </w:r>
          </w:p>
        </w:tc>
        <w:tc>
          <w:tcPr>
            <w:tcW w:w="897" w:type="dxa"/>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南北</w:t>
            </w:r>
          </w:p>
        </w:tc>
        <w:tc>
          <w:tcPr>
            <w:tcW w:w="1461"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20</w:t>
            </w:r>
          </w:p>
        </w:tc>
        <w:tc>
          <w:tcPr>
            <w:tcW w:w="484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3</w:t>
            </w:r>
            <w:r>
              <w:rPr>
                <w:rFonts w:ascii="Times New Roman" w:hAnsi="Times New Roman" w:eastAsia="仿宋_GB2312" w:cs="Times New Roman"/>
                <w:color w:val="auto"/>
                <w:kern w:val="0"/>
                <w:sz w:val="21"/>
                <w:szCs w:val="21"/>
              </w:rPr>
              <w:t>.5m人行道+1</w:t>
            </w:r>
            <w:r>
              <w:rPr>
                <w:rFonts w:hint="eastAsia" w:ascii="Times New Roman" w:hAnsi="Times New Roman" w:eastAsia="仿宋_GB2312" w:cs="Times New Roman"/>
                <w:color w:val="auto"/>
                <w:kern w:val="0"/>
                <w:sz w:val="21"/>
                <w:szCs w:val="21"/>
              </w:rPr>
              <w:t>3</w:t>
            </w:r>
            <w:r>
              <w:rPr>
                <w:rFonts w:ascii="Times New Roman" w:hAnsi="Times New Roman" w:eastAsia="仿宋_GB2312" w:cs="Times New Roman"/>
                <w:color w:val="auto"/>
                <w:kern w:val="0"/>
                <w:sz w:val="21"/>
                <w:szCs w:val="21"/>
              </w:rPr>
              <w:t>m车行道+</w:t>
            </w:r>
            <w:r>
              <w:rPr>
                <w:rFonts w:hint="eastAsia" w:ascii="Times New Roman" w:hAnsi="Times New Roman" w:eastAsia="仿宋_GB2312" w:cs="Times New Roman"/>
                <w:color w:val="auto"/>
                <w:kern w:val="0"/>
                <w:sz w:val="21"/>
                <w:szCs w:val="21"/>
              </w:rPr>
              <w:t>3</w:t>
            </w:r>
            <w:r>
              <w:rPr>
                <w:rFonts w:ascii="Times New Roman" w:hAnsi="Times New Roman" w:eastAsia="仿宋_GB2312" w:cs="Times New Roman"/>
                <w:color w:val="auto"/>
                <w:kern w:val="0"/>
                <w:sz w:val="21"/>
                <w:szCs w:val="21"/>
              </w:rPr>
              <w:t>.5m人行道</w:t>
            </w:r>
          </w:p>
        </w:tc>
        <w:tc>
          <w:tcPr>
            <w:tcW w:w="1342"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163</w:t>
            </w:r>
          </w:p>
        </w:tc>
        <w:tc>
          <w:tcPr>
            <w:tcW w:w="1768"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未建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641" w:type="dxa"/>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6</w:t>
            </w:r>
          </w:p>
        </w:tc>
        <w:tc>
          <w:tcPr>
            <w:tcW w:w="1347" w:type="dxa"/>
            <w:shd w:val="clear" w:color="auto" w:fill="auto"/>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梧岗南路</w:t>
            </w:r>
          </w:p>
        </w:tc>
        <w:tc>
          <w:tcPr>
            <w:tcW w:w="109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支路</w:t>
            </w:r>
          </w:p>
        </w:tc>
        <w:tc>
          <w:tcPr>
            <w:tcW w:w="89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东西</w:t>
            </w:r>
          </w:p>
        </w:tc>
        <w:tc>
          <w:tcPr>
            <w:tcW w:w="1461"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22</w:t>
            </w:r>
          </w:p>
        </w:tc>
        <w:tc>
          <w:tcPr>
            <w:tcW w:w="484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4</w:t>
            </w:r>
            <w:r>
              <w:rPr>
                <w:rFonts w:ascii="Times New Roman" w:hAnsi="Times New Roman" w:eastAsia="仿宋_GB2312" w:cs="Times New Roman"/>
                <w:color w:val="auto"/>
                <w:kern w:val="0"/>
                <w:sz w:val="21"/>
                <w:szCs w:val="21"/>
              </w:rPr>
              <w:t>.5m人行道+1</w:t>
            </w:r>
            <w:r>
              <w:rPr>
                <w:rFonts w:hint="eastAsia" w:ascii="Times New Roman" w:hAnsi="Times New Roman" w:eastAsia="仿宋_GB2312" w:cs="Times New Roman"/>
                <w:color w:val="auto"/>
                <w:kern w:val="0"/>
                <w:sz w:val="21"/>
                <w:szCs w:val="21"/>
              </w:rPr>
              <w:t>3</w:t>
            </w:r>
            <w:r>
              <w:rPr>
                <w:rFonts w:ascii="Times New Roman" w:hAnsi="Times New Roman" w:eastAsia="仿宋_GB2312" w:cs="Times New Roman"/>
                <w:color w:val="auto"/>
                <w:kern w:val="0"/>
                <w:sz w:val="21"/>
                <w:szCs w:val="21"/>
              </w:rPr>
              <w:t>m车行道+</w:t>
            </w:r>
            <w:r>
              <w:rPr>
                <w:rFonts w:hint="eastAsia" w:ascii="Times New Roman" w:hAnsi="Times New Roman" w:eastAsia="仿宋_GB2312" w:cs="Times New Roman"/>
                <w:color w:val="auto"/>
                <w:kern w:val="0"/>
                <w:sz w:val="21"/>
                <w:szCs w:val="21"/>
              </w:rPr>
              <w:t>4</w:t>
            </w:r>
            <w:r>
              <w:rPr>
                <w:rFonts w:ascii="Times New Roman" w:hAnsi="Times New Roman" w:eastAsia="仿宋_GB2312" w:cs="Times New Roman"/>
                <w:color w:val="auto"/>
                <w:kern w:val="0"/>
                <w:sz w:val="21"/>
                <w:szCs w:val="21"/>
              </w:rPr>
              <w:t>.5m人行道</w:t>
            </w:r>
          </w:p>
        </w:tc>
        <w:tc>
          <w:tcPr>
            <w:tcW w:w="1342"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515</w:t>
            </w:r>
          </w:p>
        </w:tc>
        <w:tc>
          <w:tcPr>
            <w:tcW w:w="1768"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未建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641" w:type="dxa"/>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7</w:t>
            </w:r>
          </w:p>
        </w:tc>
        <w:tc>
          <w:tcPr>
            <w:tcW w:w="1347" w:type="dxa"/>
            <w:shd w:val="clear" w:color="auto" w:fill="auto"/>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嵩氨路</w:t>
            </w:r>
          </w:p>
        </w:tc>
        <w:tc>
          <w:tcPr>
            <w:tcW w:w="109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支路</w:t>
            </w:r>
          </w:p>
        </w:tc>
        <w:tc>
          <w:tcPr>
            <w:tcW w:w="89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东西</w:t>
            </w:r>
          </w:p>
        </w:tc>
        <w:tc>
          <w:tcPr>
            <w:tcW w:w="1461"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20</w:t>
            </w:r>
          </w:p>
        </w:tc>
        <w:tc>
          <w:tcPr>
            <w:tcW w:w="484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3</w:t>
            </w:r>
            <w:r>
              <w:rPr>
                <w:rFonts w:ascii="Times New Roman" w:hAnsi="Times New Roman" w:eastAsia="仿宋_GB2312" w:cs="Times New Roman"/>
                <w:color w:val="auto"/>
                <w:kern w:val="0"/>
                <w:sz w:val="21"/>
                <w:szCs w:val="21"/>
              </w:rPr>
              <w:t>.5m人行道+1</w:t>
            </w:r>
            <w:r>
              <w:rPr>
                <w:rFonts w:hint="eastAsia" w:ascii="Times New Roman" w:hAnsi="Times New Roman" w:eastAsia="仿宋_GB2312" w:cs="Times New Roman"/>
                <w:color w:val="auto"/>
                <w:kern w:val="0"/>
                <w:sz w:val="21"/>
                <w:szCs w:val="21"/>
              </w:rPr>
              <w:t>3</w:t>
            </w:r>
            <w:r>
              <w:rPr>
                <w:rFonts w:ascii="Times New Roman" w:hAnsi="Times New Roman" w:eastAsia="仿宋_GB2312" w:cs="Times New Roman"/>
                <w:color w:val="auto"/>
                <w:kern w:val="0"/>
                <w:sz w:val="21"/>
                <w:szCs w:val="21"/>
              </w:rPr>
              <w:t>m车行道+</w:t>
            </w:r>
            <w:r>
              <w:rPr>
                <w:rFonts w:hint="eastAsia" w:ascii="Times New Roman" w:hAnsi="Times New Roman" w:eastAsia="仿宋_GB2312" w:cs="Times New Roman"/>
                <w:color w:val="auto"/>
                <w:kern w:val="0"/>
                <w:sz w:val="21"/>
                <w:szCs w:val="21"/>
              </w:rPr>
              <w:t>3</w:t>
            </w:r>
            <w:r>
              <w:rPr>
                <w:rFonts w:ascii="Times New Roman" w:hAnsi="Times New Roman" w:eastAsia="仿宋_GB2312" w:cs="Times New Roman"/>
                <w:color w:val="auto"/>
                <w:kern w:val="0"/>
                <w:sz w:val="21"/>
                <w:szCs w:val="21"/>
              </w:rPr>
              <w:t>.5m人行道</w:t>
            </w:r>
          </w:p>
        </w:tc>
        <w:tc>
          <w:tcPr>
            <w:tcW w:w="1342"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410</w:t>
            </w:r>
          </w:p>
        </w:tc>
        <w:tc>
          <w:tcPr>
            <w:tcW w:w="1768"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未建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641" w:type="dxa"/>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8</w:t>
            </w:r>
          </w:p>
        </w:tc>
        <w:tc>
          <w:tcPr>
            <w:tcW w:w="1347" w:type="dxa"/>
            <w:shd w:val="clear" w:color="auto" w:fill="auto"/>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王家路</w:t>
            </w:r>
          </w:p>
        </w:tc>
        <w:tc>
          <w:tcPr>
            <w:tcW w:w="109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支路</w:t>
            </w:r>
          </w:p>
        </w:tc>
        <w:tc>
          <w:tcPr>
            <w:tcW w:w="89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东西</w:t>
            </w:r>
          </w:p>
        </w:tc>
        <w:tc>
          <w:tcPr>
            <w:tcW w:w="1461"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20</w:t>
            </w:r>
          </w:p>
        </w:tc>
        <w:tc>
          <w:tcPr>
            <w:tcW w:w="484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3</w:t>
            </w:r>
            <w:r>
              <w:rPr>
                <w:rFonts w:ascii="Times New Roman" w:hAnsi="Times New Roman" w:eastAsia="仿宋_GB2312" w:cs="Times New Roman"/>
                <w:color w:val="auto"/>
                <w:kern w:val="0"/>
                <w:sz w:val="21"/>
                <w:szCs w:val="21"/>
              </w:rPr>
              <w:t>.5m人行道+1</w:t>
            </w:r>
            <w:r>
              <w:rPr>
                <w:rFonts w:hint="eastAsia" w:ascii="Times New Roman" w:hAnsi="Times New Roman" w:eastAsia="仿宋_GB2312" w:cs="Times New Roman"/>
                <w:color w:val="auto"/>
                <w:kern w:val="0"/>
                <w:sz w:val="21"/>
                <w:szCs w:val="21"/>
              </w:rPr>
              <w:t>3</w:t>
            </w:r>
            <w:r>
              <w:rPr>
                <w:rFonts w:ascii="Times New Roman" w:hAnsi="Times New Roman" w:eastAsia="仿宋_GB2312" w:cs="Times New Roman"/>
                <w:color w:val="auto"/>
                <w:kern w:val="0"/>
                <w:sz w:val="21"/>
                <w:szCs w:val="21"/>
              </w:rPr>
              <w:t>m车行道+</w:t>
            </w:r>
            <w:r>
              <w:rPr>
                <w:rFonts w:hint="eastAsia" w:ascii="Times New Roman" w:hAnsi="Times New Roman" w:eastAsia="仿宋_GB2312" w:cs="Times New Roman"/>
                <w:color w:val="auto"/>
                <w:kern w:val="0"/>
                <w:sz w:val="21"/>
                <w:szCs w:val="21"/>
              </w:rPr>
              <w:t>3</w:t>
            </w:r>
            <w:r>
              <w:rPr>
                <w:rFonts w:ascii="Times New Roman" w:hAnsi="Times New Roman" w:eastAsia="仿宋_GB2312" w:cs="Times New Roman"/>
                <w:color w:val="auto"/>
                <w:kern w:val="0"/>
                <w:sz w:val="21"/>
                <w:szCs w:val="21"/>
              </w:rPr>
              <w:t>.5m人行道</w:t>
            </w:r>
          </w:p>
        </w:tc>
        <w:tc>
          <w:tcPr>
            <w:tcW w:w="1342"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580</w:t>
            </w:r>
          </w:p>
        </w:tc>
        <w:tc>
          <w:tcPr>
            <w:tcW w:w="1768"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未建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641" w:type="dxa"/>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9</w:t>
            </w:r>
          </w:p>
        </w:tc>
        <w:tc>
          <w:tcPr>
            <w:tcW w:w="1347" w:type="dxa"/>
            <w:shd w:val="clear" w:color="auto" w:fill="auto"/>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杨家山路</w:t>
            </w:r>
          </w:p>
        </w:tc>
        <w:tc>
          <w:tcPr>
            <w:tcW w:w="109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支路</w:t>
            </w:r>
          </w:p>
        </w:tc>
        <w:tc>
          <w:tcPr>
            <w:tcW w:w="89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东西</w:t>
            </w:r>
          </w:p>
        </w:tc>
        <w:tc>
          <w:tcPr>
            <w:tcW w:w="1461"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20</w:t>
            </w:r>
          </w:p>
        </w:tc>
        <w:tc>
          <w:tcPr>
            <w:tcW w:w="484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3</w:t>
            </w:r>
            <w:r>
              <w:rPr>
                <w:rFonts w:ascii="Times New Roman" w:hAnsi="Times New Roman" w:eastAsia="仿宋_GB2312" w:cs="Times New Roman"/>
                <w:color w:val="auto"/>
                <w:kern w:val="0"/>
                <w:sz w:val="21"/>
                <w:szCs w:val="21"/>
              </w:rPr>
              <w:t>.5m人行道+1</w:t>
            </w:r>
            <w:r>
              <w:rPr>
                <w:rFonts w:hint="eastAsia" w:ascii="Times New Roman" w:hAnsi="Times New Roman" w:eastAsia="仿宋_GB2312" w:cs="Times New Roman"/>
                <w:color w:val="auto"/>
                <w:kern w:val="0"/>
                <w:sz w:val="21"/>
                <w:szCs w:val="21"/>
              </w:rPr>
              <w:t>3</w:t>
            </w:r>
            <w:r>
              <w:rPr>
                <w:rFonts w:ascii="Times New Roman" w:hAnsi="Times New Roman" w:eastAsia="仿宋_GB2312" w:cs="Times New Roman"/>
                <w:color w:val="auto"/>
                <w:kern w:val="0"/>
                <w:sz w:val="21"/>
                <w:szCs w:val="21"/>
              </w:rPr>
              <w:t>m车行道+</w:t>
            </w:r>
            <w:r>
              <w:rPr>
                <w:rFonts w:hint="eastAsia" w:ascii="Times New Roman" w:hAnsi="Times New Roman" w:eastAsia="仿宋_GB2312" w:cs="Times New Roman"/>
                <w:color w:val="auto"/>
                <w:kern w:val="0"/>
                <w:sz w:val="21"/>
                <w:szCs w:val="21"/>
              </w:rPr>
              <w:t>3</w:t>
            </w:r>
            <w:r>
              <w:rPr>
                <w:rFonts w:ascii="Times New Roman" w:hAnsi="Times New Roman" w:eastAsia="仿宋_GB2312" w:cs="Times New Roman"/>
                <w:color w:val="auto"/>
                <w:kern w:val="0"/>
                <w:sz w:val="21"/>
                <w:szCs w:val="21"/>
              </w:rPr>
              <w:t>.5m人行道</w:t>
            </w:r>
          </w:p>
        </w:tc>
        <w:tc>
          <w:tcPr>
            <w:tcW w:w="1342"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1336</w:t>
            </w:r>
          </w:p>
        </w:tc>
        <w:tc>
          <w:tcPr>
            <w:tcW w:w="1768"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已建</w:t>
            </w:r>
          </w:p>
        </w:tc>
      </w:tr>
    </w:tbl>
    <w:p>
      <w:pPr>
        <w:adjustRightInd w:val="0"/>
        <w:snapToGrid w:val="0"/>
        <w:spacing w:line="360" w:lineRule="auto"/>
        <w:ind w:firstLine="480" w:firstLineChars="200"/>
        <w:jc w:val="left"/>
        <w:rPr>
          <w:rFonts w:ascii="Times New Roman" w:hAnsi="Times New Roman" w:eastAsia="仿宋_GB2312" w:cs="Times New Roman"/>
          <w:color w:val="auto"/>
        </w:rPr>
      </w:pPr>
      <w:r>
        <w:rPr>
          <w:rFonts w:hint="eastAsia" w:ascii="Times New Roman" w:hAnsi="Times New Roman" w:eastAsia="仿宋_GB2312" w:cs="Times New Roman"/>
          <w:color w:val="auto"/>
        </w:rPr>
        <w:t>其中</w:t>
      </w:r>
      <w:r>
        <w:rPr>
          <w:rFonts w:hint="eastAsia" w:ascii="Times New Roman" w:hAnsi="Times New Roman" w:eastAsia="仿宋_GB2312" w:cs="Times New Roman"/>
          <w:color w:val="auto"/>
          <w:szCs w:val="24"/>
        </w:rPr>
        <w:t>经十八路（谢佛路至杨家山路段）和杨家山路（西总干渠至南嵩路段）已于2019年10月前（区域性评估评价试点区域的</w:t>
      </w:r>
      <w:r>
        <w:rPr>
          <w:rFonts w:hint="eastAsia" w:ascii="Times New Roman" w:hAnsi="Times New Roman" w:eastAsia="仿宋_GB2312" w:cs="Times New Roman"/>
          <w:color w:val="auto"/>
        </w:rPr>
        <w:t>规划前</w:t>
      </w:r>
      <w:r>
        <w:rPr>
          <w:rFonts w:hint="eastAsia" w:ascii="Times New Roman" w:hAnsi="Times New Roman" w:eastAsia="仿宋_GB2312" w:cs="Times New Roman"/>
          <w:color w:val="auto"/>
          <w:szCs w:val="24"/>
        </w:rPr>
        <w:t>）完成建设。</w:t>
      </w:r>
    </w:p>
    <w:p>
      <w:pPr>
        <w:adjustRightInd w:val="0"/>
        <w:snapToGrid w:val="0"/>
        <w:spacing w:line="360" w:lineRule="auto"/>
        <w:ind w:firstLine="480" w:firstLineChars="200"/>
        <w:jc w:val="left"/>
        <w:rPr>
          <w:rFonts w:ascii="Times New Roman" w:hAnsi="Times New Roman" w:eastAsia="仿宋_GB2312" w:cs="Times New Roman"/>
          <w:color w:val="auto"/>
        </w:rPr>
      </w:pPr>
    </w:p>
    <w:p>
      <w:pPr>
        <w:adjustRightInd w:val="0"/>
        <w:snapToGrid w:val="0"/>
        <w:spacing w:line="360" w:lineRule="auto"/>
        <w:ind w:firstLine="480" w:firstLineChars="200"/>
        <w:jc w:val="left"/>
        <w:rPr>
          <w:rFonts w:ascii="Times New Roman" w:hAnsi="Times New Roman" w:eastAsia="仿宋_GB2312" w:cs="Times New Roman"/>
          <w:color w:val="auto"/>
        </w:rPr>
        <w:sectPr>
          <w:footerReference r:id="rId18" w:type="default"/>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32" w:charSpace="0"/>
        </w:sectPr>
      </w:pPr>
    </w:p>
    <w:p>
      <w:pPr>
        <w:adjustRightInd w:val="0"/>
        <w:snapToGrid w:val="0"/>
        <w:spacing w:line="360" w:lineRule="auto"/>
        <w:ind w:firstLine="480" w:firstLineChars="200"/>
        <w:jc w:val="left"/>
        <w:rPr>
          <w:rFonts w:ascii="Times New Roman" w:hAnsi="Times New Roman" w:eastAsia="仿宋_GB2312" w:cs="Times New Roman"/>
          <w:color w:val="auto"/>
        </w:rPr>
      </w:pPr>
      <w:r>
        <w:rPr>
          <w:rFonts w:hint="eastAsia" w:ascii="Times New Roman" w:hAnsi="Times New Roman" w:eastAsia="仿宋_GB2312" w:cs="Times New Roman"/>
          <w:color w:val="auto"/>
        </w:rPr>
        <w:t>道路断面规划图详见图2.1-8。</w:t>
      </w:r>
    </w:p>
    <w:tbl>
      <w:tblPr>
        <w:tblStyle w:val="37"/>
        <w:tblW w:w="869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69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429" w:hRule="atLeast"/>
          <w:jc w:val="center"/>
        </w:trPr>
        <w:tc>
          <w:tcPr>
            <w:tcW w:w="8697" w:type="dxa"/>
            <w:vAlign w:val="center"/>
          </w:tcPr>
          <w:p>
            <w:pPr>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drawing>
                <wp:inline distT="0" distB="0" distL="0" distR="0">
                  <wp:extent cx="5233035" cy="1732915"/>
                  <wp:effectExtent l="19050" t="0" r="5316" b="0"/>
                  <wp:docPr id="5" name="图片 5" descr="D:\Backup\Documents\WeChat Files\wxid_fheikpirhbqm21\FileStorage\Temp\16589235369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Backup\Documents\WeChat Files\wxid_fheikpirhbqm21\FileStorage\Temp\1658923536968.png"/>
                          <pic:cNvPicPr>
                            <a:picLocks noChangeAspect="1" noChangeArrowheads="1"/>
                          </pic:cNvPicPr>
                        </pic:nvPicPr>
                        <pic:blipFill>
                          <a:blip r:embed="rId65"/>
                          <a:srcRect/>
                          <a:stretch>
                            <a:fillRect/>
                          </a:stretch>
                        </pic:blipFill>
                        <pic:spPr>
                          <a:xfrm>
                            <a:off x="0" y="0"/>
                            <a:ext cx="5232084" cy="1732713"/>
                          </a:xfrm>
                          <a:prstGeom prst="rect">
                            <a:avLst/>
                          </a:prstGeom>
                          <a:noFill/>
                          <a:ln w="9525">
                            <a:noFill/>
                            <a:miter lim="800000"/>
                            <a:headEnd/>
                            <a:tailEnd/>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9" w:hRule="atLeast"/>
          <w:jc w:val="center"/>
        </w:trPr>
        <w:tc>
          <w:tcPr>
            <w:tcW w:w="8697" w:type="dxa"/>
            <w:vAlign w:val="center"/>
          </w:tcPr>
          <w:p>
            <w:pPr>
              <w:snapToGrid w:val="0"/>
              <w:jc w:val="center"/>
              <w:rPr>
                <w:rFonts w:ascii="仿宋_GB2312" w:hAnsi="Times New Roman" w:eastAsia="仿宋_GB2312" w:cs="Times New Roman"/>
                <w:color w:val="auto"/>
                <w:sz w:val="21"/>
                <w:szCs w:val="21"/>
              </w:rPr>
            </w:pPr>
            <w:r>
              <w:rPr>
                <w:rFonts w:hint="eastAsia" w:ascii="Times New Roman" w:hAnsi="Times New Roman" w:eastAsia="仿宋_GB2312" w:cs="Times New Roman"/>
                <w:color w:val="auto"/>
                <w:sz w:val="21"/>
                <w:szCs w:val="21"/>
              </w:rPr>
              <w:t>42m宽道路标准横断面图（尤氨公路）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9" w:hRule="atLeast"/>
          <w:jc w:val="center"/>
        </w:trPr>
        <w:tc>
          <w:tcPr>
            <w:tcW w:w="8697" w:type="dxa"/>
            <w:tcBorders>
              <w:top w:val="single" w:color="auto" w:sz="6" w:space="0"/>
              <w:left w:val="single" w:color="auto" w:sz="12" w:space="0"/>
              <w:bottom w:val="single" w:color="auto" w:sz="6" w:space="0"/>
              <w:right w:val="single" w:color="auto" w:sz="12" w:space="0"/>
            </w:tcBorders>
            <w:vAlign w:val="center"/>
          </w:tcPr>
          <w:p>
            <w:pPr>
              <w:snapToGrid w:val="0"/>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drawing>
                <wp:inline distT="0" distB="0" distL="0" distR="0">
                  <wp:extent cx="3733800" cy="1741805"/>
                  <wp:effectExtent l="19050" t="0" r="0" b="0"/>
                  <wp:docPr id="6" name="图片 6" descr="D:\Backup\Documents\WeChat Files\wxid_fheikpirhbqm21\FileStorage\Temp\1658923571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Backup\Documents\WeChat Files\wxid_fheikpirhbqm21\FileStorage\Temp\1658923571726.png"/>
                          <pic:cNvPicPr>
                            <a:picLocks noChangeAspect="1" noChangeArrowheads="1"/>
                          </pic:cNvPicPr>
                        </pic:nvPicPr>
                        <pic:blipFill>
                          <a:blip r:embed="rId66"/>
                          <a:srcRect/>
                          <a:stretch>
                            <a:fillRect/>
                          </a:stretch>
                        </pic:blipFill>
                        <pic:spPr>
                          <a:xfrm>
                            <a:off x="0" y="0"/>
                            <a:ext cx="3734372" cy="1742392"/>
                          </a:xfrm>
                          <a:prstGeom prst="rect">
                            <a:avLst/>
                          </a:prstGeom>
                          <a:noFill/>
                          <a:ln w="9525">
                            <a:noFill/>
                            <a:miter lim="800000"/>
                            <a:headEnd/>
                            <a:tailEnd/>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9" w:hRule="atLeast"/>
          <w:jc w:val="center"/>
        </w:trPr>
        <w:tc>
          <w:tcPr>
            <w:tcW w:w="8697" w:type="dxa"/>
            <w:tcBorders>
              <w:top w:val="single" w:color="auto" w:sz="6" w:space="0"/>
              <w:left w:val="single" w:color="auto" w:sz="12" w:space="0"/>
              <w:bottom w:val="single" w:color="auto" w:sz="6" w:space="0"/>
              <w:right w:val="single" w:color="auto" w:sz="12" w:space="0"/>
            </w:tcBorders>
            <w:vAlign w:val="center"/>
          </w:tcPr>
          <w:p>
            <w:pPr>
              <w:snapToGrid w:val="0"/>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22m宽道路标准横断面图（经十七路、梧岗南路）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9" w:hRule="atLeast"/>
          <w:jc w:val="center"/>
        </w:trPr>
        <w:tc>
          <w:tcPr>
            <w:tcW w:w="8697" w:type="dxa"/>
            <w:tcBorders>
              <w:top w:val="single" w:color="auto" w:sz="6" w:space="0"/>
              <w:left w:val="single" w:color="auto" w:sz="12" w:space="0"/>
              <w:bottom w:val="single" w:color="auto" w:sz="6" w:space="0"/>
              <w:right w:val="single" w:color="auto" w:sz="12" w:space="0"/>
            </w:tcBorders>
            <w:vAlign w:val="center"/>
          </w:tcPr>
          <w:p>
            <w:pPr>
              <w:snapToGrid w:val="0"/>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drawing>
                <wp:inline distT="0" distB="0" distL="0" distR="0">
                  <wp:extent cx="3553460" cy="1750060"/>
                  <wp:effectExtent l="19050" t="0" r="8860" b="0"/>
                  <wp:docPr id="9" name="图片 7" descr="C:\Users\ADMINI~1\AppData\Local\Temp\WeChat Files\4b7153ec3dbae87c4cc17fed15476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descr="C:\Users\ADMINI~1\AppData\Local\Temp\WeChat Files\4b7153ec3dbae87c4cc17fed154764b.png"/>
                          <pic:cNvPicPr>
                            <a:picLocks noChangeAspect="1" noChangeArrowheads="1"/>
                          </pic:cNvPicPr>
                        </pic:nvPicPr>
                        <pic:blipFill>
                          <a:blip r:embed="rId67"/>
                          <a:srcRect/>
                          <a:stretch>
                            <a:fillRect/>
                          </a:stretch>
                        </pic:blipFill>
                        <pic:spPr>
                          <a:xfrm>
                            <a:off x="0" y="0"/>
                            <a:ext cx="3553308" cy="1750344"/>
                          </a:xfrm>
                          <a:prstGeom prst="rect">
                            <a:avLst/>
                          </a:prstGeom>
                          <a:noFill/>
                          <a:ln w="9525">
                            <a:noFill/>
                            <a:miter lim="800000"/>
                            <a:headEnd/>
                            <a:tailEnd/>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9" w:hRule="atLeast"/>
          <w:jc w:val="center"/>
        </w:trPr>
        <w:tc>
          <w:tcPr>
            <w:tcW w:w="8697" w:type="dxa"/>
            <w:tcBorders>
              <w:top w:val="single" w:color="auto" w:sz="6" w:space="0"/>
              <w:left w:val="single" w:color="auto" w:sz="12" w:space="0"/>
              <w:bottom w:val="single" w:color="auto" w:sz="6" w:space="0"/>
              <w:right w:val="single" w:color="auto" w:sz="12" w:space="0"/>
            </w:tcBorders>
            <w:vAlign w:val="center"/>
          </w:tcPr>
          <w:p>
            <w:pPr>
              <w:snapToGrid w:val="0"/>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20m宽道路标准横断面图（其余道路）</w:t>
            </w:r>
          </w:p>
        </w:tc>
      </w:tr>
    </w:tbl>
    <w:p>
      <w:pPr>
        <w:adjustRightInd w:val="0"/>
        <w:snapToGrid w:val="0"/>
        <w:spacing w:line="360" w:lineRule="auto"/>
        <w:jc w:val="center"/>
        <w:rPr>
          <w:rFonts w:ascii="Times New Roman" w:hAnsi="Times New Roman" w:eastAsia="仿宋_GB2312" w:cs="Times New Roman"/>
          <w:b/>
          <w:color w:val="auto"/>
          <w:szCs w:val="24"/>
        </w:rPr>
      </w:pPr>
      <w:r>
        <w:rPr>
          <w:rFonts w:ascii="Times New Roman" w:hAnsi="Times New Roman" w:eastAsia="仿宋_GB2312" w:cs="Times New Roman"/>
          <w:b/>
          <w:color w:val="auto"/>
          <w:szCs w:val="24"/>
        </w:rPr>
        <w:t>图2</w:t>
      </w:r>
      <w:r>
        <w:rPr>
          <w:rFonts w:hint="eastAsia" w:ascii="Times New Roman" w:hAnsi="Times New Roman" w:eastAsia="仿宋_GB2312" w:cs="Times New Roman"/>
          <w:b/>
          <w:color w:val="auto"/>
          <w:szCs w:val="24"/>
        </w:rPr>
        <w:t>.</w:t>
      </w:r>
      <w:r>
        <w:rPr>
          <w:rFonts w:ascii="Times New Roman" w:hAnsi="Times New Roman" w:eastAsia="仿宋_GB2312" w:cs="Times New Roman"/>
          <w:b/>
          <w:color w:val="auto"/>
          <w:szCs w:val="24"/>
        </w:rPr>
        <w:t>1-</w:t>
      </w:r>
      <w:r>
        <w:rPr>
          <w:rFonts w:hint="eastAsia" w:ascii="Times New Roman" w:hAnsi="Times New Roman" w:eastAsia="仿宋_GB2312" w:cs="Times New Roman"/>
          <w:b/>
          <w:color w:val="auto"/>
          <w:szCs w:val="24"/>
        </w:rPr>
        <w:t>8</w:t>
      </w:r>
      <w:r>
        <w:rPr>
          <w:rFonts w:ascii="Times New Roman" w:hAnsi="Times New Roman" w:eastAsia="仿宋_GB2312" w:cs="Times New Roman"/>
          <w:b/>
          <w:color w:val="auto"/>
          <w:szCs w:val="24"/>
        </w:rPr>
        <w:t>：</w:t>
      </w:r>
      <w:r>
        <w:rPr>
          <w:rFonts w:hint="eastAsia" w:ascii="Times New Roman" w:hAnsi="Times New Roman" w:eastAsia="仿宋_GB2312" w:cs="Times New Roman"/>
          <w:b/>
          <w:color w:val="auto"/>
          <w:szCs w:val="24"/>
        </w:rPr>
        <w:t>各道路</w:t>
      </w:r>
      <w:r>
        <w:rPr>
          <w:rFonts w:ascii="Times New Roman" w:hAnsi="Times New Roman" w:eastAsia="仿宋_GB2312" w:cs="Times New Roman"/>
          <w:b/>
          <w:color w:val="auto"/>
          <w:szCs w:val="24"/>
        </w:rPr>
        <w:t>标准横断面图（单位</w:t>
      </w:r>
      <w:r>
        <w:rPr>
          <w:rFonts w:hint="eastAsia" w:ascii="Times New Roman" w:hAnsi="Times New Roman" w:eastAsia="仿宋_GB2312" w:cs="Times New Roman"/>
          <w:b/>
          <w:color w:val="auto"/>
          <w:szCs w:val="24"/>
        </w:rPr>
        <w:t>：m</w:t>
      </w:r>
      <w:r>
        <w:rPr>
          <w:rFonts w:ascii="Times New Roman" w:hAnsi="Times New Roman" w:eastAsia="仿宋_GB2312" w:cs="Times New Roman"/>
          <w:b/>
          <w:color w:val="auto"/>
          <w:szCs w:val="24"/>
        </w:rPr>
        <w:t>）</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③道路竖向规划</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区域</w:t>
      </w:r>
      <w:r>
        <w:rPr>
          <w:rFonts w:ascii="Times New Roman" w:hAnsi="Times New Roman" w:eastAsia="仿宋_GB2312" w:cs="Times New Roman"/>
          <w:color w:val="auto"/>
          <w:szCs w:val="24"/>
        </w:rPr>
        <w:t>内道路竖向规划充分结合区域用地的控制高程</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自然地形地貌</w:t>
      </w:r>
      <w:r>
        <w:rPr>
          <w:rFonts w:hint="eastAsia" w:ascii="Times New Roman" w:hAnsi="Times New Roman" w:eastAsia="仿宋_GB2312" w:cs="Times New Roman"/>
          <w:color w:val="auto"/>
          <w:szCs w:val="24"/>
        </w:rPr>
        <w:t>、地下管线或管廊、地质和水文条件等综合考虑道路竖向规划，</w:t>
      </w:r>
      <w:r>
        <w:rPr>
          <w:rFonts w:ascii="Times New Roman" w:hAnsi="Times New Roman" w:eastAsia="仿宋_GB2312" w:cs="Times New Roman"/>
          <w:color w:val="auto"/>
          <w:szCs w:val="24"/>
        </w:rPr>
        <w:t>尽量减少土方量，考虑与现状道路的衔接，以雨水就近排放为原则，并同时考虑到道路的行车要求，特别是非机动车的行驶要求。按国家道路纵坡设计规范，规划道路纵坡大于0.3%，小于5%，个别地形困难地段道路纵坡可适量增大。道路竖向规划图见图</w:t>
      </w:r>
      <w:r>
        <w:rPr>
          <w:rFonts w:hint="eastAsia" w:ascii="Times New Roman" w:hAnsi="Times New Roman" w:eastAsia="仿宋_GB2312" w:cs="Times New Roman"/>
          <w:color w:val="auto"/>
          <w:szCs w:val="24"/>
        </w:rPr>
        <w:t>2.1-9。</w:t>
      </w:r>
    </w:p>
    <w:p>
      <w:pPr>
        <w:adjustRightInd w:val="0"/>
        <w:snapToGrid w:val="0"/>
        <w:spacing w:line="360" w:lineRule="auto"/>
        <w:ind w:firstLine="480" w:firstLineChars="200"/>
        <w:jc w:val="left"/>
        <w:rPr>
          <w:rFonts w:ascii="Times New Roman" w:hAnsi="Times New Roman" w:eastAsia="仿宋_GB2312" w:cs="Times New Roman"/>
          <w:color w:val="auto"/>
          <w:szCs w:val="24"/>
        </w:rPr>
      </w:pPr>
    </w:p>
    <w:p>
      <w:pPr>
        <w:adjustRightInd w:val="0"/>
        <w:snapToGrid w:val="0"/>
        <w:spacing w:line="360" w:lineRule="auto"/>
        <w:ind w:firstLine="480" w:firstLineChars="200"/>
        <w:jc w:val="left"/>
        <w:rPr>
          <w:rFonts w:ascii="Times New Roman" w:hAnsi="Times New Roman" w:eastAsia="仿宋_GB2312" w:cs="Times New Roman"/>
          <w:color w:val="auto"/>
          <w:szCs w:val="24"/>
        </w:rPr>
        <w:sectPr>
          <w:footerReference r:id="rId19" w:type="default"/>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32" w:charSpace="0"/>
        </w:sectPr>
      </w:pPr>
    </w:p>
    <w:p>
      <w:pPr>
        <w:adjustRightInd w:val="0"/>
        <w:snapToGrid w:val="0"/>
        <w:spacing w:line="360" w:lineRule="auto"/>
        <w:jc w:val="center"/>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drawing>
          <wp:inline distT="0" distB="0" distL="0" distR="0">
            <wp:extent cx="7074535" cy="4961890"/>
            <wp:effectExtent l="0" t="0" r="12065" b="3810"/>
            <wp:docPr id="10" name="图片 7" descr="C:\Users\Administrator\AppData\Local\Microsoft\Windows\INetCache\Content.Word\道路竖向规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descr="C:\Users\Administrator\AppData\Local\Microsoft\Windows\INetCache\Content.Word\道路竖向规划.jpg"/>
                    <pic:cNvPicPr>
                      <a:picLocks noChangeAspect="1" noChangeArrowheads="1"/>
                    </pic:cNvPicPr>
                  </pic:nvPicPr>
                  <pic:blipFill>
                    <a:blip r:embed="rId68"/>
                    <a:srcRect/>
                    <a:stretch>
                      <a:fillRect/>
                    </a:stretch>
                  </pic:blipFill>
                  <pic:spPr>
                    <a:xfrm>
                      <a:off x="0" y="0"/>
                      <a:ext cx="7074535" cy="4961890"/>
                    </a:xfrm>
                    <a:prstGeom prst="rect">
                      <a:avLst/>
                    </a:prstGeom>
                    <a:noFill/>
                    <a:ln w="9525">
                      <a:noFill/>
                      <a:miter lim="800000"/>
                      <a:headEnd/>
                      <a:tailEnd/>
                    </a:ln>
                  </pic:spPr>
                </pic:pic>
              </a:graphicData>
            </a:graphic>
          </wp:inline>
        </w:drawing>
      </w:r>
    </w:p>
    <w:p>
      <w:pPr>
        <w:adjustRightInd w:val="0"/>
        <w:snapToGrid w:val="0"/>
        <w:spacing w:line="360" w:lineRule="auto"/>
        <w:jc w:val="center"/>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图2.1-9：道路竖向规划图</w:t>
      </w:r>
    </w:p>
    <w:p>
      <w:pPr>
        <w:adjustRightInd w:val="0"/>
        <w:snapToGrid w:val="0"/>
        <w:spacing w:line="360" w:lineRule="auto"/>
        <w:ind w:firstLine="480" w:firstLineChars="200"/>
        <w:jc w:val="left"/>
        <w:rPr>
          <w:rFonts w:ascii="Times New Roman" w:hAnsi="Times New Roman" w:eastAsia="仿宋_GB2312" w:cs="Times New Roman"/>
          <w:color w:val="auto"/>
          <w:szCs w:val="24"/>
        </w:rPr>
        <w:sectPr>
          <w:footerReference r:id="rId20" w:type="default"/>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32" w:charSpace="0"/>
        </w:sectPr>
      </w:pP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④综合管廊规划</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区域内规划的尤氨公路路面下方偏东敷设一条综合管廊（含电力隧道），区域内综合管廊起点接谢佛路与尤氨公路交叉口下方的规划综合管廊，终点位于尤氨公路道路桩号</w:t>
      </w:r>
      <w:r>
        <w:rPr>
          <w:rFonts w:ascii="Times New Roman" w:hAnsi="Times New Roman" w:eastAsia="仿宋_GB2312" w:cs="Times New Roman"/>
          <w:color w:val="auto"/>
          <w:szCs w:val="24"/>
        </w:rPr>
        <w:t>YAK1+300</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长约</w:t>
      </w:r>
      <w:r>
        <w:rPr>
          <w:rFonts w:hint="eastAsia" w:ascii="Times New Roman" w:hAnsi="Times New Roman" w:eastAsia="仿宋_GB2312" w:cs="Times New Roman"/>
          <w:color w:val="auto"/>
          <w:szCs w:val="24"/>
        </w:rPr>
        <w:t>700m。</w:t>
      </w:r>
      <w:r>
        <w:rPr>
          <w:rFonts w:ascii="Times New Roman" w:hAnsi="Times New Roman" w:eastAsia="仿宋_GB2312" w:cs="Times New Roman"/>
          <w:color w:val="auto"/>
          <w:szCs w:val="24"/>
        </w:rPr>
        <w:t>综合管廊工程与尤氨公路重合</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占地面积不重复计算</w:t>
      </w:r>
      <w:r>
        <w:rPr>
          <w:rFonts w:hint="eastAsia" w:ascii="Times New Roman" w:hAnsi="Times New Roman" w:eastAsia="仿宋_GB2312" w:cs="Times New Roman"/>
          <w:color w:val="auto"/>
          <w:szCs w:val="24"/>
        </w:rPr>
        <w:t>。综合管廊采用二舱断面形式，分别为综合舱（内设10kV电力和电信）和电力舱（内设110kV电力管线、220kV电力管线），其中舱内净高3.5m，综合舱净宽2.5m，电力舱净宽1.85m。</w:t>
      </w:r>
    </w:p>
    <w:p>
      <w:pPr>
        <w:adjustRightInd w:val="0"/>
        <w:snapToGrid w:val="0"/>
        <w:spacing w:line="360" w:lineRule="auto"/>
        <w:jc w:val="center"/>
        <w:rPr>
          <w:rFonts w:ascii="Times New Roman" w:hAnsi="Times New Roman" w:eastAsia="仿宋_GB2312" w:cs="Times New Roman"/>
          <w:color w:val="auto"/>
          <w:szCs w:val="24"/>
        </w:rPr>
      </w:pPr>
      <w:r>
        <w:rPr>
          <w:rFonts w:ascii="Times New Roman" w:hAnsi="Times New Roman" w:eastAsia="仿宋_GB2312" w:cs="Times New Roman"/>
          <w:color w:val="auto"/>
          <w:szCs w:val="24"/>
        </w:rPr>
        <w:drawing>
          <wp:inline distT="0" distB="0" distL="0" distR="0">
            <wp:extent cx="4435475" cy="3977005"/>
            <wp:effectExtent l="19050" t="0" r="2658" b="0"/>
            <wp:docPr id="11" name="图片 8" descr="C:\Users\ADMINI~1\AppData\Local\Temp\WeChat Files\3547a2a6057821d849fd99e28ff8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descr="C:\Users\ADMINI~1\AppData\Local\Temp\WeChat Files\3547a2a6057821d849fd99e28ff8365.jpg"/>
                    <pic:cNvPicPr>
                      <a:picLocks noChangeAspect="1" noChangeArrowheads="1"/>
                    </pic:cNvPicPr>
                  </pic:nvPicPr>
                  <pic:blipFill>
                    <a:blip r:embed="rId69"/>
                    <a:srcRect/>
                    <a:stretch>
                      <a:fillRect/>
                    </a:stretch>
                  </pic:blipFill>
                  <pic:spPr>
                    <a:xfrm>
                      <a:off x="0" y="0"/>
                      <a:ext cx="4436737" cy="3978035"/>
                    </a:xfrm>
                    <a:prstGeom prst="rect">
                      <a:avLst/>
                    </a:prstGeom>
                    <a:noFill/>
                    <a:ln w="9525">
                      <a:noFill/>
                      <a:miter lim="800000"/>
                      <a:headEnd/>
                      <a:tailEnd/>
                    </a:ln>
                  </pic:spPr>
                </pic:pic>
              </a:graphicData>
            </a:graphic>
          </wp:inline>
        </w:drawing>
      </w:r>
    </w:p>
    <w:p>
      <w:pPr>
        <w:adjustRightInd w:val="0"/>
        <w:snapToGrid w:val="0"/>
        <w:spacing w:line="360" w:lineRule="auto"/>
        <w:jc w:val="center"/>
        <w:rPr>
          <w:rFonts w:ascii="Times New Roman" w:hAnsi="Times New Roman" w:eastAsia="仿宋_GB2312" w:cs="Times New Roman"/>
          <w:color w:val="auto"/>
          <w:szCs w:val="24"/>
        </w:rPr>
      </w:pPr>
      <w:r>
        <w:rPr>
          <w:rFonts w:hint="eastAsia" w:ascii="Times New Roman" w:hAnsi="Times New Roman" w:eastAsia="仿宋_GB2312" w:cs="Times New Roman"/>
          <w:b/>
          <w:color w:val="auto"/>
          <w:szCs w:val="24"/>
        </w:rPr>
        <w:t>图2.1-10：综合管廊工程断面规划图</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综合管廊工程推荐采用钢板桩+内支撑支护形式，设置两道钢支撑，第一道钢支撑采用φ400x12钢管支撑，第一道钢腰梁采用HM400x400型钢腰梁；第二道钢支撑采用φ500x12钢管支撑，第二道钢腰梁采用36c双拼工字钢腰梁。钢支撑需采用一端固定一端活动的形式，便于施加预应力进行预顶紧。钢腰梁支撑在角钢三角支架上，顶缘同时采用钢筋拉结固定。钢腰梁与支护桩间用C20细石混凝土填实。现浇管廊与钢板桩通过设置250厚C25素砼传力撑顶紧。</w:t>
      </w:r>
    </w:p>
    <w:p>
      <w:pPr>
        <w:adjustRightInd w:val="0"/>
        <w:snapToGrid w:val="0"/>
        <w:spacing w:line="360" w:lineRule="auto"/>
        <w:jc w:val="center"/>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drawing>
          <wp:inline distT="0" distB="0" distL="0" distR="0">
            <wp:extent cx="5270500" cy="3816350"/>
            <wp:effectExtent l="19050" t="0" r="6350" b="0"/>
            <wp:docPr id="34" name="图片 32" descr="C:\Users\Administrator\AppData\Local\Microsoft\Windows\INetCache\Content.Word\01南昌路网三期工程可行性研究报告-第一部分-文本-20220425-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2" descr="C:\Users\Administrator\AppData\Local\Microsoft\Windows\INetCache\Content.Word\01南昌路网三期工程可行性研究报告-第一部分-文本-20220425-284.jpg"/>
                    <pic:cNvPicPr>
                      <a:picLocks noChangeAspect="1" noChangeArrowheads="1"/>
                    </pic:cNvPicPr>
                  </pic:nvPicPr>
                  <pic:blipFill>
                    <a:blip r:embed="rId70" cstate="print"/>
                    <a:srcRect/>
                    <a:stretch>
                      <a:fillRect/>
                    </a:stretch>
                  </pic:blipFill>
                  <pic:spPr>
                    <a:xfrm>
                      <a:off x="0" y="0"/>
                      <a:ext cx="5270500" cy="3816350"/>
                    </a:xfrm>
                    <a:prstGeom prst="rect">
                      <a:avLst/>
                    </a:prstGeom>
                    <a:noFill/>
                    <a:ln w="9525">
                      <a:noFill/>
                      <a:miter lim="800000"/>
                      <a:headEnd/>
                      <a:tailEnd/>
                    </a:ln>
                  </pic:spPr>
                </pic:pic>
              </a:graphicData>
            </a:graphic>
          </wp:inline>
        </w:drawing>
      </w:r>
    </w:p>
    <w:p>
      <w:pPr>
        <w:adjustRightInd w:val="0"/>
        <w:snapToGrid w:val="0"/>
        <w:spacing w:line="360" w:lineRule="auto"/>
        <w:jc w:val="center"/>
        <w:rPr>
          <w:rFonts w:ascii="Times New Roman" w:hAnsi="Times New Roman" w:eastAsia="仿宋_GB2312" w:cs="Times New Roman"/>
          <w:color w:val="auto"/>
          <w:szCs w:val="24"/>
        </w:rPr>
      </w:pPr>
      <w:r>
        <w:rPr>
          <w:rFonts w:hint="eastAsia" w:ascii="Times New Roman" w:hAnsi="Times New Roman" w:eastAsia="仿宋_GB2312" w:cs="Times New Roman"/>
          <w:b/>
          <w:color w:val="auto"/>
          <w:szCs w:val="24"/>
        </w:rPr>
        <w:t>图2.1-11：综合管廊工程支护示意图</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⑤道路绿化要求</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道路绿化是城市道路的重要组成部分，应根据城市道路的不同性质、功能、自然条件、城市景观，合理的规划布设道路绿化用地。城市道路路段绿化覆盖率宜符合以下要求：红线宽度在45</w:t>
      </w:r>
      <w:r>
        <w:rPr>
          <w:rFonts w:hint="eastAsia" w:ascii="Times New Roman" w:hAnsi="Times New Roman" w:eastAsia="仿宋_GB2312" w:cs="Times New Roman"/>
          <w:color w:val="auto"/>
          <w:szCs w:val="24"/>
        </w:rPr>
        <w:t>m</w:t>
      </w:r>
      <w:r>
        <w:rPr>
          <w:rFonts w:ascii="Times New Roman" w:hAnsi="Times New Roman" w:eastAsia="仿宋_GB2312" w:cs="Times New Roman"/>
          <w:color w:val="auto"/>
          <w:szCs w:val="24"/>
        </w:rPr>
        <w:t>以上的道路绿化覆盖率为20%；红线宽度在30</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45</w:t>
      </w:r>
      <w:r>
        <w:rPr>
          <w:rFonts w:hint="eastAsia" w:ascii="Times New Roman" w:hAnsi="Times New Roman" w:eastAsia="仿宋_GB2312" w:cs="Times New Roman"/>
          <w:color w:val="auto"/>
          <w:szCs w:val="24"/>
        </w:rPr>
        <w:t>m</w:t>
      </w:r>
      <w:r>
        <w:rPr>
          <w:rFonts w:ascii="Times New Roman" w:hAnsi="Times New Roman" w:eastAsia="仿宋_GB2312" w:cs="Times New Roman"/>
          <w:color w:val="auto"/>
          <w:szCs w:val="24"/>
        </w:rPr>
        <w:t>的道路绿化覆盖率为15%；红线宽度在15</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30</w:t>
      </w:r>
      <w:r>
        <w:rPr>
          <w:rFonts w:hint="eastAsia" w:ascii="Times New Roman" w:hAnsi="Times New Roman" w:eastAsia="仿宋_GB2312" w:cs="Times New Roman"/>
          <w:color w:val="auto"/>
          <w:szCs w:val="24"/>
        </w:rPr>
        <w:t>m</w:t>
      </w:r>
      <w:r>
        <w:rPr>
          <w:rFonts w:ascii="Times New Roman" w:hAnsi="Times New Roman" w:eastAsia="仿宋_GB2312" w:cs="Times New Roman"/>
          <w:color w:val="auto"/>
          <w:szCs w:val="24"/>
        </w:rPr>
        <w:t>的道路绿化覆盖率为10%；红线宽度小于15</w:t>
      </w:r>
      <w:r>
        <w:rPr>
          <w:rFonts w:hint="eastAsia" w:ascii="Times New Roman" w:hAnsi="Times New Roman" w:eastAsia="仿宋_GB2312" w:cs="Times New Roman"/>
          <w:color w:val="auto"/>
          <w:szCs w:val="24"/>
        </w:rPr>
        <w:t>m</w:t>
      </w:r>
      <w:r>
        <w:rPr>
          <w:rFonts w:ascii="Times New Roman" w:hAnsi="Times New Roman" w:eastAsia="仿宋_GB2312" w:cs="Times New Roman"/>
          <w:color w:val="auto"/>
          <w:szCs w:val="24"/>
        </w:rPr>
        <w:t>的道路酌情设置绿地。城市景观道路可以在上述基础上再适度增加城市道路路段绿化覆盖率，城市快速路根据道路特征确定道路绿化覆盖率。</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⑥路基防护</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根据区域规划</w:t>
      </w:r>
      <w:r>
        <w:rPr>
          <w:rFonts w:hint="eastAsia" w:ascii="Times New Roman" w:hAnsi="Times New Roman" w:eastAsia="仿宋_GB2312" w:cs="Times New Roman"/>
          <w:color w:val="auto"/>
          <w:szCs w:val="24"/>
        </w:rPr>
        <w:t>本区域内道路工程先进行建设，道路施工过程中与周边形成填方边坡，边坡坡度为1:1，采用铺植草皮的方式进行防护。待后期周边地块开发建设后会顺接区域规划道路路面，不会存在道路侧的永久性路基边坡。区域内最大路基填方边坡约3.5m，位于尤氨公路与昌南大道连接处。</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（3）停车配建标准</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规划区内各地块机动车与非机动动车泊位的配置标准必须按《江西省城市规划管理技术导则》（2014版）中的规定执行。机动车停车泊位按0.2个/100</w:t>
      </w:r>
      <w:r>
        <w:rPr>
          <w:rFonts w:hint="eastAsia" w:ascii="Times New Roman" w:hAnsi="Times New Roman" w:eastAsia="仿宋_GB2312" w:cs="Times New Roman"/>
          <w:color w:val="auto"/>
          <w:szCs w:val="24"/>
        </w:rPr>
        <w:t>m</w:t>
      </w:r>
      <w:r>
        <w:rPr>
          <w:rFonts w:hint="eastAsia"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建筑面积配置</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非机动车停车泊位按4个/100</w:t>
      </w:r>
      <w:r>
        <w:rPr>
          <w:rFonts w:hint="eastAsia" w:ascii="Times New Roman" w:hAnsi="Times New Roman" w:eastAsia="仿宋_GB2312" w:cs="Times New Roman"/>
          <w:color w:val="auto"/>
          <w:szCs w:val="24"/>
        </w:rPr>
        <w:t>m</w:t>
      </w:r>
      <w:r>
        <w:rPr>
          <w:rFonts w:hint="eastAsia"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建筑面积配置。</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（二）公用设施用地</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规划区域公用设施用地总计</w:t>
      </w:r>
      <w:r>
        <w:rPr>
          <w:rFonts w:ascii="Times New Roman" w:hAnsi="Times New Roman" w:eastAsia="仿宋_GB2312" w:cs="Times New Roman"/>
          <w:color w:val="auto"/>
          <w:szCs w:val="24"/>
        </w:rPr>
        <w:t>12.</w:t>
      </w:r>
      <w:r>
        <w:rPr>
          <w:rFonts w:hint="eastAsia" w:ascii="Times New Roman" w:hAnsi="Times New Roman" w:eastAsia="仿宋_GB2312" w:cs="Times New Roman"/>
          <w:color w:val="auto"/>
          <w:szCs w:val="24"/>
        </w:rPr>
        <w:t>87hm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，占规划区域用地的12.87%。其中供应设施用地（U1）</w:t>
      </w:r>
      <w:r>
        <w:rPr>
          <w:rFonts w:ascii="Times New Roman" w:hAnsi="Times New Roman" w:eastAsia="仿宋_GB2312" w:cs="Times New Roman"/>
          <w:color w:val="auto"/>
          <w:szCs w:val="24"/>
        </w:rPr>
        <w:t>0.</w:t>
      </w:r>
      <w:r>
        <w:rPr>
          <w:rFonts w:hint="eastAsia" w:ascii="Times New Roman" w:hAnsi="Times New Roman" w:eastAsia="仿宋_GB2312" w:cs="Times New Roman"/>
          <w:color w:val="auto"/>
          <w:szCs w:val="24"/>
        </w:rPr>
        <w:t>39hm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，供水用地（U11）</w:t>
      </w:r>
      <w:r>
        <w:rPr>
          <w:rFonts w:ascii="Times New Roman" w:hAnsi="Times New Roman" w:eastAsia="仿宋_GB2312" w:cs="Times New Roman"/>
          <w:color w:val="auto"/>
          <w:szCs w:val="24"/>
        </w:rPr>
        <w:t>1</w:t>
      </w:r>
      <w:r>
        <w:rPr>
          <w:rFonts w:hint="eastAsia" w:ascii="Times New Roman" w:hAnsi="Times New Roman" w:eastAsia="仿宋_GB2312" w:cs="Times New Roman"/>
          <w:color w:val="auto"/>
          <w:szCs w:val="24"/>
        </w:rPr>
        <w:t>0.75hm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，环卫用地（U22）1.72hm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w:t>
      </w:r>
      <w:r>
        <w:rPr>
          <w:rFonts w:hint="eastAsia" w:eastAsia="仿宋_GB2312"/>
          <w:color w:val="auto"/>
          <w:szCs w:val="24"/>
        </w:rPr>
        <w:t>规划区公共服务详见</w:t>
      </w:r>
      <w:r>
        <w:rPr>
          <w:rFonts w:ascii="Times New Roman" w:hAnsi="Times New Roman" w:eastAsia="仿宋_GB2312" w:cs="Times New Roman"/>
          <w:color w:val="auto"/>
          <w:szCs w:val="24"/>
        </w:rPr>
        <w:t>表2</w:t>
      </w:r>
      <w:r>
        <w:rPr>
          <w:rFonts w:hint="eastAsia" w:ascii="Times New Roman" w:hAnsi="Times New Roman" w:eastAsia="仿宋_GB2312" w:cs="Times New Roman"/>
          <w:color w:val="auto"/>
          <w:szCs w:val="24"/>
        </w:rPr>
        <w:t>.1</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5</w:t>
      </w:r>
      <w:r>
        <w:rPr>
          <w:rFonts w:ascii="Times New Roman" w:hAnsi="Times New Roman" w:eastAsia="仿宋_GB2312" w:cs="Times New Roman"/>
          <w:color w:val="auto"/>
          <w:szCs w:val="24"/>
        </w:rPr>
        <w:t>。</w:t>
      </w:r>
    </w:p>
    <w:p>
      <w:pPr>
        <w:spacing w:line="360" w:lineRule="auto"/>
        <w:jc w:val="center"/>
        <w:rPr>
          <w:rFonts w:ascii="Times New Roman" w:hAnsi="Times New Roman" w:eastAsia="仿宋_GB2312" w:cs="Times New Roman"/>
          <w:b/>
          <w:bCs/>
          <w:color w:val="auto"/>
        </w:rPr>
      </w:pPr>
      <w:r>
        <w:rPr>
          <w:rFonts w:hint="eastAsia" w:ascii="Times New Roman" w:hAnsi="Times New Roman" w:eastAsia="仿宋_GB2312" w:cs="Times New Roman"/>
          <w:b/>
          <w:bCs/>
          <w:color w:val="auto"/>
        </w:rPr>
        <w:t>表2.1-5：</w:t>
      </w:r>
      <w:r>
        <w:rPr>
          <w:rFonts w:ascii="Times New Roman" w:hAnsi="Times New Roman" w:eastAsia="仿宋_GB2312" w:cs="Times New Roman"/>
          <w:b/>
          <w:bCs/>
          <w:color w:val="auto"/>
        </w:rPr>
        <w:t>公共设施用地规划一览表</w:t>
      </w:r>
    </w:p>
    <w:tbl>
      <w:tblPr>
        <w:tblStyle w:val="37"/>
        <w:tblW w:w="844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12"/>
        <w:gridCol w:w="1701"/>
        <w:gridCol w:w="1559"/>
        <w:gridCol w:w="1560"/>
        <w:gridCol w:w="1549"/>
        <w:gridCol w:w="86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12" w:type="dxa"/>
            <w:tcBorders>
              <w:tl2br w:val="nil"/>
              <w:tr2bl w:val="nil"/>
            </w:tcBorders>
            <w:shd w:val="clear" w:color="000000" w:fill="FFFFFF"/>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地块编码</w:t>
            </w:r>
          </w:p>
        </w:tc>
        <w:tc>
          <w:tcPr>
            <w:tcW w:w="1701" w:type="dxa"/>
            <w:tcBorders>
              <w:tl2br w:val="nil"/>
              <w:tr2bl w:val="nil"/>
            </w:tcBorders>
            <w:shd w:val="clear" w:color="000000" w:fill="FFFFFF"/>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用地性质</w:t>
            </w:r>
          </w:p>
        </w:tc>
        <w:tc>
          <w:tcPr>
            <w:tcW w:w="1559" w:type="dxa"/>
            <w:tcBorders>
              <w:tl2br w:val="nil"/>
              <w:tr2bl w:val="nil"/>
            </w:tcBorders>
            <w:shd w:val="clear" w:color="000000" w:fill="FFFFFF"/>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用地性质代码</w:t>
            </w:r>
          </w:p>
        </w:tc>
        <w:tc>
          <w:tcPr>
            <w:tcW w:w="1560" w:type="dxa"/>
            <w:tcBorders>
              <w:tl2br w:val="nil"/>
              <w:tr2bl w:val="nil"/>
            </w:tcBorders>
            <w:shd w:val="clear" w:color="000000" w:fill="FFFFFF"/>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用地面积（</w:t>
            </w:r>
            <w:r>
              <w:rPr>
                <w:rFonts w:hint="eastAsia" w:ascii="Times New Roman" w:hAnsi="Times New Roman" w:eastAsia="仿宋_GB2312" w:cs="Times New Roman"/>
                <w:b/>
                <w:color w:val="auto"/>
                <w:kern w:val="0"/>
                <w:sz w:val="21"/>
                <w:szCs w:val="21"/>
              </w:rPr>
              <w:t>m</w:t>
            </w:r>
            <w:r>
              <w:rPr>
                <w:rFonts w:hint="eastAsia" w:ascii="Times New Roman" w:hAnsi="Times New Roman" w:eastAsia="仿宋_GB2312" w:cs="Times New Roman"/>
                <w:b/>
                <w:color w:val="auto"/>
                <w:kern w:val="0"/>
                <w:sz w:val="21"/>
                <w:szCs w:val="21"/>
                <w:vertAlign w:val="superscript"/>
              </w:rPr>
              <w:t>2</w:t>
            </w:r>
            <w:r>
              <w:rPr>
                <w:rFonts w:ascii="Times New Roman" w:hAnsi="Times New Roman" w:eastAsia="仿宋_GB2312" w:cs="Times New Roman"/>
                <w:b/>
                <w:color w:val="auto"/>
                <w:kern w:val="0"/>
                <w:sz w:val="21"/>
                <w:szCs w:val="21"/>
              </w:rPr>
              <w:t>）</w:t>
            </w:r>
          </w:p>
        </w:tc>
        <w:tc>
          <w:tcPr>
            <w:tcW w:w="1549" w:type="dxa"/>
            <w:tcBorders>
              <w:tl2br w:val="nil"/>
              <w:tr2bl w:val="nil"/>
            </w:tcBorders>
            <w:shd w:val="clear" w:color="000000" w:fill="FFFFFF"/>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配套设施项目</w:t>
            </w:r>
          </w:p>
        </w:tc>
        <w:tc>
          <w:tcPr>
            <w:tcW w:w="860" w:type="dxa"/>
            <w:tcBorders>
              <w:tl2br w:val="nil"/>
              <w:tr2bl w:val="nil"/>
            </w:tcBorders>
            <w:shd w:val="clear" w:color="000000" w:fill="FFFFFF"/>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12" w:type="dxa"/>
            <w:tcBorders>
              <w:tl2br w:val="nil"/>
              <w:tr2bl w:val="nil"/>
            </w:tcBorders>
            <w:shd w:val="clear" w:color="000000" w:fill="FFFFFF"/>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E04</w:t>
            </w:r>
          </w:p>
        </w:tc>
        <w:tc>
          <w:tcPr>
            <w:tcW w:w="1701" w:type="dxa"/>
            <w:tcBorders>
              <w:tl2br w:val="nil"/>
              <w:tr2bl w:val="nil"/>
            </w:tcBorders>
            <w:shd w:val="clear" w:color="000000" w:fill="FFFFFF"/>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环卫用地</w:t>
            </w:r>
          </w:p>
        </w:tc>
        <w:tc>
          <w:tcPr>
            <w:tcW w:w="1559" w:type="dxa"/>
            <w:tcBorders>
              <w:tl2br w:val="nil"/>
              <w:tr2bl w:val="nil"/>
            </w:tcBorders>
            <w:shd w:val="clear" w:color="000000" w:fill="FFFFFF"/>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U22</w:t>
            </w:r>
          </w:p>
        </w:tc>
        <w:tc>
          <w:tcPr>
            <w:tcW w:w="1560" w:type="dxa"/>
            <w:tcBorders>
              <w:tl2br w:val="nil"/>
              <w:tr2bl w:val="nil"/>
            </w:tcBorders>
            <w:shd w:val="clear" w:color="000000" w:fill="FFFFFF"/>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17208</w:t>
            </w:r>
          </w:p>
        </w:tc>
        <w:tc>
          <w:tcPr>
            <w:tcW w:w="1549" w:type="dxa"/>
            <w:tcBorders>
              <w:tl2br w:val="nil"/>
              <w:tr2bl w:val="nil"/>
            </w:tcBorders>
            <w:shd w:val="clear" w:color="000000" w:fill="FFFFFF"/>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垃圾转运站</w:t>
            </w:r>
          </w:p>
        </w:tc>
        <w:tc>
          <w:tcPr>
            <w:tcW w:w="860" w:type="dxa"/>
            <w:tcBorders>
              <w:tl2br w:val="nil"/>
              <w:tr2bl w:val="nil"/>
            </w:tcBorders>
            <w:shd w:val="clear" w:color="000000" w:fill="FFFFFF"/>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12" w:type="dxa"/>
            <w:tcBorders>
              <w:tl2br w:val="nil"/>
              <w:tr2bl w:val="nil"/>
            </w:tcBorders>
            <w:shd w:val="clear" w:color="000000" w:fill="FFFFFF"/>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E13</w:t>
            </w:r>
          </w:p>
        </w:tc>
        <w:tc>
          <w:tcPr>
            <w:tcW w:w="1701" w:type="dxa"/>
            <w:tcBorders>
              <w:tl2br w:val="nil"/>
              <w:tr2bl w:val="nil"/>
            </w:tcBorders>
            <w:shd w:val="clear" w:color="000000" w:fill="FFFFFF"/>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供应设施用地</w:t>
            </w:r>
          </w:p>
        </w:tc>
        <w:tc>
          <w:tcPr>
            <w:tcW w:w="1559" w:type="dxa"/>
            <w:tcBorders>
              <w:tl2br w:val="nil"/>
              <w:tr2bl w:val="nil"/>
            </w:tcBorders>
            <w:shd w:val="clear" w:color="000000" w:fill="FFFFFF"/>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U11</w:t>
            </w:r>
          </w:p>
        </w:tc>
        <w:tc>
          <w:tcPr>
            <w:tcW w:w="1560" w:type="dxa"/>
            <w:tcBorders>
              <w:tl2br w:val="nil"/>
              <w:tr2bl w:val="nil"/>
            </w:tcBorders>
            <w:shd w:val="clear" w:color="000000" w:fill="FFFFFF"/>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3914</w:t>
            </w:r>
          </w:p>
        </w:tc>
        <w:tc>
          <w:tcPr>
            <w:tcW w:w="1549" w:type="dxa"/>
            <w:tcBorders>
              <w:tl2br w:val="nil"/>
              <w:tr2bl w:val="nil"/>
            </w:tcBorders>
            <w:shd w:val="clear" w:color="000000" w:fill="FFFFFF"/>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供电场地</w:t>
            </w:r>
          </w:p>
        </w:tc>
        <w:tc>
          <w:tcPr>
            <w:tcW w:w="860" w:type="dxa"/>
            <w:tcBorders>
              <w:tl2br w:val="nil"/>
              <w:tr2bl w:val="nil"/>
            </w:tcBorders>
            <w:shd w:val="clear" w:color="000000" w:fill="FFFFFF"/>
            <w:noWrap/>
            <w:vAlign w:val="center"/>
          </w:tcPr>
          <w:p>
            <w:pPr>
              <w:widowControl/>
              <w:jc w:val="center"/>
              <w:rPr>
                <w:rFonts w:ascii="Times New Roman" w:hAnsi="Times New Roman" w:eastAsia="仿宋_GB2312" w:cs="Times New Roman"/>
                <w:bCs/>
                <w:color w:val="auto"/>
                <w:kern w:val="0"/>
                <w:sz w:val="21"/>
                <w:szCs w:val="21"/>
              </w:rPr>
            </w:pPr>
            <w:r>
              <w:rPr>
                <w:rFonts w:ascii="Times New Roman" w:hAnsi="Times New Roman" w:eastAsia="仿宋_GB2312" w:cs="Times New Roman"/>
                <w:bCs/>
                <w:color w:val="auto"/>
                <w:kern w:val="0"/>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12" w:type="dxa"/>
            <w:tcBorders>
              <w:tl2br w:val="nil"/>
              <w:tr2bl w:val="nil"/>
            </w:tcBorders>
            <w:shd w:val="clear" w:color="000000" w:fill="FFFFFF"/>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E18</w:t>
            </w:r>
          </w:p>
        </w:tc>
        <w:tc>
          <w:tcPr>
            <w:tcW w:w="1701" w:type="dxa"/>
            <w:tcBorders>
              <w:tl2br w:val="nil"/>
              <w:tr2bl w:val="nil"/>
            </w:tcBorders>
            <w:shd w:val="clear" w:color="000000" w:fill="FFFFFF"/>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供水用地</w:t>
            </w:r>
          </w:p>
        </w:tc>
        <w:tc>
          <w:tcPr>
            <w:tcW w:w="1559" w:type="dxa"/>
            <w:tcBorders>
              <w:tl2br w:val="nil"/>
              <w:tr2bl w:val="nil"/>
            </w:tcBorders>
            <w:shd w:val="clear" w:color="000000" w:fill="FFFFFF"/>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U1</w:t>
            </w:r>
          </w:p>
        </w:tc>
        <w:tc>
          <w:tcPr>
            <w:tcW w:w="1560" w:type="dxa"/>
            <w:tcBorders>
              <w:tl2br w:val="nil"/>
              <w:tr2bl w:val="nil"/>
            </w:tcBorders>
            <w:shd w:val="clear" w:color="000000" w:fill="FFFFFF"/>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107534</w:t>
            </w:r>
          </w:p>
        </w:tc>
        <w:tc>
          <w:tcPr>
            <w:tcW w:w="1549" w:type="dxa"/>
            <w:tcBorders>
              <w:tl2br w:val="nil"/>
              <w:tr2bl w:val="nil"/>
            </w:tcBorders>
            <w:shd w:val="clear" w:color="000000" w:fill="FFFFFF"/>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自来水厂</w:t>
            </w:r>
          </w:p>
        </w:tc>
        <w:tc>
          <w:tcPr>
            <w:tcW w:w="860" w:type="dxa"/>
            <w:tcBorders>
              <w:tl2br w:val="nil"/>
              <w:tr2bl w:val="nil"/>
            </w:tcBorders>
            <w:shd w:val="clear" w:color="000000" w:fill="FFFFFF"/>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新建</w:t>
            </w:r>
          </w:p>
        </w:tc>
      </w:tr>
    </w:tbl>
    <w:p>
      <w:pPr>
        <w:adjustRightInd w:val="0"/>
        <w:snapToGrid w:val="0"/>
        <w:spacing w:line="360" w:lineRule="auto"/>
        <w:jc w:val="center"/>
        <w:rPr>
          <w:rFonts w:hint="eastAsia" w:ascii="Times New Roman" w:hAnsi="Times New Roman" w:eastAsia="仿宋_GB2312" w:cs="Times New Roman"/>
          <w:b/>
          <w:color w:val="auto"/>
        </w:rPr>
      </w:pPr>
    </w:p>
    <w:p>
      <w:pPr>
        <w:adjustRightInd w:val="0"/>
        <w:snapToGrid w:val="0"/>
        <w:spacing w:line="360" w:lineRule="auto"/>
        <w:jc w:val="center"/>
        <w:rPr>
          <w:rFonts w:ascii="Times New Roman" w:hAnsi="Times New Roman" w:eastAsia="仿宋_GB2312" w:cs="Times New Roman"/>
          <w:b/>
          <w:color w:val="auto"/>
        </w:rPr>
      </w:pPr>
      <w:r>
        <w:rPr>
          <w:rFonts w:ascii="Times New Roman" w:hAnsi="Times New Roman" w:eastAsia="仿宋_GB2312" w:cs="Times New Roman"/>
          <w:b/>
          <w:color w:val="auto"/>
        </w:rPr>
        <w:drawing>
          <wp:inline distT="0" distB="0" distL="0" distR="0">
            <wp:extent cx="5353685" cy="3742690"/>
            <wp:effectExtent l="19050" t="0" r="0" b="0"/>
            <wp:docPr id="42" name="图片 16" descr="C:\Users\Administrator\AppData\Local\Microsoft\Windows\INetCache\Content.Word\公用设施用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 descr="C:\Users\Administrator\AppData\Local\Microsoft\Windows\INetCache\Content.Word\公用设施用地.jpg"/>
                    <pic:cNvPicPr>
                      <a:picLocks noChangeAspect="1" noChangeArrowheads="1"/>
                    </pic:cNvPicPr>
                  </pic:nvPicPr>
                  <pic:blipFill>
                    <a:blip r:embed="rId71" cstate="print"/>
                    <a:srcRect/>
                    <a:stretch>
                      <a:fillRect/>
                    </a:stretch>
                  </pic:blipFill>
                  <pic:spPr>
                    <a:xfrm>
                      <a:off x="0" y="0"/>
                      <a:ext cx="5353887" cy="3742686"/>
                    </a:xfrm>
                    <a:prstGeom prst="rect">
                      <a:avLst/>
                    </a:prstGeom>
                    <a:noFill/>
                    <a:ln w="9525">
                      <a:noFill/>
                      <a:miter lim="800000"/>
                      <a:headEnd/>
                      <a:tailEnd/>
                    </a:ln>
                  </pic:spPr>
                </pic:pic>
              </a:graphicData>
            </a:graphic>
          </wp:inline>
        </w:drawing>
      </w:r>
    </w:p>
    <w:p>
      <w:pPr>
        <w:adjustRightInd w:val="0"/>
        <w:snapToGrid w:val="0"/>
        <w:spacing w:line="360" w:lineRule="auto"/>
        <w:jc w:val="center"/>
        <w:rPr>
          <w:rFonts w:ascii="Times New Roman" w:hAnsi="Times New Roman" w:eastAsia="仿宋_GB2312" w:cs="Times New Roman"/>
          <w:color w:val="auto"/>
        </w:rPr>
      </w:pPr>
      <w:r>
        <w:rPr>
          <w:rFonts w:hint="eastAsia" w:ascii="Times New Roman" w:hAnsi="Times New Roman" w:eastAsia="仿宋_GB2312" w:cs="Times New Roman"/>
          <w:b/>
          <w:color w:val="auto"/>
        </w:rPr>
        <w:t>图2.1-12：</w:t>
      </w:r>
      <w:r>
        <w:rPr>
          <w:rFonts w:hint="eastAsia" w:ascii="Times New Roman" w:hAnsi="Times New Roman" w:eastAsia="仿宋_GB2312" w:cs="Times New Roman"/>
          <w:b/>
          <w:color w:val="auto"/>
          <w:szCs w:val="24"/>
        </w:rPr>
        <w:t>公用设施用地规划总体布局图</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（三）绿地</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区域内规划绿地总面积20.01hm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，占规划区域用地的20.01%。其中公园绿地10.15hm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，防护绿地9.86hm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公园绿地是城市内部重要的开放空间，也是居民日常生活中最重要的绿化景观系统和慢行系统，包括公园、沿街带状绿地等公共绿地，</w:t>
      </w:r>
      <w:r>
        <w:rPr>
          <w:rFonts w:hint="eastAsia" w:ascii="Times New Roman" w:hAnsi="Times New Roman" w:eastAsia="仿宋_GB2312" w:cs="Times New Roman"/>
          <w:color w:val="auto"/>
          <w:szCs w:val="24"/>
        </w:rPr>
        <w:t>以保持区域生物多样性为主。</w:t>
      </w:r>
      <w:r>
        <w:rPr>
          <w:rFonts w:hint="eastAsia" w:ascii="Times New Roman" w:hAnsi="Times New Roman" w:eastAsia="仿宋_GB2312" w:cs="Times New Roman"/>
          <w:color w:val="auto"/>
          <w:szCs w:val="24"/>
        </w:rPr>
        <w:t>公园绿地结合各类公共设施，布置在人群集中的核心服务岛附近，并向各组团片区延伸。</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防护绿地主要是指高压走廊、市政设施周围以及加油站四周的防护绿地，即充当了防护隔离的作用，也是城市重要的绿色通廊，</w:t>
      </w:r>
      <w:r>
        <w:rPr>
          <w:rFonts w:hint="eastAsia" w:ascii="Times New Roman" w:hAnsi="Times New Roman" w:eastAsia="仿宋_GB2312" w:cs="Times New Roman"/>
          <w:color w:val="auto"/>
          <w:szCs w:val="24"/>
        </w:rPr>
        <w:t>以起到隔离、降噪作用为主。</w:t>
      </w:r>
    </w:p>
    <w:p>
      <w:pPr>
        <w:adjustRightInd w:val="0"/>
        <w:snapToGrid w:val="0"/>
        <w:spacing w:line="360" w:lineRule="auto"/>
        <w:jc w:val="center"/>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表2.1-6：绿地规划一览表</w:t>
      </w:r>
    </w:p>
    <w:tbl>
      <w:tblPr>
        <w:tblStyle w:val="3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34"/>
        <w:gridCol w:w="1843"/>
        <w:gridCol w:w="1276"/>
        <w:gridCol w:w="418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34"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hint="eastAsia" w:ascii="Times New Roman" w:hAnsi="Times New Roman" w:eastAsia="仿宋_GB2312" w:cs="Times New Roman"/>
                <w:b/>
                <w:color w:val="auto"/>
                <w:kern w:val="0"/>
                <w:sz w:val="21"/>
                <w:szCs w:val="21"/>
              </w:rPr>
              <w:t>地块编号</w:t>
            </w:r>
          </w:p>
        </w:tc>
        <w:tc>
          <w:tcPr>
            <w:tcW w:w="1843" w:type="dxa"/>
            <w:shd w:val="clear" w:color="auto" w:fill="auto"/>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用地类别</w:t>
            </w:r>
          </w:p>
        </w:tc>
        <w:tc>
          <w:tcPr>
            <w:tcW w:w="1276"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面积</w:t>
            </w:r>
            <w:r>
              <w:rPr>
                <w:rFonts w:hint="eastAsia" w:ascii="Times New Roman" w:hAnsi="Times New Roman" w:eastAsia="仿宋_GB2312" w:cs="Times New Roman"/>
                <w:b/>
                <w:color w:val="auto"/>
                <w:kern w:val="0"/>
                <w:sz w:val="21"/>
                <w:szCs w:val="21"/>
              </w:rPr>
              <w:t>（m</w:t>
            </w:r>
            <w:r>
              <w:rPr>
                <w:rFonts w:hint="eastAsia" w:ascii="Times New Roman" w:hAnsi="Times New Roman" w:eastAsia="仿宋_GB2312" w:cs="Times New Roman"/>
                <w:b/>
                <w:color w:val="auto"/>
                <w:kern w:val="0"/>
                <w:sz w:val="21"/>
                <w:szCs w:val="21"/>
                <w:vertAlign w:val="superscript"/>
              </w:rPr>
              <w:t>2</w:t>
            </w:r>
            <w:r>
              <w:rPr>
                <w:rFonts w:hint="eastAsia" w:ascii="Times New Roman" w:hAnsi="Times New Roman" w:eastAsia="仿宋_GB2312" w:cs="Times New Roman"/>
                <w:b/>
                <w:color w:val="auto"/>
                <w:kern w:val="0"/>
                <w:sz w:val="21"/>
                <w:szCs w:val="21"/>
              </w:rPr>
              <w:t>）</w:t>
            </w:r>
          </w:p>
        </w:tc>
        <w:tc>
          <w:tcPr>
            <w:tcW w:w="4185" w:type="dxa"/>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3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E01</w:t>
            </w:r>
          </w:p>
        </w:tc>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276"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5355</w:t>
            </w:r>
          </w:p>
        </w:tc>
        <w:tc>
          <w:tcPr>
            <w:tcW w:w="4185"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3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E05</w:t>
            </w:r>
          </w:p>
        </w:tc>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276"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6569</w:t>
            </w:r>
          </w:p>
        </w:tc>
        <w:tc>
          <w:tcPr>
            <w:tcW w:w="4185"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3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E07</w:t>
            </w:r>
          </w:p>
        </w:tc>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276"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5787</w:t>
            </w:r>
          </w:p>
        </w:tc>
        <w:tc>
          <w:tcPr>
            <w:tcW w:w="4185"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3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E10</w:t>
            </w:r>
          </w:p>
        </w:tc>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276"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4386</w:t>
            </w:r>
          </w:p>
        </w:tc>
        <w:tc>
          <w:tcPr>
            <w:tcW w:w="4185"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3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E12</w:t>
            </w:r>
          </w:p>
        </w:tc>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276"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10249</w:t>
            </w:r>
          </w:p>
        </w:tc>
        <w:tc>
          <w:tcPr>
            <w:tcW w:w="4185"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3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F08</w:t>
            </w:r>
          </w:p>
        </w:tc>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2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41363</w:t>
            </w:r>
          </w:p>
        </w:tc>
        <w:tc>
          <w:tcPr>
            <w:tcW w:w="4185"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3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F14</w:t>
            </w:r>
          </w:p>
        </w:tc>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公园绿地（G1）</w:t>
            </w:r>
          </w:p>
        </w:tc>
        <w:tc>
          <w:tcPr>
            <w:tcW w:w="12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27766</w:t>
            </w:r>
          </w:p>
        </w:tc>
        <w:tc>
          <w:tcPr>
            <w:tcW w:w="4185"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977" w:type="dxa"/>
            <w:gridSpan w:val="2"/>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小计</w:t>
            </w:r>
          </w:p>
        </w:tc>
        <w:tc>
          <w:tcPr>
            <w:tcW w:w="12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101475</w:t>
            </w:r>
          </w:p>
        </w:tc>
        <w:tc>
          <w:tcPr>
            <w:tcW w:w="4185"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3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E03</w:t>
            </w:r>
          </w:p>
        </w:tc>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防护绿地</w:t>
            </w:r>
            <w:r>
              <w:rPr>
                <w:rFonts w:hint="eastAsia" w:ascii="Times New Roman" w:hAnsi="Times New Roman" w:eastAsia="仿宋_GB2312" w:cs="Times New Roman"/>
                <w:color w:val="auto"/>
                <w:kern w:val="0"/>
                <w:sz w:val="21"/>
                <w:szCs w:val="21"/>
              </w:rPr>
              <w:t>（G2）</w:t>
            </w:r>
          </w:p>
        </w:tc>
        <w:tc>
          <w:tcPr>
            <w:tcW w:w="1276"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2746</w:t>
            </w:r>
          </w:p>
        </w:tc>
        <w:tc>
          <w:tcPr>
            <w:tcW w:w="4185"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3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E14</w:t>
            </w:r>
          </w:p>
        </w:tc>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防护绿地</w:t>
            </w:r>
            <w:r>
              <w:rPr>
                <w:rFonts w:hint="eastAsia" w:ascii="Times New Roman" w:hAnsi="Times New Roman" w:eastAsia="仿宋_GB2312" w:cs="Times New Roman"/>
                <w:color w:val="auto"/>
                <w:kern w:val="0"/>
                <w:sz w:val="21"/>
                <w:szCs w:val="21"/>
              </w:rPr>
              <w:t>（G2）</w:t>
            </w:r>
          </w:p>
        </w:tc>
        <w:tc>
          <w:tcPr>
            <w:tcW w:w="1276"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2089</w:t>
            </w:r>
          </w:p>
        </w:tc>
        <w:tc>
          <w:tcPr>
            <w:tcW w:w="4185"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3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E20</w:t>
            </w:r>
          </w:p>
        </w:tc>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防护绿地</w:t>
            </w:r>
            <w:r>
              <w:rPr>
                <w:rFonts w:hint="eastAsia" w:ascii="Times New Roman" w:hAnsi="Times New Roman" w:eastAsia="仿宋_GB2312" w:cs="Times New Roman"/>
                <w:color w:val="auto"/>
                <w:kern w:val="0"/>
                <w:sz w:val="21"/>
                <w:szCs w:val="21"/>
              </w:rPr>
              <w:t>（G2）</w:t>
            </w:r>
          </w:p>
        </w:tc>
        <w:tc>
          <w:tcPr>
            <w:tcW w:w="1276"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36196</w:t>
            </w:r>
          </w:p>
        </w:tc>
        <w:tc>
          <w:tcPr>
            <w:tcW w:w="4185"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3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E22</w:t>
            </w:r>
          </w:p>
        </w:tc>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防护绿地</w:t>
            </w:r>
            <w:r>
              <w:rPr>
                <w:rFonts w:hint="eastAsia" w:ascii="Times New Roman" w:hAnsi="Times New Roman" w:eastAsia="仿宋_GB2312" w:cs="Times New Roman"/>
                <w:color w:val="auto"/>
                <w:kern w:val="0"/>
                <w:sz w:val="21"/>
                <w:szCs w:val="21"/>
              </w:rPr>
              <w:t>（G2）</w:t>
            </w:r>
          </w:p>
        </w:tc>
        <w:tc>
          <w:tcPr>
            <w:tcW w:w="1276" w:type="dxa"/>
            <w:shd w:val="clear" w:color="auto" w:fill="auto"/>
            <w:noWrap/>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52536</w:t>
            </w:r>
          </w:p>
        </w:tc>
        <w:tc>
          <w:tcPr>
            <w:tcW w:w="4185" w:type="dxa"/>
            <w:vAlign w:val="center"/>
          </w:tcPr>
          <w:p>
            <w:pPr>
              <w:jc w:val="center"/>
              <w:rPr>
                <w:rFonts w:ascii="Times New Roman" w:hAnsi="Times New Roman" w:eastAsia="仿宋_GB2312" w:cs="Times New Roman"/>
                <w:color w:val="auto"/>
                <w:sz w:val="21"/>
                <w:szCs w:val="21"/>
                <w:vertAlign w:val="superscript"/>
              </w:rPr>
            </w:pPr>
            <w:r>
              <w:rPr>
                <w:rFonts w:hint="eastAsia" w:ascii="Times New Roman" w:hAnsi="Times New Roman" w:eastAsia="仿宋_GB2312" w:cs="Times New Roman"/>
                <w:color w:val="auto"/>
                <w:sz w:val="21"/>
                <w:szCs w:val="21"/>
              </w:rPr>
              <w:t>配建一处公共厕所，建筑面积不小于60m</w:t>
            </w:r>
            <w:r>
              <w:rPr>
                <w:rFonts w:hint="eastAsia" w:ascii="Times New Roman" w:hAnsi="Times New Roman" w:eastAsia="仿宋_GB2312" w:cs="Times New Roman"/>
                <w:color w:val="auto"/>
                <w:sz w:val="21"/>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3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F18</w:t>
            </w:r>
          </w:p>
        </w:tc>
        <w:tc>
          <w:tcPr>
            <w:tcW w:w="184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防护绿地</w:t>
            </w:r>
            <w:r>
              <w:rPr>
                <w:rFonts w:hint="eastAsia" w:ascii="Times New Roman" w:hAnsi="Times New Roman" w:eastAsia="仿宋_GB2312" w:cs="Times New Roman"/>
                <w:color w:val="auto"/>
                <w:kern w:val="0"/>
                <w:sz w:val="21"/>
                <w:szCs w:val="21"/>
              </w:rPr>
              <w:t>（G2）</w:t>
            </w:r>
          </w:p>
        </w:tc>
        <w:tc>
          <w:tcPr>
            <w:tcW w:w="12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5078</w:t>
            </w:r>
          </w:p>
        </w:tc>
        <w:tc>
          <w:tcPr>
            <w:tcW w:w="4185"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配建一处公共厕所，建筑面积不小于60m</w:t>
            </w:r>
            <w:r>
              <w:rPr>
                <w:rFonts w:hint="eastAsia" w:ascii="Times New Roman" w:hAnsi="Times New Roman" w:eastAsia="仿宋_GB2312" w:cs="Times New Roman"/>
                <w:color w:val="auto"/>
                <w:sz w:val="21"/>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977" w:type="dxa"/>
            <w:gridSpan w:val="2"/>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小计</w:t>
            </w:r>
          </w:p>
        </w:tc>
        <w:tc>
          <w:tcPr>
            <w:tcW w:w="1276"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98645</w:t>
            </w:r>
          </w:p>
        </w:tc>
        <w:tc>
          <w:tcPr>
            <w:tcW w:w="4185"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977" w:type="dxa"/>
            <w:gridSpan w:val="2"/>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总计</w:t>
            </w:r>
          </w:p>
        </w:tc>
        <w:tc>
          <w:tcPr>
            <w:tcW w:w="12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200120</w:t>
            </w:r>
          </w:p>
        </w:tc>
        <w:tc>
          <w:tcPr>
            <w:tcW w:w="4185" w:type="dxa"/>
            <w:vAlign w:val="center"/>
          </w:tcPr>
          <w:p>
            <w:pPr>
              <w:widowControl/>
              <w:jc w:val="center"/>
              <w:rPr>
                <w:rFonts w:ascii="Times New Roman" w:hAnsi="Times New Roman" w:eastAsia="仿宋_GB2312" w:cs="Times New Roman"/>
                <w:color w:val="auto"/>
                <w:kern w:val="0"/>
                <w:sz w:val="21"/>
                <w:szCs w:val="21"/>
              </w:rPr>
            </w:pPr>
          </w:p>
        </w:tc>
      </w:tr>
    </w:tbl>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总体构思：景观营造必须体现现代工业园区的景观和环境特色，景观系统规划要处理好工业生产与各种景观要素的合理关系。</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景观分区：根据用地布局与功能结构，规划区内形成现代综合风貌区、工业景观风貌区和公园景观风貌区等三大风貌区。</w:t>
      </w:r>
    </w:p>
    <w:p>
      <w:pPr>
        <w:adjustRightInd w:val="0"/>
        <w:snapToGrid w:val="0"/>
        <w:spacing w:line="360" w:lineRule="auto"/>
        <w:ind w:left="-1" w:leftChars="-177" w:hanging="424" w:hangingChars="176"/>
        <w:jc w:val="center"/>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drawing>
          <wp:inline distT="0" distB="0" distL="0" distR="0">
            <wp:extent cx="5902960" cy="4252595"/>
            <wp:effectExtent l="19050" t="0" r="2317" b="0"/>
            <wp:docPr id="22" name="图片 14" descr="C:\Users\Administrator\AppData\Local\Microsoft\Windows\INetCache\Content.Word\绿地规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4" descr="C:\Users\Administrator\AppData\Local\Microsoft\Windows\INetCache\Content.Word\绿地规划.jpg"/>
                    <pic:cNvPicPr>
                      <a:picLocks noChangeAspect="1" noChangeArrowheads="1"/>
                    </pic:cNvPicPr>
                  </pic:nvPicPr>
                  <pic:blipFill>
                    <a:blip r:embed="rId72"/>
                    <a:srcRect/>
                    <a:stretch>
                      <a:fillRect/>
                    </a:stretch>
                  </pic:blipFill>
                  <pic:spPr>
                    <a:xfrm>
                      <a:off x="0" y="0"/>
                      <a:ext cx="5911199" cy="4258798"/>
                    </a:xfrm>
                    <a:prstGeom prst="rect">
                      <a:avLst/>
                    </a:prstGeom>
                    <a:noFill/>
                    <a:ln w="9525">
                      <a:noFill/>
                      <a:miter lim="800000"/>
                      <a:headEnd/>
                      <a:tailEnd/>
                    </a:ln>
                  </pic:spPr>
                </pic:pic>
              </a:graphicData>
            </a:graphic>
          </wp:inline>
        </w:drawing>
      </w:r>
    </w:p>
    <w:p>
      <w:pPr>
        <w:adjustRightInd w:val="0"/>
        <w:snapToGrid w:val="0"/>
        <w:spacing w:line="360" w:lineRule="auto"/>
        <w:jc w:val="center"/>
        <w:rPr>
          <w:rFonts w:ascii="Times New Roman" w:hAnsi="Times New Roman" w:eastAsia="仿宋_GB2312" w:cs="Times New Roman"/>
          <w:color w:val="auto"/>
          <w:szCs w:val="24"/>
        </w:rPr>
      </w:pPr>
      <w:r>
        <w:rPr>
          <w:rFonts w:hint="eastAsia" w:ascii="Times New Roman" w:hAnsi="Times New Roman" w:eastAsia="仿宋_GB2312" w:cs="Times New Roman"/>
          <w:b/>
          <w:color w:val="auto"/>
          <w:szCs w:val="24"/>
        </w:rPr>
        <w:t>图2.1-13：绿地规划总体布局图</w:t>
      </w:r>
    </w:p>
    <w:p>
      <w:pPr>
        <w:pStyle w:val="7"/>
        <w:spacing w:line="360" w:lineRule="auto"/>
        <w:rPr>
          <w:rFonts w:eastAsia="仿宋_GB2312"/>
          <w:color w:val="auto"/>
          <w:sz w:val="28"/>
          <w:szCs w:val="28"/>
        </w:rPr>
      </w:pPr>
      <w:r>
        <w:rPr>
          <w:rFonts w:eastAsia="仿宋_GB2312"/>
          <w:color w:val="auto"/>
          <w:sz w:val="28"/>
          <w:szCs w:val="28"/>
        </w:rPr>
        <w:t>2.1.</w:t>
      </w:r>
      <w:r>
        <w:rPr>
          <w:rFonts w:hint="eastAsia" w:eastAsia="仿宋_GB2312"/>
          <w:color w:val="auto"/>
          <w:sz w:val="28"/>
          <w:szCs w:val="28"/>
        </w:rPr>
        <w:t>3</w:t>
      </w:r>
      <w:r>
        <w:rPr>
          <w:rFonts w:eastAsia="仿宋_GB2312"/>
          <w:color w:val="auto"/>
          <w:sz w:val="28"/>
          <w:szCs w:val="28"/>
        </w:rPr>
        <w:t>.</w:t>
      </w:r>
      <w:r>
        <w:rPr>
          <w:rFonts w:hint="eastAsia" w:eastAsia="仿宋_GB2312"/>
          <w:color w:val="auto"/>
          <w:sz w:val="28"/>
          <w:szCs w:val="28"/>
        </w:rPr>
        <w:t>6竖向布置</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（一）规划区域原状高程</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本规划区域属赣抚冲积平原，区域内主要为耕地、林地、草地、水域及水利设施用地、住宅用地、工矿仓储用地、交通运输用地和其他土地。规划区域内水域及水利设施用地主要为坑塘水面，主要分布在中部、南部及东北角，占区域面积的9.45%。规划区域整体地势平整，原始高程在18.64m~22.4m之间。</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（二）区域内道路设计高程</w:t>
      </w:r>
    </w:p>
    <w:p>
      <w:pPr>
        <w:adjustRightInd w:val="0"/>
        <w:snapToGrid w:val="0"/>
        <w:spacing w:line="360" w:lineRule="auto"/>
        <w:ind w:firstLine="480" w:firstLineChars="200"/>
        <w:jc w:val="left"/>
        <w:rPr>
          <w:rFonts w:hint="eastAsia" w:ascii="Times New Roman" w:hAnsi="Times New Roman" w:eastAsia="仿宋_GB2312" w:cs="Times New Roman"/>
          <w:color w:val="auto"/>
          <w:szCs w:val="24"/>
        </w:rPr>
      </w:pPr>
      <w:r>
        <w:rPr>
          <w:rFonts w:hint="eastAsia" w:ascii="Times New Roman" w:hAnsi="Times New Roman" w:eastAsia="仿宋_GB2312" w:cs="Times New Roman"/>
          <w:color w:val="auto"/>
          <w:szCs w:val="24"/>
        </w:rPr>
        <w:t>根据《城乡建设用地竖向规划规范》（CJJ83-2016），主干路（尤氨公路）道路规划最小纵坡为0.3%，最大纵坡为6~7%；支路（其余道路）道路规划最小纵坡为0.3%，最大纵坡为7~8%。按照涝水位+管长*水力坡降+道路横坡进行道路竖向设计。地块按最低高程控制，具体实施根据建设时序需要可适当抬高。区域内各条道路设计高程详见图2.1-9和表2.1-7。</w:t>
      </w:r>
    </w:p>
    <w:p>
      <w:pPr>
        <w:adjustRightInd w:val="0"/>
        <w:snapToGrid w:val="0"/>
        <w:spacing w:line="360" w:lineRule="auto"/>
        <w:ind w:firstLine="480" w:firstLineChars="200"/>
        <w:jc w:val="left"/>
        <w:rPr>
          <w:rFonts w:hint="eastAsia" w:ascii="Times New Roman" w:hAnsi="Times New Roman" w:eastAsia="仿宋_GB2312" w:cs="Times New Roman"/>
          <w:color w:val="auto"/>
          <w:szCs w:val="24"/>
        </w:rPr>
      </w:pPr>
    </w:p>
    <w:p>
      <w:pPr>
        <w:adjustRightInd w:val="0"/>
        <w:snapToGrid w:val="0"/>
        <w:spacing w:line="360" w:lineRule="auto"/>
        <w:ind w:firstLine="480" w:firstLineChars="200"/>
        <w:jc w:val="left"/>
        <w:rPr>
          <w:rFonts w:ascii="Times New Roman" w:hAnsi="Times New Roman" w:eastAsia="仿宋_GB2312" w:cs="Times New Roman"/>
          <w:color w:val="auto"/>
          <w:szCs w:val="24"/>
        </w:rPr>
      </w:pP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表2.1-7：区域评估范围内各道路竖向规划一览表</w:t>
      </w:r>
    </w:p>
    <w:tbl>
      <w:tblPr>
        <w:tblStyle w:val="3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76"/>
        <w:gridCol w:w="1559"/>
        <w:gridCol w:w="1560"/>
        <w:gridCol w:w="1984"/>
        <w:gridCol w:w="256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6"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hint="eastAsia" w:ascii="Times New Roman" w:hAnsi="Times New Roman" w:eastAsia="仿宋_GB2312" w:cs="Times New Roman"/>
                <w:b/>
                <w:color w:val="auto"/>
                <w:kern w:val="0"/>
                <w:sz w:val="21"/>
                <w:szCs w:val="21"/>
              </w:rPr>
              <w:t>序号</w:t>
            </w:r>
          </w:p>
        </w:tc>
        <w:tc>
          <w:tcPr>
            <w:tcW w:w="1559" w:type="dxa"/>
            <w:shd w:val="clear" w:color="auto" w:fill="auto"/>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道路名称</w:t>
            </w:r>
          </w:p>
        </w:tc>
        <w:tc>
          <w:tcPr>
            <w:tcW w:w="1560" w:type="dxa"/>
            <w:vAlign w:val="center"/>
          </w:tcPr>
          <w:p>
            <w:pPr>
              <w:widowControl/>
              <w:jc w:val="center"/>
              <w:rPr>
                <w:rFonts w:ascii="Times New Roman" w:hAnsi="Times New Roman" w:eastAsia="仿宋_GB2312" w:cs="Times New Roman"/>
                <w:b/>
                <w:color w:val="auto"/>
                <w:kern w:val="0"/>
                <w:sz w:val="21"/>
                <w:szCs w:val="21"/>
              </w:rPr>
            </w:pPr>
            <w:r>
              <w:rPr>
                <w:rFonts w:hint="eastAsia" w:ascii="Times New Roman" w:hAnsi="Times New Roman" w:eastAsia="仿宋_GB2312" w:cs="Times New Roman"/>
                <w:b/>
                <w:color w:val="auto"/>
                <w:kern w:val="0"/>
                <w:sz w:val="21"/>
                <w:szCs w:val="21"/>
              </w:rPr>
              <w:t>原始高程（m）</w:t>
            </w:r>
          </w:p>
        </w:tc>
        <w:tc>
          <w:tcPr>
            <w:tcW w:w="1984"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hint="eastAsia" w:ascii="Times New Roman" w:hAnsi="Times New Roman" w:eastAsia="仿宋_GB2312" w:cs="Times New Roman"/>
                <w:b/>
                <w:color w:val="auto"/>
                <w:kern w:val="0"/>
                <w:sz w:val="21"/>
                <w:szCs w:val="21"/>
              </w:rPr>
              <w:t>竖向规划标高（m）</w:t>
            </w:r>
          </w:p>
        </w:tc>
        <w:tc>
          <w:tcPr>
            <w:tcW w:w="2561" w:type="dxa"/>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w:t>
            </w:r>
          </w:p>
        </w:tc>
        <w:tc>
          <w:tcPr>
            <w:tcW w:w="15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尤氨公路</w:t>
            </w:r>
          </w:p>
        </w:tc>
        <w:tc>
          <w:tcPr>
            <w:tcW w:w="1560"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19.64~22.0</w:t>
            </w:r>
          </w:p>
        </w:tc>
        <w:tc>
          <w:tcPr>
            <w:tcW w:w="1984"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22.0~25.0</w:t>
            </w:r>
          </w:p>
        </w:tc>
        <w:tc>
          <w:tcPr>
            <w:tcW w:w="2561"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未建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w:t>
            </w:r>
          </w:p>
        </w:tc>
        <w:tc>
          <w:tcPr>
            <w:tcW w:w="15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经十六路</w:t>
            </w:r>
          </w:p>
        </w:tc>
        <w:tc>
          <w:tcPr>
            <w:tcW w:w="1560"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19.69~21.59</w:t>
            </w:r>
          </w:p>
        </w:tc>
        <w:tc>
          <w:tcPr>
            <w:tcW w:w="1984"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22.5~22.7</w:t>
            </w:r>
          </w:p>
        </w:tc>
        <w:tc>
          <w:tcPr>
            <w:tcW w:w="2561"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未建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3</w:t>
            </w:r>
          </w:p>
        </w:tc>
        <w:tc>
          <w:tcPr>
            <w:tcW w:w="15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经十七路</w:t>
            </w:r>
          </w:p>
        </w:tc>
        <w:tc>
          <w:tcPr>
            <w:tcW w:w="1560"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19.46~20.84</w:t>
            </w:r>
          </w:p>
        </w:tc>
        <w:tc>
          <w:tcPr>
            <w:tcW w:w="1984"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20.0~21.7</w:t>
            </w:r>
          </w:p>
        </w:tc>
        <w:tc>
          <w:tcPr>
            <w:tcW w:w="2561"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未建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4</w:t>
            </w:r>
          </w:p>
        </w:tc>
        <w:tc>
          <w:tcPr>
            <w:tcW w:w="15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经十八路</w:t>
            </w:r>
          </w:p>
        </w:tc>
        <w:tc>
          <w:tcPr>
            <w:tcW w:w="1560"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19.14~22.4</w:t>
            </w:r>
          </w:p>
        </w:tc>
        <w:tc>
          <w:tcPr>
            <w:tcW w:w="1984"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20.0~22.4</w:t>
            </w:r>
          </w:p>
        </w:tc>
        <w:tc>
          <w:tcPr>
            <w:tcW w:w="2561"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sz w:val="21"/>
                <w:szCs w:val="21"/>
              </w:rPr>
              <w:t>已建谢佛路至杨家山路段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5</w:t>
            </w:r>
          </w:p>
        </w:tc>
        <w:tc>
          <w:tcPr>
            <w:tcW w:w="15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经十九路</w:t>
            </w:r>
          </w:p>
        </w:tc>
        <w:tc>
          <w:tcPr>
            <w:tcW w:w="1560"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21.0~21.74</w:t>
            </w:r>
          </w:p>
        </w:tc>
        <w:tc>
          <w:tcPr>
            <w:tcW w:w="1984"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21.0~22.65</w:t>
            </w:r>
          </w:p>
        </w:tc>
        <w:tc>
          <w:tcPr>
            <w:tcW w:w="2561"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未建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6</w:t>
            </w:r>
          </w:p>
        </w:tc>
        <w:tc>
          <w:tcPr>
            <w:tcW w:w="15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梧岗南路</w:t>
            </w:r>
          </w:p>
        </w:tc>
        <w:tc>
          <w:tcPr>
            <w:tcW w:w="1560"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19.79~21.81</w:t>
            </w:r>
          </w:p>
        </w:tc>
        <w:tc>
          <w:tcPr>
            <w:tcW w:w="198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20.0~25.0</w:t>
            </w:r>
          </w:p>
        </w:tc>
        <w:tc>
          <w:tcPr>
            <w:tcW w:w="2561"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未建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7</w:t>
            </w:r>
          </w:p>
        </w:tc>
        <w:tc>
          <w:tcPr>
            <w:tcW w:w="15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嵩氨路</w:t>
            </w:r>
          </w:p>
        </w:tc>
        <w:tc>
          <w:tcPr>
            <w:tcW w:w="1560"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21.0~22.05</w:t>
            </w:r>
          </w:p>
        </w:tc>
        <w:tc>
          <w:tcPr>
            <w:tcW w:w="198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21.0~22.65</w:t>
            </w:r>
          </w:p>
        </w:tc>
        <w:tc>
          <w:tcPr>
            <w:tcW w:w="2561"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未建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8</w:t>
            </w:r>
          </w:p>
        </w:tc>
        <w:tc>
          <w:tcPr>
            <w:tcW w:w="15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王家路</w:t>
            </w:r>
          </w:p>
        </w:tc>
        <w:tc>
          <w:tcPr>
            <w:tcW w:w="1560"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18.05~19.89</w:t>
            </w:r>
          </w:p>
        </w:tc>
        <w:tc>
          <w:tcPr>
            <w:tcW w:w="1984"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19.68~20.0</w:t>
            </w:r>
          </w:p>
        </w:tc>
        <w:tc>
          <w:tcPr>
            <w:tcW w:w="2561"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未建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9</w:t>
            </w:r>
          </w:p>
        </w:tc>
        <w:tc>
          <w:tcPr>
            <w:tcW w:w="1559"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杨家山路</w:t>
            </w:r>
          </w:p>
        </w:tc>
        <w:tc>
          <w:tcPr>
            <w:tcW w:w="1560"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21.7~22.6</w:t>
            </w:r>
          </w:p>
        </w:tc>
        <w:tc>
          <w:tcPr>
            <w:tcW w:w="1984"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21.7~22.6</w:t>
            </w:r>
          </w:p>
        </w:tc>
        <w:tc>
          <w:tcPr>
            <w:tcW w:w="2561"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已建</w:t>
            </w:r>
          </w:p>
        </w:tc>
      </w:tr>
    </w:tbl>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（三）区域内各地块设计高程</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区域内各地块高程根据周边道路设计高程来确定，地块原始高程普遍低于周边道路，地块设计的高程需要回填至高出周边道路0.20m。规划区域各地块设计高程详见表2.1-8。</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表2.1-8：区域评估范围内各地块竖向规划一览表</w:t>
      </w:r>
    </w:p>
    <w:tbl>
      <w:tblPr>
        <w:tblStyle w:val="37"/>
        <w:tblW w:w="8613"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83"/>
        <w:gridCol w:w="2227"/>
        <w:gridCol w:w="1560"/>
        <w:gridCol w:w="1559"/>
        <w:gridCol w:w="198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283"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hint="eastAsia" w:ascii="Times New Roman" w:hAnsi="Times New Roman" w:eastAsia="仿宋_GB2312" w:cs="Times New Roman"/>
                <w:b/>
                <w:color w:val="auto"/>
                <w:kern w:val="0"/>
                <w:sz w:val="21"/>
                <w:szCs w:val="21"/>
              </w:rPr>
              <w:t>地块编号</w:t>
            </w:r>
          </w:p>
        </w:tc>
        <w:tc>
          <w:tcPr>
            <w:tcW w:w="2227" w:type="dxa"/>
            <w:shd w:val="clear" w:color="auto" w:fill="auto"/>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用地类别</w:t>
            </w:r>
          </w:p>
        </w:tc>
        <w:tc>
          <w:tcPr>
            <w:tcW w:w="1560"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hint="eastAsia" w:ascii="Times New Roman" w:hAnsi="Times New Roman" w:eastAsia="仿宋_GB2312" w:cs="Times New Roman"/>
                <w:b/>
                <w:color w:val="auto"/>
                <w:kern w:val="0"/>
                <w:sz w:val="21"/>
                <w:szCs w:val="21"/>
              </w:rPr>
              <w:t>原始</w:t>
            </w:r>
            <w:r>
              <w:rPr>
                <w:rFonts w:ascii="Times New Roman" w:hAnsi="Times New Roman" w:eastAsia="仿宋_GB2312" w:cs="Times New Roman"/>
                <w:b/>
                <w:color w:val="auto"/>
                <w:kern w:val="0"/>
                <w:sz w:val="21"/>
                <w:szCs w:val="21"/>
              </w:rPr>
              <w:t>高程</w:t>
            </w:r>
            <w:r>
              <w:rPr>
                <w:rFonts w:hint="eastAsia" w:ascii="Times New Roman" w:hAnsi="Times New Roman" w:eastAsia="仿宋_GB2312" w:cs="Times New Roman"/>
                <w:b/>
                <w:color w:val="auto"/>
                <w:kern w:val="0"/>
                <w:sz w:val="21"/>
                <w:szCs w:val="21"/>
              </w:rPr>
              <w:t>（m）</w:t>
            </w:r>
          </w:p>
        </w:tc>
        <w:tc>
          <w:tcPr>
            <w:tcW w:w="1559" w:type="dxa"/>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设计高程</w:t>
            </w:r>
            <w:r>
              <w:rPr>
                <w:rFonts w:hint="eastAsia" w:ascii="Times New Roman" w:hAnsi="Times New Roman" w:eastAsia="仿宋_GB2312" w:cs="Times New Roman"/>
                <w:b/>
                <w:color w:val="auto"/>
                <w:kern w:val="0"/>
                <w:sz w:val="21"/>
                <w:szCs w:val="21"/>
              </w:rPr>
              <w:t>（m）</w:t>
            </w:r>
          </w:p>
        </w:tc>
        <w:tc>
          <w:tcPr>
            <w:tcW w:w="1984" w:type="dxa"/>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E01</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56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20.05~20.51</w:t>
            </w:r>
          </w:p>
        </w:tc>
        <w:tc>
          <w:tcPr>
            <w:tcW w:w="1559"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22.2~22.7</w:t>
            </w:r>
          </w:p>
        </w:tc>
        <w:tc>
          <w:tcPr>
            <w:tcW w:w="1984"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E02</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56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19.12~21.14</w:t>
            </w:r>
          </w:p>
        </w:tc>
        <w:tc>
          <w:tcPr>
            <w:tcW w:w="1559"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22.5~22.9</w:t>
            </w:r>
          </w:p>
        </w:tc>
        <w:tc>
          <w:tcPr>
            <w:tcW w:w="1984"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E03</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防护绿地</w:t>
            </w:r>
            <w:r>
              <w:rPr>
                <w:rFonts w:hint="eastAsia" w:ascii="Times New Roman" w:hAnsi="Times New Roman" w:eastAsia="仿宋_GB2312" w:cs="Times New Roman"/>
                <w:color w:val="auto"/>
                <w:kern w:val="0"/>
                <w:sz w:val="21"/>
                <w:szCs w:val="21"/>
              </w:rPr>
              <w:t>（G2）</w:t>
            </w:r>
          </w:p>
        </w:tc>
        <w:tc>
          <w:tcPr>
            <w:tcW w:w="156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18.95~20.06</w:t>
            </w:r>
          </w:p>
        </w:tc>
        <w:tc>
          <w:tcPr>
            <w:tcW w:w="1559"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22.54~22.78</w:t>
            </w:r>
          </w:p>
        </w:tc>
        <w:tc>
          <w:tcPr>
            <w:tcW w:w="1984"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E04</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环卫用地</w:t>
            </w:r>
            <w:r>
              <w:rPr>
                <w:rFonts w:hint="eastAsia" w:ascii="Times New Roman" w:hAnsi="Times New Roman" w:eastAsia="仿宋_GB2312" w:cs="Times New Roman"/>
                <w:color w:val="auto"/>
                <w:kern w:val="0"/>
                <w:sz w:val="21"/>
                <w:szCs w:val="21"/>
              </w:rPr>
              <w:t>（U22）</w:t>
            </w:r>
          </w:p>
        </w:tc>
        <w:tc>
          <w:tcPr>
            <w:tcW w:w="156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18.43~19.64</w:t>
            </w:r>
          </w:p>
        </w:tc>
        <w:tc>
          <w:tcPr>
            <w:tcW w:w="1559"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22.8~23.2</w:t>
            </w:r>
          </w:p>
        </w:tc>
        <w:tc>
          <w:tcPr>
            <w:tcW w:w="1984"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E05</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56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20.28~20.51</w:t>
            </w:r>
          </w:p>
        </w:tc>
        <w:tc>
          <w:tcPr>
            <w:tcW w:w="1559"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20.79~22.75</w:t>
            </w:r>
          </w:p>
        </w:tc>
        <w:tc>
          <w:tcPr>
            <w:tcW w:w="1984"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E06</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56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18.61~21.68</w:t>
            </w:r>
          </w:p>
        </w:tc>
        <w:tc>
          <w:tcPr>
            <w:tcW w:w="1559"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22.8~23.2</w:t>
            </w:r>
          </w:p>
        </w:tc>
        <w:tc>
          <w:tcPr>
            <w:tcW w:w="1984"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E07</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56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20.32~20.62</w:t>
            </w:r>
          </w:p>
        </w:tc>
        <w:tc>
          <w:tcPr>
            <w:tcW w:w="1559"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20.79~22.1</w:t>
            </w:r>
          </w:p>
        </w:tc>
        <w:tc>
          <w:tcPr>
            <w:tcW w:w="1984"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E08</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56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20.61~22.15</w:t>
            </w:r>
          </w:p>
        </w:tc>
        <w:tc>
          <w:tcPr>
            <w:tcW w:w="1559"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21.3~22.6</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已出让</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未平整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E09</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56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eastAsia="仿宋_GB2312" w:cs="Times New Roman"/>
                <w:color w:val="auto"/>
                <w:sz w:val="21"/>
                <w:szCs w:val="21"/>
              </w:rPr>
              <w:t>21.24~22.6</w:t>
            </w:r>
          </w:p>
        </w:tc>
        <w:tc>
          <w:tcPr>
            <w:tcW w:w="1559"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21.74~23.1</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已出让</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已平整</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未编报水保方案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E10</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56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21.2~22.1</w:t>
            </w:r>
          </w:p>
        </w:tc>
        <w:tc>
          <w:tcPr>
            <w:tcW w:w="1559"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cs="Times New Roman"/>
                <w:color w:val="auto"/>
                <w:sz w:val="21"/>
                <w:szCs w:val="21"/>
              </w:rPr>
              <w:t>21.2~22.1</w:t>
            </w:r>
          </w:p>
        </w:tc>
        <w:tc>
          <w:tcPr>
            <w:tcW w:w="1984"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E11</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56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21.25~22.4</w:t>
            </w:r>
          </w:p>
        </w:tc>
        <w:tc>
          <w:tcPr>
            <w:tcW w:w="1559"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cs="Times New Roman"/>
                <w:color w:val="auto"/>
                <w:sz w:val="21"/>
                <w:szCs w:val="21"/>
              </w:rPr>
              <w:t>21.25~22.4</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已出让</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已完工</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未编报水保方案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E12</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56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21.3~21.99</w:t>
            </w:r>
          </w:p>
        </w:tc>
        <w:tc>
          <w:tcPr>
            <w:tcW w:w="1559"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21.35~22.3</w:t>
            </w:r>
          </w:p>
        </w:tc>
        <w:tc>
          <w:tcPr>
            <w:tcW w:w="1984"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E13</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供应设施用地</w:t>
            </w:r>
            <w:r>
              <w:rPr>
                <w:rFonts w:hint="eastAsia" w:ascii="Times New Roman" w:hAnsi="Times New Roman" w:eastAsia="仿宋_GB2312" w:cs="Times New Roman"/>
                <w:color w:val="auto"/>
                <w:kern w:val="0"/>
                <w:sz w:val="21"/>
                <w:szCs w:val="21"/>
              </w:rPr>
              <w:t>（U1）</w:t>
            </w:r>
          </w:p>
        </w:tc>
        <w:tc>
          <w:tcPr>
            <w:tcW w:w="156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21.8~21.96</w:t>
            </w:r>
          </w:p>
        </w:tc>
        <w:tc>
          <w:tcPr>
            <w:tcW w:w="1559"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21.8~22.6</w:t>
            </w:r>
          </w:p>
        </w:tc>
        <w:tc>
          <w:tcPr>
            <w:tcW w:w="1984"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E14</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防护绿地</w:t>
            </w:r>
            <w:r>
              <w:rPr>
                <w:rFonts w:hint="eastAsia" w:ascii="Times New Roman" w:hAnsi="Times New Roman" w:eastAsia="仿宋_GB2312" w:cs="Times New Roman"/>
                <w:color w:val="auto"/>
                <w:kern w:val="0"/>
                <w:sz w:val="21"/>
                <w:szCs w:val="21"/>
              </w:rPr>
              <w:t>（G2）</w:t>
            </w:r>
          </w:p>
        </w:tc>
        <w:tc>
          <w:tcPr>
            <w:tcW w:w="156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21.72~21.86</w:t>
            </w:r>
          </w:p>
        </w:tc>
        <w:tc>
          <w:tcPr>
            <w:tcW w:w="1559"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21.42~22.4</w:t>
            </w:r>
          </w:p>
        </w:tc>
        <w:tc>
          <w:tcPr>
            <w:tcW w:w="1984"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E15</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社会停车场用地</w:t>
            </w:r>
            <w:r>
              <w:rPr>
                <w:rFonts w:hint="eastAsia" w:ascii="Times New Roman" w:hAnsi="Times New Roman" w:eastAsia="仿宋_GB2312" w:cs="Times New Roman"/>
                <w:color w:val="auto"/>
                <w:kern w:val="0"/>
                <w:sz w:val="21"/>
                <w:szCs w:val="21"/>
              </w:rPr>
              <w:t>（S42）</w:t>
            </w:r>
          </w:p>
        </w:tc>
        <w:tc>
          <w:tcPr>
            <w:tcW w:w="156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21.65~21.74</w:t>
            </w:r>
          </w:p>
        </w:tc>
        <w:tc>
          <w:tcPr>
            <w:tcW w:w="1559"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23.0~23.5</w:t>
            </w:r>
          </w:p>
        </w:tc>
        <w:tc>
          <w:tcPr>
            <w:tcW w:w="1984"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E16</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零售商业用地</w:t>
            </w:r>
            <w:r>
              <w:rPr>
                <w:rFonts w:hint="eastAsia" w:ascii="Times New Roman" w:hAnsi="Times New Roman" w:eastAsia="仿宋_GB2312" w:cs="Times New Roman"/>
                <w:color w:val="auto"/>
                <w:kern w:val="0"/>
                <w:sz w:val="21"/>
                <w:szCs w:val="21"/>
              </w:rPr>
              <w:t>（B1）</w:t>
            </w:r>
          </w:p>
        </w:tc>
        <w:tc>
          <w:tcPr>
            <w:tcW w:w="156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20.61~21.64</w:t>
            </w:r>
          </w:p>
        </w:tc>
        <w:tc>
          <w:tcPr>
            <w:tcW w:w="1559"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22.0~23.2</w:t>
            </w:r>
          </w:p>
        </w:tc>
        <w:tc>
          <w:tcPr>
            <w:tcW w:w="1984"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E17</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56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20.24~21.67</w:t>
            </w:r>
          </w:p>
        </w:tc>
        <w:tc>
          <w:tcPr>
            <w:tcW w:w="1559"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22.0</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已出让</w:t>
            </w:r>
            <w:r>
              <w:rPr>
                <w:rFonts w:hint="eastAsia" w:ascii="Times New Roman" w:hAnsi="Times New Roman" w:eastAsia="仿宋_GB2312" w:cs="Times New Roman"/>
                <w:color w:val="auto"/>
                <w:sz w:val="21"/>
                <w:szCs w:val="21"/>
              </w:rPr>
              <w:t>，正在建设，已批复水保方案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E18</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供水工地</w:t>
            </w:r>
            <w:r>
              <w:rPr>
                <w:rFonts w:hint="eastAsia" w:ascii="Times New Roman" w:hAnsi="Times New Roman" w:eastAsia="仿宋_GB2312" w:cs="Times New Roman"/>
                <w:color w:val="auto"/>
                <w:kern w:val="0"/>
                <w:sz w:val="21"/>
                <w:szCs w:val="21"/>
              </w:rPr>
              <w:t>（U11）</w:t>
            </w:r>
          </w:p>
        </w:tc>
        <w:tc>
          <w:tcPr>
            <w:tcW w:w="156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18.13~21.77</w:t>
            </w:r>
          </w:p>
        </w:tc>
        <w:tc>
          <w:tcPr>
            <w:tcW w:w="1559"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21.0~22.9</w:t>
            </w:r>
          </w:p>
        </w:tc>
        <w:tc>
          <w:tcPr>
            <w:tcW w:w="1984"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E19</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56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20.27~22.42</w:t>
            </w:r>
          </w:p>
        </w:tc>
        <w:tc>
          <w:tcPr>
            <w:tcW w:w="1559"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20.77~22.92</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已出让</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已平整</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未编报水保方案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E20</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防护绿地</w:t>
            </w:r>
            <w:r>
              <w:rPr>
                <w:rFonts w:hint="eastAsia" w:ascii="Times New Roman" w:hAnsi="Times New Roman" w:eastAsia="仿宋_GB2312" w:cs="Times New Roman"/>
                <w:color w:val="auto"/>
                <w:kern w:val="0"/>
                <w:sz w:val="21"/>
                <w:szCs w:val="21"/>
              </w:rPr>
              <w:t>（G2）</w:t>
            </w:r>
          </w:p>
        </w:tc>
        <w:tc>
          <w:tcPr>
            <w:tcW w:w="156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18.22~25.94</w:t>
            </w:r>
          </w:p>
        </w:tc>
        <w:tc>
          <w:tcPr>
            <w:tcW w:w="1559"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19.8~25.94</w:t>
            </w:r>
          </w:p>
        </w:tc>
        <w:tc>
          <w:tcPr>
            <w:tcW w:w="1984"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E21</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一类工业用地</w:t>
            </w:r>
            <w:r>
              <w:rPr>
                <w:rFonts w:hint="eastAsia" w:ascii="Times New Roman" w:hAnsi="Times New Roman" w:eastAsia="仿宋_GB2312" w:cs="Times New Roman"/>
                <w:color w:val="auto"/>
                <w:kern w:val="0"/>
                <w:sz w:val="21"/>
                <w:szCs w:val="21"/>
              </w:rPr>
              <w:t>（M1）</w:t>
            </w:r>
          </w:p>
        </w:tc>
        <w:tc>
          <w:tcPr>
            <w:tcW w:w="156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18.45~21.9</w:t>
            </w:r>
          </w:p>
        </w:tc>
        <w:tc>
          <w:tcPr>
            <w:tcW w:w="1559"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21.7</w:t>
            </w:r>
          </w:p>
        </w:tc>
        <w:tc>
          <w:tcPr>
            <w:tcW w:w="1984" w:type="dxa"/>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已出让</w:t>
            </w:r>
            <w:r>
              <w:rPr>
                <w:rFonts w:hint="eastAsia" w:ascii="Times New Roman" w:hAnsi="Times New Roman" w:eastAsia="仿宋_GB2312" w:cs="Times New Roman"/>
                <w:color w:val="auto"/>
                <w:sz w:val="21"/>
                <w:szCs w:val="21"/>
              </w:rPr>
              <w:t>，正在建设，已批复水保方案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E22</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防护绿地</w:t>
            </w:r>
            <w:r>
              <w:rPr>
                <w:rFonts w:hint="eastAsia" w:ascii="Times New Roman" w:hAnsi="Times New Roman" w:eastAsia="仿宋_GB2312" w:cs="Times New Roman"/>
                <w:color w:val="auto"/>
                <w:kern w:val="0"/>
                <w:sz w:val="21"/>
                <w:szCs w:val="21"/>
              </w:rPr>
              <w:t>（G2）</w:t>
            </w:r>
          </w:p>
        </w:tc>
        <w:tc>
          <w:tcPr>
            <w:tcW w:w="156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18.67~24.17</w:t>
            </w:r>
          </w:p>
        </w:tc>
        <w:tc>
          <w:tcPr>
            <w:tcW w:w="1559"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19.54~24.17</w:t>
            </w:r>
          </w:p>
        </w:tc>
        <w:tc>
          <w:tcPr>
            <w:tcW w:w="1984" w:type="dxa"/>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F08</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公园绿地</w:t>
            </w:r>
            <w:r>
              <w:rPr>
                <w:rFonts w:hint="eastAsia" w:ascii="Times New Roman" w:hAnsi="Times New Roman" w:eastAsia="仿宋_GB2312" w:cs="Times New Roman"/>
                <w:color w:val="auto"/>
                <w:kern w:val="0"/>
                <w:sz w:val="21"/>
                <w:szCs w:val="21"/>
              </w:rPr>
              <w:t>（G1）</w:t>
            </w:r>
          </w:p>
        </w:tc>
        <w:tc>
          <w:tcPr>
            <w:tcW w:w="1560"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19.67~23.40</w:t>
            </w:r>
          </w:p>
        </w:tc>
        <w:tc>
          <w:tcPr>
            <w:tcW w:w="1559"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20.97~22.32</w:t>
            </w:r>
          </w:p>
        </w:tc>
        <w:tc>
          <w:tcPr>
            <w:tcW w:w="1984" w:type="dxa"/>
            <w:vAlign w:val="center"/>
          </w:tcPr>
          <w:p>
            <w:pPr>
              <w:widowControl/>
              <w:jc w:val="center"/>
              <w:rPr>
                <w:rFonts w:ascii="Times New Roman" w:hAnsi="Times New Roman" w:eastAsia="仿宋_GB2312"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F14</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公园绿地（G1）</w:t>
            </w:r>
          </w:p>
        </w:tc>
        <w:tc>
          <w:tcPr>
            <w:tcW w:w="1560"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20.95~23.08</w:t>
            </w:r>
          </w:p>
        </w:tc>
        <w:tc>
          <w:tcPr>
            <w:tcW w:w="1559"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21.26~22.4</w:t>
            </w:r>
          </w:p>
        </w:tc>
        <w:tc>
          <w:tcPr>
            <w:tcW w:w="1984" w:type="dxa"/>
            <w:vAlign w:val="center"/>
          </w:tcPr>
          <w:p>
            <w:pPr>
              <w:widowControl/>
              <w:jc w:val="center"/>
              <w:rPr>
                <w:rFonts w:ascii="Times New Roman" w:hAnsi="Times New Roman" w:eastAsia="仿宋_GB2312"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83"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F18</w:t>
            </w:r>
          </w:p>
        </w:tc>
        <w:tc>
          <w:tcPr>
            <w:tcW w:w="222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防护绿地</w:t>
            </w:r>
            <w:r>
              <w:rPr>
                <w:rFonts w:hint="eastAsia" w:ascii="Times New Roman" w:hAnsi="Times New Roman" w:eastAsia="仿宋_GB2312" w:cs="Times New Roman"/>
                <w:color w:val="auto"/>
                <w:kern w:val="0"/>
                <w:sz w:val="21"/>
                <w:szCs w:val="21"/>
              </w:rPr>
              <w:t>（G2）</w:t>
            </w:r>
          </w:p>
        </w:tc>
        <w:tc>
          <w:tcPr>
            <w:tcW w:w="1560"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21.21~22.72</w:t>
            </w:r>
          </w:p>
        </w:tc>
        <w:tc>
          <w:tcPr>
            <w:tcW w:w="1559"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21.54~24.82</w:t>
            </w:r>
          </w:p>
        </w:tc>
        <w:tc>
          <w:tcPr>
            <w:tcW w:w="1984" w:type="dxa"/>
            <w:vAlign w:val="center"/>
          </w:tcPr>
          <w:p>
            <w:pPr>
              <w:widowControl/>
              <w:jc w:val="center"/>
              <w:rPr>
                <w:rFonts w:ascii="Times New Roman" w:hAnsi="Times New Roman" w:eastAsia="仿宋_GB2312" w:cs="Times New Roman"/>
                <w:color w:val="auto"/>
                <w:kern w:val="0"/>
                <w:sz w:val="21"/>
                <w:szCs w:val="21"/>
              </w:rPr>
            </w:pPr>
          </w:p>
        </w:tc>
      </w:tr>
      <w:bookmarkEnd w:id="152"/>
    </w:tbl>
    <w:p>
      <w:pPr>
        <w:pStyle w:val="6"/>
        <w:rPr>
          <w:rFonts w:eastAsia="仿宋_GB2312"/>
          <w:bCs w:val="0"/>
          <w:color w:val="auto"/>
          <w:szCs w:val="30"/>
        </w:rPr>
      </w:pPr>
      <w:bookmarkStart w:id="153" w:name="_Toc21779"/>
      <w:r>
        <w:rPr>
          <w:rFonts w:eastAsia="仿宋_GB2312"/>
          <w:bCs w:val="0"/>
          <w:color w:val="auto"/>
          <w:szCs w:val="30"/>
        </w:rPr>
        <w:t>2.1.</w:t>
      </w:r>
      <w:r>
        <w:rPr>
          <w:rFonts w:hint="eastAsia" w:eastAsia="仿宋_GB2312"/>
          <w:bCs w:val="0"/>
          <w:color w:val="auto"/>
          <w:szCs w:val="30"/>
        </w:rPr>
        <w:t>4市政</w:t>
      </w:r>
      <w:r>
        <w:rPr>
          <w:rFonts w:eastAsia="仿宋_GB2312"/>
          <w:bCs w:val="0"/>
          <w:color w:val="auto"/>
          <w:szCs w:val="30"/>
        </w:rPr>
        <w:t>设施</w:t>
      </w:r>
    </w:p>
    <w:p>
      <w:pPr>
        <w:pStyle w:val="7"/>
        <w:spacing w:line="360" w:lineRule="auto"/>
        <w:rPr>
          <w:rFonts w:eastAsia="仿宋_GB2312"/>
          <w:color w:val="auto"/>
          <w:sz w:val="28"/>
          <w:szCs w:val="28"/>
        </w:rPr>
      </w:pPr>
      <w:r>
        <w:rPr>
          <w:rFonts w:eastAsia="仿宋_GB2312"/>
          <w:color w:val="auto"/>
          <w:sz w:val="28"/>
          <w:szCs w:val="28"/>
        </w:rPr>
        <w:t>2.1.</w:t>
      </w:r>
      <w:r>
        <w:rPr>
          <w:rFonts w:hint="eastAsia" w:eastAsia="仿宋_GB2312"/>
          <w:color w:val="auto"/>
          <w:sz w:val="28"/>
          <w:szCs w:val="28"/>
        </w:rPr>
        <w:t>4</w:t>
      </w:r>
      <w:r>
        <w:rPr>
          <w:rFonts w:eastAsia="仿宋_GB2312"/>
          <w:color w:val="auto"/>
          <w:sz w:val="28"/>
          <w:szCs w:val="28"/>
        </w:rPr>
        <w:t>.</w:t>
      </w:r>
      <w:r>
        <w:rPr>
          <w:rFonts w:hint="eastAsia" w:eastAsia="仿宋_GB2312"/>
          <w:color w:val="auto"/>
          <w:sz w:val="28"/>
          <w:szCs w:val="28"/>
        </w:rPr>
        <w:t>1供水工程规划</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（1）给水现状</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现状区域规划范围内无水厂，周边有沿谢佛路的一根DN800供水管，有沿经十八路北段和杨家山路的DN200~DN300的配水管。</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（2）给水规划</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在规划区域内E18地块新建一座自来水厂，并沿规划区域内道路沿线布置供水给水管线，供水给水管线采用DN200~DN300的配水谷和DN800的供水管。</w:t>
      </w:r>
    </w:p>
    <w:p>
      <w:pPr>
        <w:widowControl/>
        <w:snapToGrid w:val="0"/>
        <w:spacing w:line="360" w:lineRule="auto"/>
        <w:ind w:firstLine="480" w:firstLineChars="200"/>
        <w:jc w:val="left"/>
        <w:rPr>
          <w:rFonts w:ascii="Times New Roman" w:hAnsi="Times New Roman" w:eastAsia="仿宋_GB2312" w:cs="Times New Roman"/>
          <w:color w:val="auto"/>
          <w:szCs w:val="24"/>
          <w:lang w:val="zh-CN"/>
        </w:rPr>
      </w:pPr>
      <w:r>
        <w:rPr>
          <w:rFonts w:hint="eastAsia" w:ascii="Times New Roman" w:hAnsi="Times New Roman" w:eastAsia="仿宋_GB2312" w:cs="Times New Roman"/>
          <w:color w:val="auto"/>
          <w:szCs w:val="24"/>
        </w:rPr>
        <w:t>①</w:t>
      </w:r>
      <w:r>
        <w:rPr>
          <w:rFonts w:hint="eastAsia" w:ascii="Times New Roman" w:hAnsi="Times New Roman" w:eastAsia="仿宋_GB2312" w:cs="Times New Roman"/>
          <w:color w:val="auto"/>
          <w:szCs w:val="24"/>
          <w:lang w:val="zh-CN"/>
        </w:rPr>
        <w:t>用水量预测</w:t>
      </w:r>
    </w:p>
    <w:p>
      <w:pPr>
        <w:widowControl/>
        <w:snapToGrid w:val="0"/>
        <w:spacing w:line="360" w:lineRule="auto"/>
        <w:ind w:firstLine="480" w:firstLineChars="200"/>
        <w:jc w:val="left"/>
        <w:rPr>
          <w:rFonts w:ascii="Times New Roman" w:hAnsi="Times New Roman" w:eastAsia="仿宋_GB2312" w:cs="Times New Roman"/>
          <w:color w:val="auto"/>
          <w:szCs w:val="24"/>
          <w:lang w:val="zh-CN"/>
        </w:rPr>
      </w:pPr>
      <w:r>
        <w:rPr>
          <w:rFonts w:hint="eastAsia" w:ascii="Times New Roman" w:hAnsi="Times New Roman" w:eastAsia="仿宋_GB2312" w:cs="Times New Roman"/>
          <w:color w:val="auto"/>
          <w:szCs w:val="24"/>
          <w:lang w:val="zh-CN"/>
        </w:rPr>
        <w:t>根据《城市给水工程规划规范》(GB50282-2016)，本次用水量预测采用不同性质用地用水量指标进行预测，考虑到工业园区实际用水情况，参考一些关于工业用水指标研究的论文，考虑工业用水75%的回用率，对规范中工业的用水指标进行调整，具体计算如下。</w:t>
      </w:r>
    </w:p>
    <w:p>
      <w:pPr>
        <w:keepNext w:val="0"/>
        <w:keepLines w:val="0"/>
        <w:pageBreakBefore w:val="0"/>
        <w:widowControl/>
        <w:kinsoku/>
        <w:wordWrap/>
        <w:overflowPunct/>
        <w:topLinePunct w:val="0"/>
        <w:autoSpaceDE/>
        <w:autoSpaceDN/>
        <w:bidi w:val="0"/>
        <w:adjustRightInd/>
        <w:snapToGrid w:val="0"/>
        <w:spacing w:line="360" w:lineRule="auto"/>
        <w:jc w:val="center"/>
        <w:textAlignment w:val="auto"/>
        <w:rPr>
          <w:rFonts w:ascii="Times New Roman" w:hAnsi="Times New Roman" w:eastAsia="仿宋_GB2312" w:cs="Times New Roman"/>
          <w:b/>
          <w:bCs/>
          <w:color w:val="auto"/>
          <w:szCs w:val="24"/>
        </w:rPr>
      </w:pPr>
      <w:r>
        <w:rPr>
          <w:rFonts w:hint="eastAsia" w:ascii="Times New Roman" w:hAnsi="Times New Roman" w:eastAsia="仿宋_GB2312" w:cs="Times New Roman"/>
          <w:b/>
          <w:bCs/>
          <w:color w:val="auto"/>
          <w:szCs w:val="24"/>
        </w:rPr>
        <w:t>表2.1-9：规划区用水量预测一览表</w:t>
      </w:r>
    </w:p>
    <w:tbl>
      <w:tblPr>
        <w:tblStyle w:val="3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06"/>
        <w:gridCol w:w="2106"/>
        <w:gridCol w:w="1813"/>
        <w:gridCol w:w="12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用水项目</w:t>
            </w:r>
          </w:p>
        </w:tc>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定额 (m</w:t>
            </w:r>
            <w:r>
              <w:rPr>
                <w:rFonts w:ascii="Times New Roman" w:hAnsi="Times New Roman" w:eastAsia="仿宋_GB2312" w:cs="Times New Roman"/>
                <w:color w:val="auto"/>
                <w:sz w:val="21"/>
                <w:szCs w:val="21"/>
                <w:vertAlign w:val="superscript"/>
              </w:rPr>
              <w:t>3</w:t>
            </w:r>
            <w:r>
              <w:rPr>
                <w:rFonts w:ascii="Times New Roman" w:hAnsi="Times New Roman" w:eastAsia="仿宋_GB2312" w:cs="Times New Roman"/>
                <w:color w:val="auto"/>
                <w:sz w:val="21"/>
                <w:szCs w:val="21"/>
              </w:rPr>
              <w:t>/ha·d)</w:t>
            </w:r>
          </w:p>
        </w:tc>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用地面积（hm</w:t>
            </w:r>
            <w:r>
              <w:rPr>
                <w:rFonts w:ascii="Times New Roman" w:hAnsi="Times New Roman" w:eastAsia="仿宋_GB2312" w:cs="Times New Roman"/>
                <w:color w:val="auto"/>
                <w:sz w:val="21"/>
                <w:szCs w:val="21"/>
                <w:vertAlign w:val="superscript"/>
              </w:rPr>
              <w:t>2</w:t>
            </w:r>
            <w:r>
              <w:rPr>
                <w:rFonts w:ascii="Times New Roman" w:hAnsi="Times New Roman" w:eastAsia="仿宋_GB2312" w:cs="Times New Roman"/>
                <w:color w:val="auto"/>
                <w:sz w:val="21"/>
                <w:szCs w:val="21"/>
              </w:rPr>
              <w:t>）</w:t>
            </w:r>
          </w:p>
        </w:tc>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用水量m</w:t>
            </w:r>
            <w:r>
              <w:rPr>
                <w:rFonts w:ascii="Times New Roman" w:hAnsi="Times New Roman" w:eastAsia="仿宋_GB2312" w:cs="Times New Roman"/>
                <w:color w:val="auto"/>
                <w:sz w:val="21"/>
                <w:szCs w:val="21"/>
                <w:vertAlign w:val="superscript"/>
              </w:rPr>
              <w:t>3</w:t>
            </w:r>
            <w:r>
              <w:rPr>
                <w:rFonts w:ascii="Times New Roman" w:hAnsi="Times New Roman" w:eastAsia="仿宋_GB2312" w:cs="Times New Roman"/>
                <w:color w:val="auto"/>
                <w:sz w:val="21"/>
                <w:szCs w:val="21"/>
              </w:rPr>
              <w:t>/d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商业用地</w:t>
            </w:r>
          </w:p>
        </w:tc>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50</w:t>
            </w:r>
          </w:p>
        </w:tc>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1.56</w:t>
            </w:r>
          </w:p>
        </w:tc>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道路与交通设施用地</w:t>
            </w:r>
          </w:p>
        </w:tc>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20</w:t>
            </w:r>
          </w:p>
        </w:tc>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10.36</w:t>
            </w:r>
          </w:p>
        </w:tc>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207.2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工业用地</w:t>
            </w:r>
          </w:p>
        </w:tc>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50（已考虑回用率）</w:t>
            </w:r>
          </w:p>
        </w:tc>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53.9</w:t>
            </w:r>
          </w:p>
        </w:tc>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2695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公用设施用地</w:t>
            </w:r>
          </w:p>
        </w:tc>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25</w:t>
            </w:r>
          </w:p>
        </w:tc>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12.87</w:t>
            </w:r>
          </w:p>
        </w:tc>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321.75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绿地</w:t>
            </w:r>
          </w:p>
        </w:tc>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10</w:t>
            </w:r>
          </w:p>
        </w:tc>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21.31</w:t>
            </w:r>
          </w:p>
        </w:tc>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213.1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5" w:hRule="atLeast"/>
          <w:jc w:val="center"/>
        </w:trPr>
        <w:tc>
          <w:tcPr>
            <w:tcW w:w="0" w:type="auto"/>
            <w:gridSpan w:val="2"/>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合计</w:t>
            </w:r>
          </w:p>
        </w:tc>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100</w:t>
            </w:r>
          </w:p>
        </w:tc>
        <w:tc>
          <w:tcPr>
            <w:tcW w:w="0" w:type="auto"/>
            <w:tcBorders>
              <w:tl2br w:val="nil"/>
              <w:tr2bl w:val="nil"/>
            </w:tcBorders>
            <w:noWrap/>
            <w:vAlign w:val="center"/>
          </w:tcPr>
          <w:p>
            <w:pPr>
              <w:widowControl/>
              <w:snapToGrid w:val="0"/>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3515.05</w:t>
            </w:r>
          </w:p>
        </w:tc>
      </w:tr>
    </w:tbl>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lang w:val="zh-CN"/>
        </w:rPr>
        <w:t>规划区域最高日用水量为3515.05m</w:t>
      </w:r>
      <w:r>
        <w:rPr>
          <w:rFonts w:hint="eastAsia" w:ascii="Times New Roman" w:hAnsi="Times New Roman" w:eastAsia="仿宋_GB2312" w:cs="Times New Roman"/>
          <w:color w:val="auto"/>
          <w:szCs w:val="24"/>
          <w:vertAlign w:val="superscript"/>
          <w:lang w:val="zh-CN"/>
        </w:rPr>
        <w:t>3</w:t>
      </w:r>
      <w:r>
        <w:rPr>
          <w:rFonts w:hint="eastAsia" w:ascii="Times New Roman" w:hAnsi="Times New Roman" w:eastAsia="仿宋_GB2312" w:cs="Times New Roman"/>
          <w:color w:val="auto"/>
          <w:szCs w:val="24"/>
          <w:lang w:val="zh-CN"/>
        </w:rPr>
        <w:t>/d，取3600m</w:t>
      </w:r>
      <w:r>
        <w:rPr>
          <w:rFonts w:hint="eastAsia" w:ascii="Times New Roman" w:hAnsi="Times New Roman" w:eastAsia="仿宋_GB2312" w:cs="Times New Roman"/>
          <w:color w:val="auto"/>
          <w:szCs w:val="24"/>
          <w:vertAlign w:val="superscript"/>
          <w:lang w:val="zh-CN"/>
        </w:rPr>
        <w:t>3</w:t>
      </w:r>
      <w:r>
        <w:rPr>
          <w:rFonts w:hint="eastAsia" w:ascii="Times New Roman" w:hAnsi="Times New Roman" w:eastAsia="仿宋_GB2312" w:cs="Times New Roman"/>
          <w:color w:val="auto"/>
          <w:szCs w:val="24"/>
          <w:lang w:val="zh-CN"/>
        </w:rPr>
        <w:t>/d。</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②水源及供水系统</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根据上位的</w:t>
      </w:r>
      <w:r>
        <w:rPr>
          <w:rFonts w:hint="eastAsia" w:ascii="Times New Roman" w:hAnsi="Times New Roman" w:eastAsia="仿宋_GB2312" w:cs="Times New Roman"/>
          <w:color w:val="auto"/>
          <w:szCs w:val="24"/>
        </w:rPr>
        <w:t>南昌市高铁东站周边地区规划</w:t>
      </w:r>
      <w:r>
        <w:rPr>
          <w:rFonts w:hint="eastAsia" w:ascii="Times New Roman" w:hAnsi="Times New Roman" w:eastAsia="仿宋_GB2312" w:cs="Times New Roman"/>
          <w:color w:val="auto"/>
          <w:szCs w:val="24"/>
        </w:rPr>
        <w:t>，本规划区近期工业用水、浇洒道路、绿化用水、公用设施用水等来自已建的给水管网，水源来自青云水厂（现状60万t/d，规划60万t/d），建成后全部由E18地块的新建城东自来水厂自赣江取水供给规划区域内各地块用水（规划规模20万t/d）。随着规划区道路与周边各道路的贯通，规划区给水管网与周边给水管网充分对接相连接成环路。在室外给水管道上设置消火栓，消火栓之间距离不得大于120m。为维持管网水压均衡，减小爆管机率，配水管网中自由水压原则上不超过0.55MPa。</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规划生产、生活采用独立的给水系统。为保证供水安全性和经济性，区内的生活给水干管采用环状方式布置，支管采取树枝状布置，详见给水工程规划图。规划要求水厂出水水质及管道水质应符合现行的《生活饮用水卫生标准》。</w:t>
      </w:r>
    </w:p>
    <w:p>
      <w:pPr>
        <w:adjustRightInd w:val="0"/>
        <w:snapToGrid w:val="0"/>
        <w:spacing w:line="360" w:lineRule="auto"/>
        <w:jc w:val="center"/>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drawing>
          <wp:inline distT="0" distB="0" distL="0" distR="0">
            <wp:extent cx="4739005" cy="2671445"/>
            <wp:effectExtent l="19050" t="0" r="4445" b="0"/>
            <wp:docPr id="23" name="图片 21" descr="C:\Users\Administrator\AppData\Local\Microsoft\Windows\INetCache\Content.Word\给水规划-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1" descr="C:\Users\Administrator\AppData\Local\Microsoft\Windows\INetCache\Content.Word\给水规划-Model.jpg"/>
                    <pic:cNvPicPr>
                      <a:picLocks noChangeAspect="1" noChangeArrowheads="1"/>
                    </pic:cNvPicPr>
                  </pic:nvPicPr>
                  <pic:blipFill>
                    <a:blip r:embed="rId73"/>
                    <a:srcRect/>
                    <a:stretch>
                      <a:fillRect/>
                    </a:stretch>
                  </pic:blipFill>
                  <pic:spPr>
                    <a:xfrm>
                      <a:off x="0" y="0"/>
                      <a:ext cx="4739005" cy="2671445"/>
                    </a:xfrm>
                    <a:prstGeom prst="rect">
                      <a:avLst/>
                    </a:prstGeom>
                    <a:noFill/>
                    <a:ln w="9525">
                      <a:noFill/>
                      <a:miter lim="800000"/>
                      <a:headEnd/>
                      <a:tailEnd/>
                    </a:ln>
                  </pic:spPr>
                </pic:pic>
              </a:graphicData>
            </a:graphic>
          </wp:inline>
        </w:drawing>
      </w:r>
    </w:p>
    <w:p>
      <w:pPr>
        <w:adjustRightInd w:val="0"/>
        <w:snapToGrid w:val="0"/>
        <w:spacing w:line="360" w:lineRule="auto"/>
        <w:jc w:val="center"/>
        <w:rPr>
          <w:rFonts w:ascii="Times New Roman" w:hAnsi="Times New Roman" w:eastAsia="仿宋_GB2312" w:cs="Times New Roman"/>
          <w:color w:val="auto"/>
          <w:szCs w:val="24"/>
        </w:rPr>
      </w:pPr>
      <w:r>
        <w:rPr>
          <w:rFonts w:hint="eastAsia" w:ascii="Times New Roman" w:hAnsi="Times New Roman" w:eastAsia="仿宋_GB2312" w:cs="Times New Roman"/>
          <w:b/>
          <w:color w:val="auto"/>
          <w:szCs w:val="24"/>
        </w:rPr>
        <w:t>图2.1-14：规划区域给水规划图</w:t>
      </w:r>
    </w:p>
    <w:p>
      <w:pPr>
        <w:pStyle w:val="7"/>
        <w:spacing w:line="360" w:lineRule="auto"/>
        <w:rPr>
          <w:rFonts w:eastAsia="仿宋_GB2312"/>
          <w:color w:val="auto"/>
          <w:sz w:val="28"/>
          <w:szCs w:val="28"/>
        </w:rPr>
      </w:pPr>
      <w:r>
        <w:rPr>
          <w:rFonts w:eastAsia="仿宋_GB2312"/>
          <w:color w:val="auto"/>
          <w:sz w:val="28"/>
          <w:szCs w:val="28"/>
        </w:rPr>
        <w:t>2.1.</w:t>
      </w:r>
      <w:r>
        <w:rPr>
          <w:rFonts w:hint="eastAsia" w:eastAsia="仿宋_GB2312"/>
          <w:color w:val="auto"/>
          <w:sz w:val="28"/>
          <w:szCs w:val="28"/>
        </w:rPr>
        <w:t>4</w:t>
      </w:r>
      <w:r>
        <w:rPr>
          <w:rFonts w:eastAsia="仿宋_GB2312"/>
          <w:color w:val="auto"/>
          <w:sz w:val="28"/>
          <w:szCs w:val="28"/>
        </w:rPr>
        <w:t>.</w:t>
      </w:r>
      <w:r>
        <w:rPr>
          <w:rFonts w:hint="eastAsia" w:eastAsia="仿宋_GB2312"/>
          <w:color w:val="auto"/>
          <w:sz w:val="28"/>
          <w:szCs w:val="28"/>
        </w:rPr>
        <w:t>2排水工程规划</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（1）排水现状</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除已建成的经十八路北段和杨家山路布置有雨水和污水管线，规划区域内雨水和污水均为自流排放进周边水系或区域内水塘内，最终流入西总干渠及抚河。</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已建成的经十八路北段雨水管线起点位于道路与嵩氨路交叉口处，采用DN1200雨水管自北向南排入杨家山路雨水管网中；污水管线起点位于道路与嵩氨路交叉口处，采用DN500污水管自南向北排入谢佛路污水管网中，近期排入周边抚河湿地，远期排入赵坊村新建的城东污水处理厂。已建成的杨家山路雨水管线起于西总干渠附近，采用B×H=5500×2000和B×H=6000×2000的雨水箱涵由西向东排入区域东侧坂溪湖（现为抚河湿地）；污水管线起于西总干渠附近，近期DN500污水管由西向东排入区域东侧坂溪湖（现为抚河湿地），远期排入赵坊村新建的城东污水处理厂。</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（2）排水规划原则</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采用雨污分流的方式进行排放，充分利用“分散、就近、自流”的原则，充分利用地形，合理进行排水分区。</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①雨水规划</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雨水计算采用南昌地区暴雨强度公式：Q=1598(1+0.69lgp)/(t+1.5)</w:t>
      </w:r>
      <w:r>
        <w:rPr>
          <w:rFonts w:hint="eastAsia" w:ascii="Times New Roman" w:hAnsi="Times New Roman" w:eastAsia="仿宋_GB2312" w:cs="Times New Roman"/>
          <w:color w:val="auto"/>
          <w:szCs w:val="24"/>
          <w:vertAlign w:val="superscript"/>
        </w:rPr>
        <w:t>0.64</w:t>
      </w:r>
      <w:r>
        <w:rPr>
          <w:rFonts w:hint="eastAsia" w:ascii="Times New Roman" w:hAnsi="Times New Roman" w:eastAsia="仿宋_GB2312" w:cs="Times New Roman"/>
          <w:color w:val="auto"/>
          <w:szCs w:val="24"/>
        </w:rPr>
        <w:t>L/s·ha</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雨水量计算</w:t>
      </w:r>
      <w:r>
        <w:rPr>
          <w:rFonts w:ascii="Times New Roman" w:hAnsi="Times New Roman" w:eastAsia="仿宋_GB2312" w:cs="Times New Roman"/>
          <w:color w:val="auto"/>
          <w:szCs w:val="24"/>
        </w:rPr>
        <w:t>Q=ψ×F×q</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式中：</w:t>
      </w:r>
      <w:r>
        <w:rPr>
          <w:rFonts w:ascii="Times New Roman" w:hAnsi="Times New Roman" w:eastAsia="仿宋_GB2312" w:cs="Times New Roman"/>
          <w:color w:val="auto"/>
          <w:szCs w:val="24"/>
        </w:rPr>
        <w:t>ψ-</w:t>
      </w:r>
      <w:r>
        <w:rPr>
          <w:rFonts w:hint="eastAsia" w:ascii="Times New Roman" w:hAnsi="Times New Roman" w:eastAsia="仿宋_GB2312" w:cs="Times New Roman"/>
          <w:color w:val="auto"/>
          <w:szCs w:val="24"/>
        </w:rPr>
        <w:t>径流系数，q-设计暴雨强度（L/s·ha），F-汇水面积（ha），P-设计重现期（a），t-降雨历时（min）。</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其中：选用主干管重现期：P=2-3a，径流系数</w:t>
      </w:r>
      <w:r>
        <w:rPr>
          <w:rFonts w:ascii="Times New Roman" w:hAnsi="Times New Roman" w:eastAsia="仿宋_GB2312" w:cs="Times New Roman"/>
          <w:color w:val="auto"/>
          <w:szCs w:val="24"/>
        </w:rPr>
        <w:t>ψ=</w:t>
      </w:r>
      <w:r>
        <w:rPr>
          <w:rFonts w:hint="eastAsia" w:ascii="Times New Roman" w:hAnsi="Times New Roman" w:eastAsia="仿宋_GB2312" w:cs="Times New Roman"/>
          <w:color w:val="auto"/>
          <w:szCs w:val="24"/>
        </w:rPr>
        <w:t>0.55~0.70。</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②雨水管网布置</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规划区域内整体地势较为平整，规划充分结合现状已建成雨水排水管线。</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在尤氨公路的谢佛路至杨家山路段规划两条由北向南雨水管线，分别为DN1000（道路中心线西侧）和DN1200（道路中心线东侧）雨水管线，排入现状杨家山路雨水箱涵；梧岗南路至杨家山路段的尤氨公路规划两条由南向北雨水管线，分别为DN800（道路中心线西侧）和DN1200（道路中心线东侧）雨水管线，排入现状杨家山路雨水箱涵。在经十六路规划有一条由北向南的DN1500雨水排水管，收集的区域雨水排入杨家山路雨水箱涵。在王家路规划有一条由西向东的DN1800雨水管线，收集的区域雨水排入规划区域外王家路雨水管。其余区域充分利用现有周边道路（诸如谢佛路、南嵩路）和区域内已建设完成的市政雨水管网排水。</w:t>
      </w:r>
    </w:p>
    <w:p>
      <w:pPr>
        <w:adjustRightInd w:val="0"/>
        <w:snapToGrid w:val="0"/>
        <w:jc w:val="center"/>
        <w:rPr>
          <w:rFonts w:ascii="Times New Roman" w:hAnsi="Times New Roman" w:eastAsia="仿宋_GB2312" w:cs="Times New Roman"/>
          <w:b/>
          <w:color w:val="auto"/>
          <w:szCs w:val="24"/>
        </w:rPr>
      </w:pPr>
      <w:r>
        <w:rPr>
          <w:rFonts w:ascii="Times New Roman" w:hAnsi="Times New Roman" w:eastAsia="仿宋_GB2312" w:cs="Times New Roman"/>
          <w:b/>
          <w:color w:val="auto"/>
          <w:szCs w:val="24"/>
        </w:rPr>
        <w:drawing>
          <wp:inline distT="0" distB="0" distL="0" distR="0">
            <wp:extent cx="4648200" cy="2838450"/>
            <wp:effectExtent l="19050" t="0" r="0" b="0"/>
            <wp:docPr id="12" name="图片 7" descr="C:\Users\Administrator\AppData\Local\Microsoft\Windows\INetCache\Content.Word\雨规划-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descr="C:\Users\Administrator\AppData\Local\Microsoft\Windows\INetCache\Content.Word\雨规划-Model.jpg"/>
                    <pic:cNvPicPr>
                      <a:picLocks noChangeAspect="1" noChangeArrowheads="1"/>
                    </pic:cNvPicPr>
                  </pic:nvPicPr>
                  <pic:blipFill>
                    <a:blip r:embed="rId74"/>
                    <a:srcRect/>
                    <a:stretch>
                      <a:fillRect/>
                    </a:stretch>
                  </pic:blipFill>
                  <pic:spPr>
                    <a:xfrm>
                      <a:off x="0" y="0"/>
                      <a:ext cx="4646573" cy="2837702"/>
                    </a:xfrm>
                    <a:prstGeom prst="rect">
                      <a:avLst/>
                    </a:prstGeom>
                    <a:noFill/>
                    <a:ln w="9525">
                      <a:noFill/>
                      <a:miter lim="800000"/>
                      <a:headEnd/>
                      <a:tailEnd/>
                    </a:ln>
                  </pic:spPr>
                </pic:pic>
              </a:graphicData>
            </a:graphic>
          </wp:inline>
        </w:drawing>
      </w:r>
    </w:p>
    <w:p>
      <w:pPr>
        <w:adjustRightInd w:val="0"/>
        <w:snapToGrid w:val="0"/>
        <w:jc w:val="center"/>
        <w:rPr>
          <w:rFonts w:ascii="Times New Roman" w:hAnsi="Times New Roman" w:eastAsia="仿宋_GB2312" w:cs="Times New Roman"/>
          <w:color w:val="auto"/>
          <w:szCs w:val="24"/>
        </w:rPr>
      </w:pPr>
      <w:r>
        <w:rPr>
          <w:rFonts w:hint="eastAsia" w:ascii="Times New Roman" w:hAnsi="Times New Roman" w:eastAsia="仿宋_GB2312" w:cs="Times New Roman"/>
          <w:b/>
          <w:color w:val="auto"/>
          <w:szCs w:val="24"/>
        </w:rPr>
        <w:t>图2.1-15：规划区域雨水排水规划图</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③污水规划</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规划区域内最高日自来水厂供应量为3600m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/d，日变化系数为1.3，则平均日用水量为2769.23m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/d，污水排放系数为0.75，则规划区污水量为2076.92t/d。</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④污水管网布置</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规划污水管道优先沿道路铺设，近期排入就近水系，远期接至规划城东污水处理厂进行处理。在E21地块内规划一条由南向北的DN500污水管，排入现状杨家山路污水管道。在经十六路规划一条由南向北的DN300污水管，排入现状谢佛路污水管道。其余区域充分利用现有周边道路（诸如谢佛路、南嵩路）和区域内已建设完成的市政污水管网排水。</w:t>
      </w:r>
    </w:p>
    <w:p>
      <w:pPr>
        <w:adjustRightInd w:val="0"/>
        <w:snapToGrid w:val="0"/>
        <w:jc w:val="center"/>
        <w:rPr>
          <w:rFonts w:ascii="Times New Roman" w:hAnsi="Times New Roman" w:eastAsia="仿宋_GB2312" w:cs="Times New Roman"/>
          <w:b/>
          <w:color w:val="auto"/>
          <w:szCs w:val="24"/>
        </w:rPr>
      </w:pPr>
      <w:r>
        <w:rPr>
          <w:rFonts w:ascii="Times New Roman" w:hAnsi="Times New Roman" w:eastAsia="仿宋_GB2312" w:cs="Times New Roman"/>
          <w:b/>
          <w:color w:val="auto"/>
          <w:szCs w:val="24"/>
        </w:rPr>
        <w:drawing>
          <wp:inline distT="0" distB="0" distL="0" distR="0">
            <wp:extent cx="4063365" cy="2921635"/>
            <wp:effectExtent l="19050" t="0" r="0" b="0"/>
            <wp:docPr id="17" name="图片 11" descr="C:\Users\Administrator\AppData\Local\Microsoft\Windows\INetCache\Content.Word\污规划-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descr="C:\Users\Administrator\AppData\Local\Microsoft\Windows\INetCache\Content.Word\污规划-Model.jpg"/>
                    <pic:cNvPicPr>
                      <a:picLocks noChangeAspect="1" noChangeArrowheads="1"/>
                    </pic:cNvPicPr>
                  </pic:nvPicPr>
                  <pic:blipFill>
                    <a:blip r:embed="rId75"/>
                    <a:srcRect/>
                    <a:stretch>
                      <a:fillRect/>
                    </a:stretch>
                  </pic:blipFill>
                  <pic:spPr>
                    <a:xfrm>
                      <a:off x="0" y="0"/>
                      <a:ext cx="4066750" cy="2923938"/>
                    </a:xfrm>
                    <a:prstGeom prst="rect">
                      <a:avLst/>
                    </a:prstGeom>
                    <a:noFill/>
                    <a:ln w="9525">
                      <a:noFill/>
                      <a:miter lim="800000"/>
                      <a:headEnd/>
                      <a:tailEnd/>
                    </a:ln>
                  </pic:spPr>
                </pic:pic>
              </a:graphicData>
            </a:graphic>
          </wp:inline>
        </w:drawing>
      </w:r>
    </w:p>
    <w:p>
      <w:pPr>
        <w:adjustRightInd w:val="0"/>
        <w:snapToGrid w:val="0"/>
        <w:jc w:val="center"/>
        <w:rPr>
          <w:rFonts w:ascii="Times New Roman" w:hAnsi="Times New Roman" w:eastAsia="仿宋_GB2312" w:cs="Times New Roman"/>
          <w:color w:val="auto"/>
          <w:szCs w:val="24"/>
        </w:rPr>
      </w:pPr>
      <w:r>
        <w:rPr>
          <w:rFonts w:hint="eastAsia" w:ascii="Times New Roman" w:hAnsi="Times New Roman" w:eastAsia="仿宋_GB2312" w:cs="Times New Roman"/>
          <w:b/>
          <w:color w:val="auto"/>
          <w:szCs w:val="24"/>
        </w:rPr>
        <w:t>图2.1-16：规划区域污水排水规划图</w:t>
      </w:r>
    </w:p>
    <w:p>
      <w:pPr>
        <w:pStyle w:val="7"/>
        <w:spacing w:line="360" w:lineRule="auto"/>
        <w:rPr>
          <w:rFonts w:eastAsia="仿宋_GB2312"/>
          <w:color w:val="auto"/>
          <w:sz w:val="28"/>
          <w:szCs w:val="28"/>
        </w:rPr>
      </w:pPr>
      <w:r>
        <w:rPr>
          <w:rFonts w:eastAsia="仿宋_GB2312"/>
          <w:color w:val="auto"/>
          <w:sz w:val="28"/>
          <w:szCs w:val="28"/>
        </w:rPr>
        <w:t>2.1.</w:t>
      </w:r>
      <w:r>
        <w:rPr>
          <w:rFonts w:hint="eastAsia" w:eastAsia="仿宋_GB2312"/>
          <w:color w:val="auto"/>
          <w:sz w:val="28"/>
          <w:szCs w:val="28"/>
        </w:rPr>
        <w:t>4</w:t>
      </w:r>
      <w:r>
        <w:rPr>
          <w:rFonts w:eastAsia="仿宋_GB2312"/>
          <w:color w:val="auto"/>
          <w:sz w:val="28"/>
          <w:szCs w:val="28"/>
        </w:rPr>
        <w:t>.</w:t>
      </w:r>
      <w:r>
        <w:rPr>
          <w:rFonts w:hint="eastAsia" w:eastAsia="仿宋_GB2312"/>
          <w:color w:val="auto"/>
          <w:sz w:val="28"/>
          <w:szCs w:val="28"/>
        </w:rPr>
        <w:t>3电力工程规划</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规划区域</w:t>
      </w:r>
      <w:r>
        <w:rPr>
          <w:rFonts w:hint="eastAsia" w:ascii="Times New Roman" w:hAnsi="Times New Roman" w:eastAsia="仿宋_GB2312" w:cs="Times New Roman"/>
          <w:color w:val="auto"/>
          <w:szCs w:val="24"/>
        </w:rPr>
        <w:t>现状供电电源来自</w:t>
      </w:r>
      <w:r>
        <w:rPr>
          <w:rFonts w:ascii="Times New Roman" w:hAnsi="Times New Roman" w:eastAsia="仿宋_GB2312" w:cs="Times New Roman"/>
          <w:color w:val="auto"/>
          <w:szCs w:val="24"/>
        </w:rPr>
        <w:t>东南侧现状有一处梧岗</w:t>
      </w:r>
      <w:r>
        <w:rPr>
          <w:rFonts w:hint="eastAsia" w:ascii="Times New Roman" w:hAnsi="Times New Roman" w:eastAsia="仿宋_GB2312" w:cs="Times New Roman"/>
          <w:color w:val="auto"/>
          <w:szCs w:val="24"/>
        </w:rPr>
        <w:t>220kV变电站，现状容量为1×15万kVA，远期规划容量为为3×15万kVA。规划区域内在E13地块新建一座110kV变电站，规划容量为3×5万kVA，作为周边供电电源为规划区域供电。区域内规划供电均采用道路暗埋10kV电缆形成环状供电线路对区域供电。电力电缆埋地敷设在道路沿线的东侧或南侧。</w:t>
      </w:r>
    </w:p>
    <w:p>
      <w:pPr>
        <w:adjustRightInd w:val="0"/>
        <w:snapToGrid w:val="0"/>
        <w:jc w:val="center"/>
        <w:rPr>
          <w:rFonts w:ascii="Times New Roman" w:hAnsi="Times New Roman" w:eastAsia="仿宋_GB2312" w:cs="Times New Roman"/>
          <w:b/>
          <w:color w:val="auto"/>
          <w:szCs w:val="24"/>
        </w:rPr>
      </w:pPr>
      <w:r>
        <w:rPr>
          <w:rFonts w:ascii="Times New Roman" w:hAnsi="Times New Roman" w:eastAsia="仿宋_GB2312" w:cs="Times New Roman"/>
          <w:b/>
          <w:color w:val="auto"/>
          <w:szCs w:val="24"/>
        </w:rPr>
        <w:drawing>
          <wp:inline distT="0" distB="0" distL="0" distR="0">
            <wp:extent cx="4933950" cy="3989705"/>
            <wp:effectExtent l="19050" t="0" r="0" b="0"/>
            <wp:docPr id="26" name="图片 7" descr="C:\Users\Administrator\AppData\Local\Microsoft\Windows\INetCache\Content.Word\供电规划-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 descr="C:\Users\Administrator\AppData\Local\Microsoft\Windows\INetCache\Content.Word\供电规划-Model.jpg"/>
                    <pic:cNvPicPr>
                      <a:picLocks noChangeAspect="1" noChangeArrowheads="1"/>
                    </pic:cNvPicPr>
                  </pic:nvPicPr>
                  <pic:blipFill>
                    <a:blip r:embed="rId76"/>
                    <a:srcRect/>
                    <a:stretch>
                      <a:fillRect/>
                    </a:stretch>
                  </pic:blipFill>
                  <pic:spPr>
                    <a:xfrm>
                      <a:off x="0" y="0"/>
                      <a:ext cx="4939928" cy="3994742"/>
                    </a:xfrm>
                    <a:prstGeom prst="rect">
                      <a:avLst/>
                    </a:prstGeom>
                    <a:noFill/>
                    <a:ln w="9525">
                      <a:noFill/>
                      <a:miter lim="800000"/>
                      <a:headEnd/>
                      <a:tailEnd/>
                    </a:ln>
                  </pic:spPr>
                </pic:pic>
              </a:graphicData>
            </a:graphic>
          </wp:inline>
        </w:drawing>
      </w:r>
    </w:p>
    <w:p>
      <w:pPr>
        <w:adjustRightInd w:val="0"/>
        <w:snapToGrid w:val="0"/>
        <w:jc w:val="center"/>
        <w:rPr>
          <w:rFonts w:ascii="Times New Roman" w:hAnsi="Times New Roman" w:eastAsia="仿宋_GB2312" w:cs="Times New Roman"/>
          <w:color w:val="auto"/>
          <w:szCs w:val="24"/>
        </w:rPr>
      </w:pPr>
      <w:r>
        <w:rPr>
          <w:rFonts w:hint="eastAsia" w:ascii="Times New Roman" w:hAnsi="Times New Roman" w:eastAsia="仿宋_GB2312" w:cs="Times New Roman"/>
          <w:b/>
          <w:color w:val="auto"/>
          <w:szCs w:val="24"/>
        </w:rPr>
        <w:t>图2.1-17：规划区域电力工程规划图</w:t>
      </w:r>
    </w:p>
    <w:p>
      <w:pPr>
        <w:pStyle w:val="7"/>
        <w:spacing w:line="360" w:lineRule="auto"/>
        <w:rPr>
          <w:rFonts w:eastAsia="仿宋_GB2312"/>
          <w:color w:val="auto"/>
          <w:sz w:val="28"/>
          <w:szCs w:val="28"/>
        </w:rPr>
      </w:pPr>
      <w:r>
        <w:rPr>
          <w:rFonts w:eastAsia="仿宋_GB2312"/>
          <w:color w:val="auto"/>
          <w:sz w:val="28"/>
          <w:szCs w:val="28"/>
        </w:rPr>
        <w:t>2.1.</w:t>
      </w:r>
      <w:r>
        <w:rPr>
          <w:rFonts w:hint="eastAsia" w:eastAsia="仿宋_GB2312"/>
          <w:color w:val="auto"/>
          <w:sz w:val="28"/>
          <w:szCs w:val="28"/>
        </w:rPr>
        <w:t>4</w:t>
      </w:r>
      <w:r>
        <w:rPr>
          <w:rFonts w:eastAsia="仿宋_GB2312"/>
          <w:color w:val="auto"/>
          <w:sz w:val="28"/>
          <w:szCs w:val="28"/>
        </w:rPr>
        <w:t>.</w:t>
      </w:r>
      <w:r>
        <w:rPr>
          <w:rFonts w:hint="eastAsia" w:eastAsia="仿宋_GB2312"/>
          <w:color w:val="auto"/>
          <w:sz w:val="28"/>
          <w:szCs w:val="28"/>
        </w:rPr>
        <w:t>4电信工程规划</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规划区域根据南昌市一般市区的建筑物情况5G基站典型覆盖半径（175m）和对应站间距（300~400m），经测算，规划区域内共设置9处宏基站。其中：保留E20地块内现状楼面宏基站，E05地块内现状地面宏基站；于E06、E15、E17、E22和F18地块内各配建1处地面宏基站，于E06和E21地块内各配建1处楼面宏基站。</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电信干管沿尤氨公路布局，预留12孔通信干管，其余道路布置支管，预留4~8孔通信管道。</w:t>
      </w:r>
    </w:p>
    <w:p>
      <w:pPr>
        <w:pStyle w:val="7"/>
        <w:spacing w:line="360" w:lineRule="auto"/>
        <w:rPr>
          <w:rFonts w:eastAsia="仿宋_GB2312"/>
          <w:color w:val="auto"/>
          <w:sz w:val="28"/>
          <w:szCs w:val="28"/>
        </w:rPr>
      </w:pPr>
      <w:r>
        <w:rPr>
          <w:rFonts w:eastAsia="仿宋_GB2312"/>
          <w:color w:val="auto"/>
          <w:sz w:val="28"/>
          <w:szCs w:val="28"/>
        </w:rPr>
        <w:t>2.1.</w:t>
      </w:r>
      <w:r>
        <w:rPr>
          <w:rFonts w:hint="eastAsia" w:eastAsia="仿宋_GB2312"/>
          <w:color w:val="auto"/>
          <w:sz w:val="28"/>
          <w:szCs w:val="28"/>
        </w:rPr>
        <w:t>4</w:t>
      </w:r>
      <w:r>
        <w:rPr>
          <w:rFonts w:eastAsia="仿宋_GB2312"/>
          <w:color w:val="auto"/>
          <w:sz w:val="28"/>
          <w:szCs w:val="28"/>
        </w:rPr>
        <w:t>.</w:t>
      </w:r>
      <w:r>
        <w:rPr>
          <w:rFonts w:hint="eastAsia" w:eastAsia="仿宋_GB2312"/>
          <w:color w:val="auto"/>
          <w:sz w:val="28"/>
          <w:szCs w:val="28"/>
        </w:rPr>
        <w:t>5燃气工程规划</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规划区域内气源为高铁东站周边区域的西气东输的管输天然气</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通过解放路现状</w:t>
      </w:r>
      <w:r>
        <w:rPr>
          <w:rFonts w:hint="eastAsia" w:ascii="Times New Roman" w:hAnsi="Times New Roman" w:eastAsia="仿宋_GB2312" w:cs="Times New Roman"/>
          <w:color w:val="auto"/>
          <w:szCs w:val="24"/>
        </w:rPr>
        <w:t>DN600中压管道与周边区域内规划燃气中压管联网。规划区域内在尤氨公路敷设DN300燃气中压管，其余道路规划DN200燃气中压管。规划区域内燃气中压管布置形式采用环状管网。</w:t>
      </w:r>
    </w:p>
    <w:p>
      <w:pPr>
        <w:adjustRightInd w:val="0"/>
        <w:snapToGrid w:val="0"/>
        <w:jc w:val="center"/>
        <w:rPr>
          <w:rFonts w:ascii="Times New Roman" w:hAnsi="Times New Roman" w:eastAsia="仿宋_GB2312" w:cs="Times New Roman"/>
          <w:b/>
          <w:color w:val="auto"/>
          <w:szCs w:val="24"/>
        </w:rPr>
      </w:pPr>
      <w:r>
        <w:rPr>
          <w:rFonts w:ascii="Times New Roman" w:hAnsi="Times New Roman" w:eastAsia="仿宋_GB2312" w:cs="Times New Roman"/>
          <w:b/>
          <w:color w:val="auto"/>
          <w:szCs w:val="24"/>
        </w:rPr>
        <w:drawing>
          <wp:inline distT="0" distB="0" distL="0" distR="0">
            <wp:extent cx="5295900" cy="3359785"/>
            <wp:effectExtent l="19050" t="0" r="0" b="0"/>
            <wp:docPr id="29" name="图片 12" descr="C:\Users\Administrator\AppData\Local\Microsoft\Windows\INetCache\Content.Word\燃气规划图-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 descr="C:\Users\Administrator\AppData\Local\Microsoft\Windows\INetCache\Content.Word\燃气规划图-Model.jpg"/>
                    <pic:cNvPicPr>
                      <a:picLocks noChangeAspect="1" noChangeArrowheads="1"/>
                    </pic:cNvPicPr>
                  </pic:nvPicPr>
                  <pic:blipFill>
                    <a:blip r:embed="rId77"/>
                    <a:srcRect/>
                    <a:stretch>
                      <a:fillRect/>
                    </a:stretch>
                  </pic:blipFill>
                  <pic:spPr>
                    <a:xfrm>
                      <a:off x="0" y="0"/>
                      <a:ext cx="5295900" cy="3360157"/>
                    </a:xfrm>
                    <a:prstGeom prst="rect">
                      <a:avLst/>
                    </a:prstGeom>
                    <a:noFill/>
                    <a:ln w="9525">
                      <a:noFill/>
                      <a:miter lim="800000"/>
                      <a:headEnd/>
                      <a:tailEnd/>
                    </a:ln>
                  </pic:spPr>
                </pic:pic>
              </a:graphicData>
            </a:graphic>
          </wp:inline>
        </w:drawing>
      </w:r>
    </w:p>
    <w:p>
      <w:pPr>
        <w:adjustRightInd w:val="0"/>
        <w:snapToGrid w:val="0"/>
        <w:jc w:val="center"/>
        <w:rPr>
          <w:rFonts w:ascii="Times New Roman" w:hAnsi="Times New Roman" w:eastAsia="仿宋_GB2312" w:cs="Times New Roman"/>
          <w:color w:val="auto"/>
          <w:szCs w:val="24"/>
        </w:rPr>
      </w:pPr>
      <w:r>
        <w:rPr>
          <w:rFonts w:hint="eastAsia" w:ascii="Times New Roman" w:hAnsi="Times New Roman" w:eastAsia="仿宋_GB2312" w:cs="Times New Roman"/>
          <w:b/>
          <w:color w:val="auto"/>
          <w:szCs w:val="24"/>
        </w:rPr>
        <w:t>图2.1-18：规划区域燃气工程规划图</w:t>
      </w:r>
    </w:p>
    <w:p>
      <w:pPr>
        <w:pStyle w:val="7"/>
        <w:spacing w:line="360" w:lineRule="auto"/>
        <w:rPr>
          <w:rFonts w:eastAsia="仿宋_GB2312"/>
          <w:color w:val="auto"/>
          <w:sz w:val="28"/>
          <w:szCs w:val="28"/>
        </w:rPr>
      </w:pPr>
      <w:r>
        <w:rPr>
          <w:rFonts w:eastAsia="仿宋_GB2312"/>
          <w:color w:val="auto"/>
          <w:sz w:val="28"/>
          <w:szCs w:val="28"/>
        </w:rPr>
        <w:t>2.1.</w:t>
      </w:r>
      <w:r>
        <w:rPr>
          <w:rFonts w:hint="eastAsia" w:eastAsia="仿宋_GB2312"/>
          <w:color w:val="auto"/>
          <w:sz w:val="28"/>
          <w:szCs w:val="28"/>
        </w:rPr>
        <w:t>4</w:t>
      </w:r>
      <w:r>
        <w:rPr>
          <w:rFonts w:eastAsia="仿宋_GB2312"/>
          <w:color w:val="auto"/>
          <w:sz w:val="28"/>
          <w:szCs w:val="28"/>
        </w:rPr>
        <w:t>.</w:t>
      </w:r>
      <w:r>
        <w:rPr>
          <w:rFonts w:hint="eastAsia" w:eastAsia="仿宋_GB2312"/>
          <w:color w:val="auto"/>
          <w:sz w:val="28"/>
          <w:szCs w:val="28"/>
        </w:rPr>
        <w:t>6管线综合规划</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原则上通信电力管线、给水管线、雨水管线位于道路西侧和北侧；污水管线、燃气管线、通信管线位于道路东侧和南侧；道路红线宽度超过40m的城市干道宜两侧布置配水、配气、通信、电力和排水管线。</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①水平位置</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燃气、通信管线一般布置在道路的东侧或南侧人行道下；给水、电力管线一般布置在道路的西侧或北侧人行道下；污水管线一般布置在道路东侧或南侧的非机动车道或机动车道下；雨水管线一般布置在道路西侧或北侧的非机动车道或机动车道下。工程管线应根据道路的规划横断面布置在人行道或非机动车道下面。位置受限制时，可布置在机动车道或绿化带下面。各种工程管线在道路下面的规划位置宜相对固定，分支线少、埋设深、检修周期短以及可燃、易燃、损坏时对建筑物基础安全有影响的工程管线应远离建筑物。从道路红线向道路中心线方向平行布置的次序，一般为：电力、通信、给水(配水)、燃气(配气)、热力、燃气(输气)、给水(输水)、再生水、污水、雨水。</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②垂直布置</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管线在庭院内由建筑线向外方向平行布置的顺序，应根据工程管线的性质和埋设深度确定，其布置次序宜为：电力、通信、污水、雨水、给水、燃气、热力、再生水。它们之间的最小垂直距离应符合《城市工程管线综合规划规范》（GB50289-2016）要求。</w:t>
      </w:r>
    </w:p>
    <w:p>
      <w:pPr>
        <w:widowControl/>
        <w:snapToGrid w:val="0"/>
        <w:spacing w:line="360" w:lineRule="auto"/>
        <w:ind w:firstLine="480" w:firstLineChars="200"/>
        <w:jc w:val="left"/>
        <w:rPr>
          <w:rFonts w:ascii="仿宋_GB2312" w:hAnsi="宋体" w:eastAsia="仿宋_GB2312" w:cs="宋体"/>
          <w:color w:val="auto"/>
          <w:szCs w:val="24"/>
        </w:rPr>
      </w:pPr>
      <w:r>
        <w:rPr>
          <w:rFonts w:hint="eastAsia" w:ascii="仿宋_GB2312" w:hAnsi="宋体" w:eastAsia="仿宋_GB2312" w:cs="宋体"/>
          <w:color w:val="auto"/>
          <w:szCs w:val="24"/>
        </w:rPr>
        <w:t>③综合管廊</w:t>
      </w:r>
    </w:p>
    <w:p>
      <w:pPr>
        <w:widowControl/>
        <w:snapToGrid w:val="0"/>
        <w:spacing w:line="360" w:lineRule="auto"/>
        <w:ind w:firstLine="480" w:firstLineChars="200"/>
        <w:jc w:val="left"/>
        <w:rPr>
          <w:rFonts w:ascii="仿宋_GB2312" w:hAnsi="Times New Roman" w:eastAsia="仿宋_GB2312" w:cs="Times New Roman"/>
          <w:color w:val="auto"/>
          <w:szCs w:val="24"/>
        </w:rPr>
      </w:pPr>
      <w:r>
        <w:rPr>
          <w:rFonts w:hint="eastAsia" w:ascii="仿宋_GB2312" w:hAnsi="Times New Roman" w:eastAsia="仿宋_GB2312" w:cs="Times New Roman"/>
          <w:color w:val="auto"/>
          <w:szCs w:val="24"/>
        </w:rPr>
        <w:t>区域内在尤氨公路处布置有综合管廊，布置在东侧绿化带、非机动车道和车行道下，管廊中心距离道路中心</w:t>
      </w:r>
      <w:r>
        <w:rPr>
          <w:rFonts w:ascii="Times New Roman" w:hAnsi="Times New Roman" w:eastAsia="仿宋_GB2312" w:cs="Times New Roman"/>
          <w:color w:val="auto"/>
          <w:szCs w:val="24"/>
        </w:rPr>
        <w:t>线12.75m。</w:t>
      </w:r>
    </w:p>
    <w:p>
      <w:pPr>
        <w:adjustRightInd w:val="0"/>
        <w:snapToGrid w:val="0"/>
        <w:jc w:val="center"/>
        <w:rPr>
          <w:rFonts w:ascii="Times New Roman" w:hAnsi="Times New Roman" w:eastAsia="仿宋_GB2312" w:cs="Times New Roman"/>
          <w:b/>
          <w:color w:val="auto"/>
          <w:szCs w:val="24"/>
        </w:rPr>
      </w:pPr>
      <w:r>
        <w:rPr>
          <w:rFonts w:ascii="Times New Roman" w:hAnsi="Times New Roman" w:eastAsia="仿宋_GB2312" w:cs="Times New Roman"/>
          <w:b/>
          <w:color w:val="auto"/>
          <w:szCs w:val="24"/>
        </w:rPr>
        <w:drawing>
          <wp:inline distT="0" distB="0" distL="0" distR="0">
            <wp:extent cx="5274310" cy="3616960"/>
            <wp:effectExtent l="19050" t="0" r="2540" b="0"/>
            <wp:docPr id="3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5"/>
                    <pic:cNvPicPr>
                      <a:picLocks noChangeAspect="1" noChangeArrowheads="1"/>
                    </pic:cNvPicPr>
                  </pic:nvPicPr>
                  <pic:blipFill>
                    <a:blip r:embed="rId78"/>
                    <a:srcRect/>
                    <a:stretch>
                      <a:fillRect/>
                    </a:stretch>
                  </pic:blipFill>
                  <pic:spPr>
                    <a:xfrm>
                      <a:off x="0" y="0"/>
                      <a:ext cx="5274310" cy="3617046"/>
                    </a:xfrm>
                    <a:prstGeom prst="rect">
                      <a:avLst/>
                    </a:prstGeom>
                    <a:noFill/>
                    <a:ln w="9525">
                      <a:noFill/>
                      <a:miter lim="800000"/>
                      <a:headEnd/>
                      <a:tailEnd/>
                    </a:ln>
                  </pic:spPr>
                </pic:pic>
              </a:graphicData>
            </a:graphic>
          </wp:inline>
        </w:drawing>
      </w:r>
    </w:p>
    <w:p>
      <w:pPr>
        <w:adjustRightInd w:val="0"/>
        <w:snapToGrid w:val="0"/>
        <w:jc w:val="center"/>
        <w:rPr>
          <w:rFonts w:ascii="Times New Roman" w:hAnsi="Times New Roman" w:eastAsia="仿宋_GB2312" w:cs="Times New Roman"/>
          <w:color w:val="auto"/>
          <w:szCs w:val="24"/>
        </w:rPr>
      </w:pPr>
      <w:r>
        <w:rPr>
          <w:rFonts w:hint="eastAsia" w:ascii="Times New Roman" w:hAnsi="Times New Roman" w:eastAsia="仿宋_GB2312" w:cs="Times New Roman"/>
          <w:b/>
          <w:color w:val="auto"/>
          <w:szCs w:val="24"/>
        </w:rPr>
        <w:t>图2.1-19：尤氨公路综合管廊布设规划图</w:t>
      </w:r>
    </w:p>
    <w:p>
      <w:pPr>
        <w:pStyle w:val="6"/>
        <w:rPr>
          <w:bCs w:val="0"/>
          <w:color w:val="auto"/>
          <w:szCs w:val="30"/>
        </w:rPr>
      </w:pPr>
      <w:r>
        <w:rPr>
          <w:bCs w:val="0"/>
          <w:color w:val="auto"/>
          <w:szCs w:val="30"/>
        </w:rPr>
        <w:t>2.1.</w:t>
      </w:r>
      <w:r>
        <w:rPr>
          <w:rFonts w:hint="eastAsia"/>
          <w:bCs w:val="0"/>
          <w:color w:val="auto"/>
          <w:szCs w:val="30"/>
        </w:rPr>
        <w:t>5</w:t>
      </w:r>
      <w:bookmarkEnd w:id="153"/>
      <w:r>
        <w:rPr>
          <w:rFonts w:hint="eastAsia" w:eastAsia="仿宋_GB2312"/>
          <w:bCs w:val="0"/>
          <w:color w:val="auto"/>
          <w:szCs w:val="30"/>
        </w:rPr>
        <w:t>区域排涝及海绵</w:t>
      </w:r>
      <w:r>
        <w:rPr>
          <w:rFonts w:eastAsia="仿宋_GB2312"/>
          <w:bCs w:val="0"/>
          <w:color w:val="auto"/>
          <w:szCs w:val="30"/>
        </w:rPr>
        <w:t>城市规划</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（一）排涝</w:t>
      </w:r>
      <w:r>
        <w:rPr>
          <w:rFonts w:ascii="Times New Roman" w:hAnsi="Times New Roman" w:eastAsia="仿宋_GB2312" w:cs="Times New Roman"/>
          <w:color w:val="auto"/>
          <w:szCs w:val="24"/>
        </w:rPr>
        <w:t>规划</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规划区域治涝标准采用50年一遇一日暴雨加工业、生活污水一日内排至不淹重要建筑物高程的治涝设计标准。道路和地块竖向标高考虑现状地形、道路排水、两侧用地标高、防洪排涉及城市景观等各方面因素确定。</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（二）海绵城市建设</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规划范围内具有较多的绿化，周边有西总干渠、抚河等水系，具备较好的实施海绵城市条件。应用南昌市气象局提供的气象数据，参照《南昌市海绵城市专项规划》，结合规划区开展海绵城市建设的难易程度，确定年径流总量控制率为66%。对区域内地块海绵设施与地块开发同时进行，对于品质较好的地块，采用下沉式绿地、透水铺装等措施适时进行海绵化建设。</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1）区域规划功能区：结合容积率、建筑密度、绿地率等控制指标，在满足人的活动游憩需求和建筑间距、道路退距、日照等要求的基础上，形成源头消纳、中途转输、末端调蓄等控制模式，确定屋顶绿化、下凹式绿地、透水铺装等海绵措施的规模和空间布局。</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2）绿地：在满足景观、疏散等功能需求的基础上，分析上位规划的指标控制目标以及周边地块的指标差额情况，确定规划地块应落实的海绵控制指标。根据防护绿地、公园绿地等不同绿地的类型，针对性的选择适宜的海绵建设措施，包括下凹式绿地率及透水铺装等，从源头消减城市开发后的雨水径流量。确定下凹式绿地、透水铺装、植草沟等相应海绵措施的空间布局。</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（3）公用设施用地和道路与交通设施用地：根据设计目标灵活选用海绵措施及其组合系统，采用路缘石开口、下凹式绿地、透水铺装等海绵措施。</w:t>
      </w:r>
    </w:p>
    <w:p>
      <w:pPr>
        <w:adjustRightInd w:val="0"/>
        <w:snapToGrid w:val="0"/>
        <w:spacing w:line="360" w:lineRule="auto"/>
        <w:jc w:val="center"/>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表2.1-10：区域评估范围内各地类海绵城市规划一览表</w:t>
      </w:r>
    </w:p>
    <w:tbl>
      <w:tblPr>
        <w:tblStyle w:val="3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55"/>
        <w:gridCol w:w="2715"/>
        <w:gridCol w:w="2017"/>
        <w:gridCol w:w="884"/>
        <w:gridCol w:w="912"/>
        <w:gridCol w:w="93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09" w:type="dxa"/>
            <w:vMerge w:val="restart"/>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分类</w:t>
            </w:r>
          </w:p>
        </w:tc>
        <w:tc>
          <w:tcPr>
            <w:tcW w:w="2715" w:type="dxa"/>
            <w:vMerge w:val="restart"/>
            <w:shd w:val="clear" w:color="auto" w:fill="auto"/>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用地类别</w:t>
            </w:r>
          </w:p>
        </w:tc>
        <w:tc>
          <w:tcPr>
            <w:tcW w:w="2017"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约束性指标</w:t>
            </w:r>
          </w:p>
        </w:tc>
        <w:tc>
          <w:tcPr>
            <w:tcW w:w="2962" w:type="dxa"/>
            <w:gridSpan w:val="3"/>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指导性指标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09" w:type="dxa"/>
            <w:vMerge w:val="continue"/>
            <w:vAlign w:val="center"/>
          </w:tcPr>
          <w:p>
            <w:pPr>
              <w:widowControl/>
              <w:jc w:val="center"/>
              <w:rPr>
                <w:rFonts w:ascii="Times New Roman" w:hAnsi="Times New Roman" w:eastAsia="仿宋_GB2312" w:cs="Times New Roman"/>
                <w:b/>
                <w:color w:val="auto"/>
                <w:kern w:val="0"/>
                <w:sz w:val="21"/>
                <w:szCs w:val="21"/>
              </w:rPr>
            </w:pPr>
          </w:p>
        </w:tc>
        <w:tc>
          <w:tcPr>
            <w:tcW w:w="2715" w:type="dxa"/>
            <w:vMerge w:val="continue"/>
            <w:shd w:val="clear" w:color="auto" w:fill="auto"/>
            <w:vAlign w:val="center"/>
          </w:tcPr>
          <w:p>
            <w:pPr>
              <w:widowControl/>
              <w:jc w:val="center"/>
              <w:rPr>
                <w:rFonts w:ascii="Times New Roman" w:hAnsi="Times New Roman" w:eastAsia="仿宋_GB2312" w:cs="Times New Roman"/>
                <w:b/>
                <w:color w:val="auto"/>
                <w:kern w:val="0"/>
                <w:sz w:val="21"/>
                <w:szCs w:val="21"/>
              </w:rPr>
            </w:pPr>
          </w:p>
        </w:tc>
        <w:tc>
          <w:tcPr>
            <w:tcW w:w="2017"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hint="eastAsia" w:ascii="Times New Roman" w:hAnsi="Times New Roman" w:eastAsia="仿宋_GB2312" w:cs="Times New Roman"/>
                <w:b/>
                <w:color w:val="auto"/>
                <w:kern w:val="0"/>
                <w:sz w:val="21"/>
                <w:szCs w:val="21"/>
              </w:rPr>
              <w:t>年径流总量控制率</w:t>
            </w:r>
          </w:p>
        </w:tc>
        <w:tc>
          <w:tcPr>
            <w:tcW w:w="953" w:type="dxa"/>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下凹式绿地</w:t>
            </w:r>
          </w:p>
        </w:tc>
        <w:tc>
          <w:tcPr>
            <w:tcW w:w="988" w:type="dxa"/>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透水铺装率</w:t>
            </w:r>
          </w:p>
        </w:tc>
        <w:tc>
          <w:tcPr>
            <w:tcW w:w="1021" w:type="dxa"/>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绿色屋顶率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09" w:type="dxa"/>
            <w:vMerge w:val="restart"/>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区域规划功能区</w:t>
            </w:r>
          </w:p>
        </w:tc>
        <w:tc>
          <w:tcPr>
            <w:tcW w:w="2715"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工业用地</w:t>
            </w:r>
            <w:r>
              <w:rPr>
                <w:rFonts w:hint="eastAsia" w:ascii="Times New Roman" w:hAnsi="Times New Roman" w:eastAsia="仿宋_GB2312" w:cs="Times New Roman"/>
                <w:color w:val="auto"/>
                <w:kern w:val="0"/>
                <w:sz w:val="21"/>
                <w:szCs w:val="21"/>
              </w:rPr>
              <w:t>（M）</w:t>
            </w:r>
          </w:p>
        </w:tc>
        <w:tc>
          <w:tcPr>
            <w:tcW w:w="2017"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60%</w:t>
            </w:r>
          </w:p>
        </w:tc>
        <w:tc>
          <w:tcPr>
            <w:tcW w:w="953"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30%</w:t>
            </w:r>
          </w:p>
        </w:tc>
        <w:tc>
          <w:tcPr>
            <w:tcW w:w="988"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30%</w:t>
            </w:r>
          </w:p>
        </w:tc>
        <w:tc>
          <w:tcPr>
            <w:tcW w:w="1021"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09" w:type="dxa"/>
            <w:vMerge w:val="continue"/>
            <w:vAlign w:val="center"/>
          </w:tcPr>
          <w:p>
            <w:pPr>
              <w:widowControl/>
              <w:jc w:val="center"/>
              <w:rPr>
                <w:rFonts w:ascii="Times New Roman" w:hAnsi="Times New Roman" w:eastAsia="仿宋_GB2312" w:cs="Times New Roman"/>
                <w:color w:val="auto"/>
                <w:kern w:val="0"/>
                <w:sz w:val="21"/>
                <w:szCs w:val="21"/>
              </w:rPr>
            </w:pPr>
          </w:p>
        </w:tc>
        <w:tc>
          <w:tcPr>
            <w:tcW w:w="2715"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商业用地</w:t>
            </w:r>
            <w:r>
              <w:rPr>
                <w:rFonts w:hint="eastAsia" w:ascii="Times New Roman" w:hAnsi="Times New Roman" w:eastAsia="仿宋_GB2312" w:cs="Times New Roman"/>
                <w:color w:val="auto"/>
                <w:kern w:val="0"/>
                <w:sz w:val="21"/>
                <w:szCs w:val="21"/>
              </w:rPr>
              <w:t>（B）</w:t>
            </w:r>
          </w:p>
        </w:tc>
        <w:tc>
          <w:tcPr>
            <w:tcW w:w="2017"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60%</w:t>
            </w:r>
          </w:p>
        </w:tc>
        <w:tc>
          <w:tcPr>
            <w:tcW w:w="953"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30%</w:t>
            </w:r>
          </w:p>
        </w:tc>
        <w:tc>
          <w:tcPr>
            <w:tcW w:w="988"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30%</w:t>
            </w:r>
          </w:p>
        </w:tc>
        <w:tc>
          <w:tcPr>
            <w:tcW w:w="1021"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09" w:type="dxa"/>
            <w:vMerge w:val="restart"/>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公共基础设施区</w:t>
            </w:r>
          </w:p>
        </w:tc>
        <w:tc>
          <w:tcPr>
            <w:tcW w:w="2715"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道路与交通设施用地</w:t>
            </w:r>
            <w:r>
              <w:rPr>
                <w:rFonts w:hint="eastAsia" w:ascii="Times New Roman" w:hAnsi="Times New Roman" w:eastAsia="仿宋_GB2312" w:cs="Times New Roman"/>
                <w:color w:val="auto"/>
                <w:kern w:val="0"/>
                <w:sz w:val="21"/>
                <w:szCs w:val="21"/>
              </w:rPr>
              <w:t>（S）</w:t>
            </w:r>
          </w:p>
        </w:tc>
        <w:tc>
          <w:tcPr>
            <w:tcW w:w="2017"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w:t>
            </w:r>
          </w:p>
        </w:tc>
        <w:tc>
          <w:tcPr>
            <w:tcW w:w="953"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w:t>
            </w:r>
          </w:p>
        </w:tc>
        <w:tc>
          <w:tcPr>
            <w:tcW w:w="988"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w:t>
            </w:r>
          </w:p>
        </w:tc>
        <w:tc>
          <w:tcPr>
            <w:tcW w:w="1021"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09" w:type="dxa"/>
            <w:vMerge w:val="continue"/>
            <w:vAlign w:val="center"/>
          </w:tcPr>
          <w:p>
            <w:pPr>
              <w:widowControl/>
              <w:jc w:val="center"/>
              <w:rPr>
                <w:rFonts w:ascii="Times New Roman" w:hAnsi="Times New Roman" w:eastAsia="仿宋_GB2312" w:cs="Times New Roman"/>
                <w:color w:val="auto"/>
                <w:kern w:val="0"/>
                <w:sz w:val="21"/>
                <w:szCs w:val="21"/>
              </w:rPr>
            </w:pPr>
          </w:p>
        </w:tc>
        <w:tc>
          <w:tcPr>
            <w:tcW w:w="2715"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公用</w:t>
            </w:r>
            <w:r>
              <w:rPr>
                <w:rFonts w:ascii="Times New Roman" w:hAnsi="Times New Roman" w:eastAsia="仿宋_GB2312" w:cs="Times New Roman"/>
                <w:color w:val="auto"/>
                <w:kern w:val="0"/>
                <w:sz w:val="21"/>
                <w:szCs w:val="21"/>
              </w:rPr>
              <w:t>设施用地</w:t>
            </w:r>
            <w:r>
              <w:rPr>
                <w:rFonts w:hint="eastAsia" w:ascii="Times New Roman" w:hAnsi="Times New Roman" w:eastAsia="仿宋_GB2312" w:cs="Times New Roman"/>
                <w:color w:val="auto"/>
                <w:kern w:val="0"/>
                <w:sz w:val="21"/>
                <w:szCs w:val="21"/>
              </w:rPr>
              <w:t>（U）</w:t>
            </w:r>
          </w:p>
        </w:tc>
        <w:tc>
          <w:tcPr>
            <w:tcW w:w="2017"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w:t>
            </w:r>
          </w:p>
        </w:tc>
        <w:tc>
          <w:tcPr>
            <w:tcW w:w="953"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w:t>
            </w:r>
          </w:p>
        </w:tc>
        <w:tc>
          <w:tcPr>
            <w:tcW w:w="988"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w:t>
            </w:r>
          </w:p>
        </w:tc>
        <w:tc>
          <w:tcPr>
            <w:tcW w:w="1021"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09" w:type="dxa"/>
            <w:vMerge w:val="continue"/>
            <w:vAlign w:val="center"/>
          </w:tcPr>
          <w:p>
            <w:pPr>
              <w:widowControl/>
              <w:jc w:val="center"/>
              <w:rPr>
                <w:rFonts w:ascii="Times New Roman" w:hAnsi="Times New Roman" w:eastAsia="仿宋_GB2312" w:cs="Times New Roman"/>
                <w:color w:val="auto"/>
                <w:kern w:val="0"/>
                <w:sz w:val="21"/>
                <w:szCs w:val="21"/>
              </w:rPr>
            </w:pPr>
          </w:p>
        </w:tc>
        <w:tc>
          <w:tcPr>
            <w:tcW w:w="2715"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绿地</w:t>
            </w:r>
            <w:r>
              <w:rPr>
                <w:rFonts w:hint="eastAsia" w:ascii="Times New Roman" w:hAnsi="Times New Roman" w:eastAsia="仿宋_GB2312" w:cs="Times New Roman"/>
                <w:color w:val="auto"/>
                <w:kern w:val="0"/>
                <w:sz w:val="21"/>
                <w:szCs w:val="21"/>
              </w:rPr>
              <w:t>（G）</w:t>
            </w:r>
          </w:p>
        </w:tc>
        <w:tc>
          <w:tcPr>
            <w:tcW w:w="2017"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90%</w:t>
            </w:r>
          </w:p>
        </w:tc>
        <w:tc>
          <w:tcPr>
            <w:tcW w:w="953"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20%</w:t>
            </w:r>
          </w:p>
        </w:tc>
        <w:tc>
          <w:tcPr>
            <w:tcW w:w="988"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40%</w:t>
            </w:r>
          </w:p>
        </w:tc>
        <w:tc>
          <w:tcPr>
            <w:tcW w:w="1021"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w:t>
            </w:r>
          </w:p>
        </w:tc>
      </w:tr>
    </w:tbl>
    <w:p>
      <w:pPr>
        <w:widowControl/>
        <w:snapToGrid w:val="0"/>
        <w:spacing w:line="360" w:lineRule="auto"/>
        <w:ind w:firstLine="420" w:firstLineChars="200"/>
        <w:jc w:val="left"/>
        <w:rPr>
          <w:rFonts w:hint="eastAsia"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注：①下沉式绿地率=广义的下沉式绿地面积/绿地总面积，广义的下沉式绿地泛指具有一定调蓄容积的可用于调蓄径流雨水的绿地，包括生物滞留设施、渗透塘、湿塘、雨水湿地等；②绿色屋顶率=绿色屋顶面积/建筑屋顶总面积；③透水铺装率=透水铺装面积/硬化地面总面积。</w:t>
      </w:r>
    </w:p>
    <w:p>
      <w:pPr>
        <w:pStyle w:val="2"/>
        <w:rPr>
          <w:rFonts w:hint="eastAsia" w:ascii="Times New Roman" w:hAnsi="Times New Roman" w:eastAsia="仿宋_GB2312" w:cs="Times New Roman"/>
          <w:color w:val="auto"/>
          <w:sz w:val="21"/>
          <w:szCs w:val="21"/>
        </w:rPr>
      </w:pPr>
    </w:p>
    <w:p>
      <w:pPr>
        <w:pStyle w:val="2"/>
        <w:rPr>
          <w:rFonts w:hint="eastAsia" w:ascii="Times New Roman" w:hAnsi="Times New Roman" w:eastAsia="仿宋_GB2312" w:cs="Times New Roman"/>
          <w:color w:val="auto"/>
          <w:sz w:val="21"/>
          <w:szCs w:val="21"/>
        </w:rPr>
      </w:pPr>
    </w:p>
    <w:p>
      <w:pPr>
        <w:pStyle w:val="2"/>
        <w:rPr>
          <w:rFonts w:hint="eastAsia" w:ascii="Times New Roman" w:hAnsi="Times New Roman" w:eastAsia="仿宋_GB2312" w:cs="Times New Roman"/>
          <w:color w:val="auto"/>
          <w:sz w:val="21"/>
          <w:szCs w:val="21"/>
        </w:rPr>
      </w:pPr>
    </w:p>
    <w:p>
      <w:pPr>
        <w:adjustRightInd w:val="0"/>
        <w:snapToGrid w:val="0"/>
        <w:spacing w:line="360" w:lineRule="auto"/>
        <w:jc w:val="center"/>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表2.1-11：区域评估范围内各地类海绵城市规划一览表</w:t>
      </w:r>
    </w:p>
    <w:tbl>
      <w:tblPr>
        <w:tblStyle w:val="3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644"/>
        <w:gridCol w:w="587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644" w:type="dxa"/>
            <w:shd w:val="clear" w:color="auto" w:fill="auto"/>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用地类别</w:t>
            </w:r>
          </w:p>
        </w:tc>
        <w:tc>
          <w:tcPr>
            <w:tcW w:w="5878"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推荐的海绵城市技术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64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工业用地</w:t>
            </w:r>
            <w:r>
              <w:rPr>
                <w:rFonts w:hint="eastAsia" w:ascii="Times New Roman" w:hAnsi="Times New Roman" w:eastAsia="仿宋_GB2312" w:cs="Times New Roman"/>
                <w:color w:val="auto"/>
                <w:kern w:val="0"/>
                <w:sz w:val="21"/>
                <w:szCs w:val="21"/>
              </w:rPr>
              <w:t>（M）</w:t>
            </w:r>
          </w:p>
        </w:tc>
        <w:tc>
          <w:tcPr>
            <w:tcW w:w="5878" w:type="dxa"/>
            <w:shd w:val="clear" w:color="auto" w:fill="auto"/>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透水铺装</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生态树池</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下凹式绿地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64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商业用地</w:t>
            </w:r>
            <w:r>
              <w:rPr>
                <w:rFonts w:hint="eastAsia" w:ascii="Times New Roman" w:hAnsi="Times New Roman" w:eastAsia="仿宋_GB2312" w:cs="Times New Roman"/>
                <w:color w:val="auto"/>
                <w:kern w:val="0"/>
                <w:sz w:val="21"/>
                <w:szCs w:val="21"/>
              </w:rPr>
              <w:t>（B）</w:t>
            </w:r>
          </w:p>
        </w:tc>
        <w:tc>
          <w:tcPr>
            <w:tcW w:w="5878" w:type="dxa"/>
            <w:shd w:val="clear" w:color="auto" w:fill="auto"/>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透水铺装</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绿色屋顶</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生态树池</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下凹式绿地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264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道路与交通设施用地</w:t>
            </w:r>
            <w:r>
              <w:rPr>
                <w:rFonts w:hint="eastAsia" w:ascii="Times New Roman" w:hAnsi="Times New Roman" w:eastAsia="仿宋_GB2312" w:cs="Times New Roman"/>
                <w:color w:val="auto"/>
                <w:kern w:val="0"/>
                <w:sz w:val="21"/>
                <w:szCs w:val="21"/>
              </w:rPr>
              <w:t>（S）</w:t>
            </w:r>
          </w:p>
        </w:tc>
        <w:tc>
          <w:tcPr>
            <w:tcW w:w="5878" w:type="dxa"/>
            <w:shd w:val="clear" w:color="auto" w:fill="auto"/>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透水铺装</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生态树池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64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公用</w:t>
            </w:r>
            <w:r>
              <w:rPr>
                <w:rFonts w:ascii="Times New Roman" w:hAnsi="Times New Roman" w:eastAsia="仿宋_GB2312" w:cs="Times New Roman"/>
                <w:color w:val="auto"/>
                <w:kern w:val="0"/>
                <w:sz w:val="21"/>
                <w:szCs w:val="21"/>
              </w:rPr>
              <w:t>设施用地</w:t>
            </w:r>
            <w:r>
              <w:rPr>
                <w:rFonts w:hint="eastAsia" w:ascii="Times New Roman" w:hAnsi="Times New Roman" w:eastAsia="仿宋_GB2312" w:cs="Times New Roman"/>
                <w:color w:val="auto"/>
                <w:kern w:val="0"/>
                <w:sz w:val="21"/>
                <w:szCs w:val="21"/>
              </w:rPr>
              <w:t>（U）</w:t>
            </w:r>
          </w:p>
        </w:tc>
        <w:tc>
          <w:tcPr>
            <w:tcW w:w="5878" w:type="dxa"/>
            <w:shd w:val="clear" w:color="auto" w:fill="auto"/>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透水铺装</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生态树池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644"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绿地</w:t>
            </w:r>
            <w:r>
              <w:rPr>
                <w:rFonts w:hint="eastAsia" w:ascii="Times New Roman" w:hAnsi="Times New Roman" w:eastAsia="仿宋_GB2312" w:cs="Times New Roman"/>
                <w:color w:val="auto"/>
                <w:kern w:val="0"/>
                <w:sz w:val="21"/>
                <w:szCs w:val="21"/>
              </w:rPr>
              <w:t>（G）</w:t>
            </w:r>
          </w:p>
        </w:tc>
        <w:tc>
          <w:tcPr>
            <w:tcW w:w="587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透水铺装</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生态树池</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下凹式绿地</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植草沟</w:t>
            </w:r>
          </w:p>
        </w:tc>
      </w:tr>
    </w:tbl>
    <w:p>
      <w:pPr>
        <w:pStyle w:val="6"/>
        <w:rPr>
          <w:rFonts w:eastAsia="仿宋_GB2312"/>
          <w:bCs w:val="0"/>
          <w:color w:val="auto"/>
          <w:szCs w:val="30"/>
        </w:rPr>
      </w:pPr>
      <w:bookmarkStart w:id="154" w:name="_Toc19549"/>
      <w:bookmarkStart w:id="155" w:name="_Toc514432590"/>
      <w:bookmarkStart w:id="156" w:name="_Toc13482"/>
      <w:bookmarkStart w:id="157" w:name="_Toc13997"/>
      <w:bookmarkStart w:id="158" w:name="_Toc16887"/>
      <w:bookmarkStart w:id="159" w:name="_Toc499039864"/>
      <w:bookmarkStart w:id="160" w:name="_Toc514431446"/>
      <w:bookmarkStart w:id="161" w:name="_Toc451799202"/>
      <w:bookmarkStart w:id="162" w:name="_Toc28206"/>
      <w:bookmarkStart w:id="163" w:name="_Toc17788"/>
      <w:bookmarkStart w:id="164" w:name="_Toc514430836"/>
      <w:bookmarkStart w:id="165" w:name="_Toc3856"/>
      <w:bookmarkStart w:id="166" w:name="_Toc21568"/>
      <w:bookmarkStart w:id="167" w:name="_Toc439243899"/>
      <w:r>
        <w:rPr>
          <w:bCs w:val="0"/>
          <w:color w:val="auto"/>
          <w:szCs w:val="30"/>
        </w:rPr>
        <w:t>2.1.</w:t>
      </w:r>
      <w:r>
        <w:rPr>
          <w:rFonts w:hint="eastAsia"/>
          <w:bCs w:val="0"/>
          <w:color w:val="auto"/>
          <w:szCs w:val="30"/>
        </w:rPr>
        <w:t>6</w:t>
      </w:r>
      <w:r>
        <w:rPr>
          <w:rFonts w:hint="eastAsia" w:eastAsia="仿宋_GB2312"/>
          <w:bCs w:val="0"/>
          <w:color w:val="auto"/>
          <w:szCs w:val="30"/>
        </w:rPr>
        <w:t>地下空间工程</w:t>
      </w:r>
      <w:r>
        <w:rPr>
          <w:rFonts w:eastAsia="仿宋_GB2312"/>
          <w:bCs w:val="0"/>
          <w:color w:val="auto"/>
          <w:szCs w:val="30"/>
        </w:rPr>
        <w:t>规划</w:t>
      </w:r>
    </w:p>
    <w:p>
      <w:pPr>
        <w:pStyle w:val="143"/>
        <w:adjustRightInd/>
        <w:snapToGrid w:val="0"/>
        <w:spacing w:line="360" w:lineRule="auto"/>
        <w:ind w:firstLine="480"/>
        <w:rPr>
          <w:rFonts w:ascii="Times New Roman" w:hAnsi="Times New Roman" w:eastAsia="仿宋_GB2312" w:cs="Times New Roman"/>
          <w:color w:val="auto"/>
          <w:szCs w:val="24"/>
        </w:rPr>
      </w:pPr>
      <w:r>
        <w:rPr>
          <w:rFonts w:ascii="Times New Roman" w:hAnsi="Times New Roman" w:eastAsia="仿宋_GB2312" w:cs="Times New Roman"/>
          <w:color w:val="auto"/>
          <w:szCs w:val="24"/>
        </w:rPr>
        <w:t>本评估区域未规划建设地下室面积</w:t>
      </w:r>
      <w:r>
        <w:rPr>
          <w:rFonts w:hint="eastAsia" w:ascii="Times New Roman" w:hAnsi="Times New Roman" w:eastAsia="仿宋_GB2312" w:cs="Times New Roman"/>
          <w:color w:val="auto"/>
          <w:szCs w:val="24"/>
        </w:rPr>
        <w:t>。规划区域属工业区，地下空间开发以“平站结合”为原则，</w:t>
      </w:r>
    </w:p>
    <w:p>
      <w:pPr>
        <w:pStyle w:val="143"/>
        <w:snapToGrid w:val="0"/>
        <w:spacing w:line="360" w:lineRule="auto"/>
        <w:ind w:firstLine="48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结合青山湖区实际情况，以及上位规划《南昌市高铁东站周边地区控制性详细规划》对地下空间规划的统一布局要求，规划区鼓励各规划地块合理利用地下空间。本评估区域地下工程主要是商业用地的地下配建停车位，商业地块地下室按2层计算，单层地下建筑面积按照占地面积1:0.5推算。</w:t>
      </w:r>
    </w:p>
    <w:p>
      <w:pPr>
        <w:pStyle w:val="143"/>
        <w:snapToGrid w:val="0"/>
        <w:spacing w:line="360" w:lineRule="auto"/>
        <w:ind w:firstLine="480"/>
        <w:rPr>
          <w:rFonts w:ascii="Times New Roman" w:hAnsi="Times New Roman" w:eastAsia="仿宋_GB2312" w:cs="Times New Roman"/>
          <w:color w:val="auto"/>
          <w:szCs w:val="24"/>
        </w:rPr>
      </w:pPr>
      <w:r>
        <w:rPr>
          <w:rFonts w:ascii="Times New Roman" w:hAnsi="Times New Roman" w:eastAsia="仿宋_GB2312" w:cs="Times New Roman"/>
          <w:color w:val="auto"/>
          <w:szCs w:val="24"/>
        </w:rPr>
        <w:t>按以上推算方式</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本次规划区域地下室工程地下建筑面积</w:t>
      </w:r>
      <w:r>
        <w:rPr>
          <w:rFonts w:hint="eastAsia" w:ascii="Times New Roman" w:hAnsi="Times New Roman" w:eastAsia="仿宋_GB2312" w:cs="Times New Roman"/>
          <w:color w:val="auto"/>
          <w:szCs w:val="24"/>
        </w:rPr>
        <w:t>1.56hm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w:t>
      </w:r>
    </w:p>
    <w:p>
      <w:pPr>
        <w:pStyle w:val="5"/>
        <w:rPr>
          <w:rFonts w:eastAsia="仿宋_GB2312"/>
          <w:color w:val="auto"/>
        </w:rPr>
      </w:pPr>
      <w:r>
        <w:rPr>
          <w:color w:val="auto"/>
        </w:rPr>
        <w:t>2</w:t>
      </w:r>
      <w:r>
        <w:rPr>
          <w:rFonts w:eastAsia="仿宋_GB2312"/>
          <w:color w:val="auto"/>
        </w:rPr>
        <w:t>.2</w:t>
      </w:r>
      <w:r>
        <w:rPr>
          <w:rFonts w:hint="eastAsia" w:eastAsia="仿宋_GB2312"/>
          <w:color w:val="auto"/>
        </w:rPr>
        <w:t>开发建设</w:t>
      </w:r>
      <w:r>
        <w:rPr>
          <w:rFonts w:eastAsia="仿宋_GB2312"/>
          <w:color w:val="auto"/>
        </w:rPr>
        <w:t>组织</w:t>
      </w:r>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p>
    <w:p>
      <w:pPr>
        <w:pStyle w:val="6"/>
        <w:rPr>
          <w:rFonts w:eastAsia="仿宋_GB2312"/>
          <w:color w:val="auto"/>
          <w:szCs w:val="30"/>
        </w:rPr>
      </w:pPr>
      <w:r>
        <w:rPr>
          <w:rFonts w:eastAsia="仿宋_GB2312"/>
          <w:color w:val="auto"/>
          <w:szCs w:val="30"/>
        </w:rPr>
        <w:t>2.2.1</w:t>
      </w:r>
      <w:r>
        <w:rPr>
          <w:rFonts w:eastAsia="仿宋_GB2312"/>
          <w:color w:val="auto"/>
          <w:szCs w:val="24"/>
        </w:rPr>
        <w:t>区域开发建设主管机关及管理机构</w:t>
      </w:r>
    </w:p>
    <w:p>
      <w:pPr>
        <w:pStyle w:val="143"/>
        <w:adjustRightInd/>
        <w:snapToGrid w:val="0"/>
        <w:spacing w:line="360" w:lineRule="auto"/>
        <w:ind w:firstLine="480"/>
        <w:rPr>
          <w:rFonts w:ascii="Times New Roman" w:hAnsi="Times New Roman" w:eastAsia="仿宋_GB2312" w:cs="Times New Roman"/>
          <w:color w:val="auto"/>
          <w:szCs w:val="24"/>
        </w:rPr>
      </w:pPr>
      <w:r>
        <w:rPr>
          <w:rFonts w:ascii="Times New Roman" w:hAnsi="Times New Roman" w:eastAsia="仿宋_GB2312" w:cs="Times New Roman"/>
          <w:color w:val="auto"/>
          <w:szCs w:val="24"/>
        </w:rPr>
        <w:t>本规划区开发建设主管机关为</w:t>
      </w:r>
      <w:r>
        <w:rPr>
          <w:rFonts w:hint="eastAsia" w:ascii="Times New Roman" w:hAnsi="Times New Roman" w:eastAsia="仿宋_GB2312" w:cs="Times New Roman"/>
          <w:color w:val="auto"/>
          <w:szCs w:val="24"/>
        </w:rPr>
        <w:t>“</w:t>
      </w:r>
      <w:r>
        <w:rPr>
          <w:rFonts w:hint="eastAsia" w:ascii="Times New Roman" w:hAnsi="Times New Roman" w:eastAsia="仿宋_GB2312" w:cs="Times New Roman"/>
          <w:color w:val="auto"/>
          <w:szCs w:val="24"/>
          <w:lang w:val="zh-CN"/>
        </w:rPr>
        <w:t>江西青山湖高新技术产业园管理委员会</w:t>
      </w:r>
      <w:r>
        <w:rPr>
          <w:rFonts w:hint="eastAsia" w:ascii="Times New Roman" w:hAnsi="Times New Roman" w:eastAsia="仿宋_GB2312" w:cs="Times New Roman"/>
          <w:color w:val="auto"/>
          <w:szCs w:val="24"/>
        </w:rPr>
        <w:t>”。</w:t>
      </w:r>
    </w:p>
    <w:p>
      <w:pPr>
        <w:pStyle w:val="6"/>
        <w:rPr>
          <w:rFonts w:eastAsia="仿宋_GB2312"/>
          <w:color w:val="auto"/>
          <w:szCs w:val="30"/>
        </w:rPr>
      </w:pPr>
      <w:r>
        <w:rPr>
          <w:rFonts w:eastAsia="仿宋_GB2312"/>
          <w:color w:val="auto"/>
          <w:szCs w:val="30"/>
        </w:rPr>
        <w:t>2.2.</w:t>
      </w:r>
      <w:r>
        <w:rPr>
          <w:rFonts w:hint="eastAsia" w:eastAsia="仿宋_GB2312"/>
          <w:color w:val="auto"/>
          <w:szCs w:val="30"/>
        </w:rPr>
        <w:t>2</w:t>
      </w:r>
      <w:r>
        <w:rPr>
          <w:rFonts w:eastAsia="仿宋_GB2312"/>
          <w:color w:val="auto"/>
          <w:szCs w:val="24"/>
        </w:rPr>
        <w:t>区域开发建设组织管理形式</w:t>
      </w:r>
    </w:p>
    <w:p>
      <w:pPr>
        <w:pStyle w:val="143"/>
        <w:adjustRightInd/>
        <w:snapToGrid w:val="0"/>
        <w:spacing w:line="360" w:lineRule="auto"/>
        <w:ind w:firstLine="480"/>
        <w:rPr>
          <w:rFonts w:ascii="Times New Roman" w:hAnsi="Times New Roman" w:eastAsia="仿宋_GB2312" w:cs="Times New Roman"/>
          <w:color w:val="auto"/>
          <w:szCs w:val="24"/>
        </w:rPr>
      </w:pPr>
      <w:r>
        <w:rPr>
          <w:rFonts w:ascii="Times New Roman" w:hAnsi="Times New Roman" w:eastAsia="仿宋_GB2312" w:cs="Times New Roman"/>
          <w:color w:val="auto"/>
          <w:szCs w:val="24"/>
        </w:rPr>
        <w:t>工程由项目建设单位</w:t>
      </w:r>
      <w:r>
        <w:rPr>
          <w:rFonts w:hint="eastAsia" w:ascii="Times New Roman" w:hAnsi="Times New Roman" w:eastAsia="仿宋_GB2312" w:cs="Times New Roman"/>
          <w:color w:val="auto"/>
          <w:szCs w:val="24"/>
          <w:lang w:val="zh-CN"/>
        </w:rPr>
        <w:t>江西青山湖高新技术产业园管理委员会</w:t>
      </w:r>
      <w:r>
        <w:rPr>
          <w:rFonts w:ascii="Times New Roman" w:hAnsi="Times New Roman" w:eastAsia="仿宋_GB2312" w:cs="Times New Roman"/>
          <w:color w:val="auto"/>
          <w:szCs w:val="24"/>
        </w:rPr>
        <w:t>负责工程建设的组织管理，同时负责对项目区内工程建设进行控制与引导，工程施工、监理采取招投标形式确定。施工管理贯穿施工全过程，通过计划、组织、协调、检查等手段，调动一切有利因素，努力实现各阶段的目标，减小对周边生产和环境造成影响。</w:t>
      </w:r>
    </w:p>
    <w:p>
      <w:pPr>
        <w:pStyle w:val="6"/>
        <w:rPr>
          <w:rFonts w:eastAsia="仿宋_GB2312"/>
          <w:color w:val="auto"/>
          <w:szCs w:val="30"/>
        </w:rPr>
      </w:pPr>
      <w:r>
        <w:rPr>
          <w:rFonts w:eastAsia="仿宋_GB2312"/>
          <w:color w:val="auto"/>
          <w:szCs w:val="30"/>
        </w:rPr>
        <w:t>2.2.</w:t>
      </w:r>
      <w:r>
        <w:rPr>
          <w:rFonts w:hint="eastAsia" w:eastAsia="仿宋_GB2312"/>
          <w:color w:val="auto"/>
          <w:szCs w:val="30"/>
        </w:rPr>
        <w:t>3</w:t>
      </w:r>
      <w:r>
        <w:rPr>
          <w:rFonts w:hint="eastAsia" w:eastAsia="仿宋_GB2312"/>
          <w:color w:val="auto"/>
          <w:szCs w:val="24"/>
        </w:rPr>
        <w:t>区域</w:t>
      </w:r>
      <w:r>
        <w:rPr>
          <w:rFonts w:eastAsia="仿宋_GB2312"/>
          <w:color w:val="auto"/>
          <w:szCs w:val="24"/>
        </w:rPr>
        <w:t>建设条件</w:t>
      </w:r>
    </w:p>
    <w:p>
      <w:pPr>
        <w:snapToGrid w:val="0"/>
        <w:spacing w:line="360" w:lineRule="auto"/>
        <w:ind w:firstLine="480" w:firstLineChars="200"/>
        <w:textAlignment w:val="baseline"/>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（1）交通条件</w:t>
      </w:r>
    </w:p>
    <w:p>
      <w:pPr>
        <w:snapToGrid w:val="0"/>
        <w:spacing w:line="360" w:lineRule="auto"/>
        <w:ind w:firstLine="480" w:firstLineChars="200"/>
        <w:textAlignment w:val="baseline"/>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规划区域对外交通便利，周边已建有谢佛路、南嵩路、杨家山路、昌南大道等市政道路。区内交通运输充分利用现有杨家山路和经十八路北段及后期于周边地块建设的市政道路，无需新建施工便道。</w:t>
      </w:r>
    </w:p>
    <w:p>
      <w:pPr>
        <w:snapToGrid w:val="0"/>
        <w:spacing w:line="360" w:lineRule="auto"/>
        <w:ind w:firstLine="480" w:firstLineChars="200"/>
        <w:textAlignment w:val="baseline"/>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区域内部各地块根据工程施工需要在各自场地内设置施工临时便道，以满足对内施工交通，施工交通便捷。</w:t>
      </w:r>
    </w:p>
    <w:p>
      <w:pPr>
        <w:snapToGrid w:val="0"/>
        <w:spacing w:line="360" w:lineRule="auto"/>
        <w:ind w:firstLine="480" w:firstLineChars="200"/>
        <w:textAlignment w:val="baseline"/>
        <w:rPr>
          <w:rFonts w:ascii="Times New Roman" w:hAnsi="Times New Roman" w:eastAsia="仿宋_GB2312" w:cs="Times New Roman"/>
          <w:color w:val="auto"/>
          <w:szCs w:val="24"/>
        </w:rPr>
      </w:pPr>
      <w:r>
        <w:rPr>
          <w:rFonts w:ascii="Times New Roman" w:hAnsi="Times New Roman" w:eastAsia="仿宋_GB2312" w:cs="Times New Roman"/>
          <w:color w:val="auto"/>
          <w:szCs w:val="24"/>
        </w:rPr>
        <w:t>（2）建筑材料</w:t>
      </w:r>
    </w:p>
    <w:p>
      <w:pPr>
        <w:snapToGrid w:val="0"/>
        <w:spacing w:line="360" w:lineRule="auto"/>
        <w:ind w:firstLine="480" w:firstLineChars="200"/>
        <w:textAlignment w:val="baseline"/>
        <w:rPr>
          <w:rFonts w:ascii="Times New Roman" w:hAnsi="Times New Roman" w:eastAsia="仿宋_GB2312" w:cs="Times New Roman"/>
          <w:color w:val="auto"/>
          <w:szCs w:val="24"/>
        </w:rPr>
      </w:pPr>
      <w:r>
        <w:rPr>
          <w:rFonts w:ascii="Times New Roman" w:hAnsi="Times New Roman" w:eastAsia="仿宋_GB2312" w:cs="Times New Roman"/>
          <w:color w:val="auto"/>
          <w:szCs w:val="24"/>
        </w:rPr>
        <w:t>区域建设所需建筑材料主要有钢材、水泥、砖块、木材、块石、砂砾料等。钢材、水泥、砖块、木材就近从本地市场采购；块石、砂砾料从周边具有开采许可证合法开采的料场采购。</w:t>
      </w:r>
    </w:p>
    <w:p>
      <w:pPr>
        <w:snapToGrid w:val="0"/>
        <w:spacing w:line="360" w:lineRule="auto"/>
        <w:ind w:firstLine="480" w:firstLineChars="200"/>
        <w:textAlignment w:val="baseline"/>
        <w:rPr>
          <w:rFonts w:ascii="Times New Roman" w:hAnsi="Times New Roman" w:eastAsia="仿宋_GB2312" w:cs="Times New Roman"/>
          <w:color w:val="auto"/>
          <w:szCs w:val="24"/>
        </w:rPr>
      </w:pPr>
      <w:r>
        <w:rPr>
          <w:rFonts w:ascii="Times New Roman" w:hAnsi="Times New Roman" w:eastAsia="仿宋_GB2312" w:cs="Times New Roman"/>
          <w:color w:val="auto"/>
          <w:szCs w:val="24"/>
        </w:rPr>
        <w:t>（3）水、电供应</w:t>
      </w:r>
    </w:p>
    <w:p>
      <w:pPr>
        <w:snapToGrid w:val="0"/>
        <w:spacing w:line="360" w:lineRule="auto"/>
        <w:ind w:firstLine="480" w:firstLineChars="200"/>
        <w:textAlignment w:val="baseline"/>
        <w:rPr>
          <w:rFonts w:ascii="Times New Roman" w:hAnsi="Times New Roman" w:eastAsia="仿宋_GB2312" w:cs="Times New Roman"/>
          <w:color w:val="auto"/>
          <w:szCs w:val="24"/>
        </w:rPr>
      </w:pPr>
      <w:r>
        <w:rPr>
          <w:rFonts w:ascii="Times New Roman" w:hAnsi="Times New Roman" w:eastAsia="仿宋_GB2312" w:cs="Times New Roman"/>
          <w:color w:val="auto"/>
          <w:szCs w:val="24"/>
        </w:rPr>
        <w:t>施工用水可采用市政供水或从附近水体取水；施工用电采用市政供电，均可以满足施工需要。</w:t>
      </w:r>
    </w:p>
    <w:p>
      <w:pPr>
        <w:snapToGrid w:val="0"/>
        <w:spacing w:line="360" w:lineRule="auto"/>
        <w:ind w:firstLine="480" w:firstLineChars="200"/>
        <w:textAlignment w:val="baseline"/>
        <w:rPr>
          <w:rFonts w:ascii="Times New Roman" w:hAnsi="Times New Roman" w:eastAsia="仿宋_GB2312" w:cs="Times New Roman"/>
          <w:color w:val="auto"/>
          <w:szCs w:val="24"/>
        </w:rPr>
      </w:pPr>
      <w:r>
        <w:rPr>
          <w:rFonts w:ascii="Times New Roman" w:hAnsi="Times New Roman" w:eastAsia="仿宋_GB2312" w:cs="Times New Roman"/>
          <w:color w:val="auto"/>
          <w:szCs w:val="24"/>
        </w:rPr>
        <w:t>（4）施工临时设施布置</w:t>
      </w:r>
    </w:p>
    <w:p>
      <w:pPr>
        <w:snapToGrid w:val="0"/>
        <w:spacing w:line="360" w:lineRule="auto"/>
        <w:ind w:firstLine="480" w:firstLineChars="200"/>
        <w:textAlignment w:val="baseline"/>
        <w:rPr>
          <w:rFonts w:ascii="Times New Roman" w:hAnsi="Times New Roman" w:eastAsia="仿宋_GB2312" w:cs="Times New Roman"/>
          <w:color w:val="auto"/>
          <w:szCs w:val="24"/>
        </w:rPr>
      </w:pPr>
      <w:r>
        <w:rPr>
          <w:rFonts w:ascii="Times New Roman" w:hAnsi="Times New Roman" w:eastAsia="仿宋_GB2312" w:cs="Times New Roman"/>
          <w:color w:val="auto"/>
          <w:szCs w:val="24"/>
        </w:rPr>
        <w:t>规划区施工临时场地主要包括施工生产生活区、临时堆土堆料场等施工临时场地，主道路施工临时场地一般布置于道路路基上，各区块施工临时场地一般布置于各自地块内。本区域施工临时场地均布置于区块和道路永久占地范围内，不另行征借土地。</w:t>
      </w:r>
    </w:p>
    <w:p>
      <w:pPr>
        <w:snapToGrid w:val="0"/>
        <w:spacing w:line="360" w:lineRule="auto"/>
        <w:ind w:firstLine="480" w:firstLineChars="200"/>
        <w:textAlignment w:val="baseline"/>
        <w:rPr>
          <w:rFonts w:ascii="Times New Roman" w:hAnsi="Times New Roman" w:eastAsia="仿宋_GB2312" w:cs="Times New Roman"/>
          <w:color w:val="auto"/>
          <w:szCs w:val="24"/>
        </w:rPr>
      </w:pPr>
      <w:r>
        <w:rPr>
          <w:rFonts w:ascii="Times New Roman" w:hAnsi="Times New Roman" w:eastAsia="仿宋_GB2312" w:cs="Times New Roman"/>
          <w:color w:val="auto"/>
          <w:szCs w:val="24"/>
        </w:rPr>
        <w:t>（5）施工时序</w:t>
      </w:r>
    </w:p>
    <w:p>
      <w:pPr>
        <w:pStyle w:val="143"/>
        <w:adjustRightInd/>
        <w:snapToGrid w:val="0"/>
        <w:spacing w:line="360" w:lineRule="auto"/>
        <w:ind w:firstLine="480"/>
        <w:rPr>
          <w:rFonts w:ascii="Times New Roman" w:hAnsi="Times New Roman" w:eastAsia="仿宋_GB2312" w:cs="Times New Roman"/>
          <w:color w:val="auto"/>
          <w:szCs w:val="24"/>
        </w:rPr>
      </w:pPr>
      <w:r>
        <w:rPr>
          <w:rFonts w:ascii="Times New Roman" w:hAnsi="Times New Roman" w:eastAsia="仿宋_GB2312" w:cs="Times New Roman"/>
          <w:color w:val="auto"/>
          <w:szCs w:val="24"/>
        </w:rPr>
        <w:t>本规划区域建设按</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分区分块分期</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的原则安排区域内各道路及公共绿化的施工。在施工过程中，先进行区域内地块表土剥离、场地平整，然后开始区域内管线及道路施工，最后进行绿化施工。与此同时，先实施水土保持工程措施和临时措施，待区域内各地块排水沉沙、临时施工场地、土方中转区等措施落实后，再进行道路施工，最后待规划区建设施工结束时根据施工工期及气候条件进行场地清理和绿化。</w:t>
      </w:r>
    </w:p>
    <w:p>
      <w:pPr>
        <w:pStyle w:val="6"/>
        <w:rPr>
          <w:rFonts w:eastAsia="仿宋_GB2312"/>
          <w:color w:val="auto"/>
          <w:szCs w:val="30"/>
        </w:rPr>
      </w:pPr>
      <w:r>
        <w:rPr>
          <w:rFonts w:eastAsia="仿宋_GB2312"/>
          <w:color w:val="auto"/>
          <w:szCs w:val="30"/>
        </w:rPr>
        <w:t>2.2.</w:t>
      </w:r>
      <w:r>
        <w:rPr>
          <w:rFonts w:hint="eastAsia" w:eastAsia="仿宋_GB2312"/>
          <w:color w:val="auto"/>
          <w:szCs w:val="30"/>
        </w:rPr>
        <w:t>4</w:t>
      </w:r>
      <w:r>
        <w:rPr>
          <w:rFonts w:hint="eastAsia" w:eastAsia="仿宋_GB2312"/>
          <w:color w:val="auto"/>
          <w:szCs w:val="24"/>
        </w:rPr>
        <w:t>临时堆土场</w:t>
      </w:r>
    </w:p>
    <w:p>
      <w:pPr>
        <w:pStyle w:val="143"/>
        <w:adjustRightInd/>
        <w:snapToGrid w:val="0"/>
        <w:spacing w:line="360" w:lineRule="auto"/>
        <w:ind w:firstLine="482"/>
        <w:rPr>
          <w:rFonts w:hint="eastAsia" w:ascii="Times New Roman" w:hAnsi="Times New Roman" w:eastAsia="仿宋_GB2312" w:cs="Times New Roman"/>
          <w:color w:val="auto"/>
          <w:szCs w:val="24"/>
        </w:rPr>
      </w:pPr>
      <w:r>
        <w:rPr>
          <w:rFonts w:hint="eastAsia" w:ascii="Times New Roman" w:hAnsi="Times New Roman" w:eastAsia="仿宋_GB2312" w:cs="Times New Roman"/>
          <w:color w:val="auto"/>
          <w:szCs w:val="24"/>
        </w:rPr>
        <w:t>（1）晾干淤泥堆场</w:t>
      </w:r>
    </w:p>
    <w:p>
      <w:pPr>
        <w:pStyle w:val="143"/>
        <w:adjustRightInd/>
        <w:snapToGrid w:val="0"/>
        <w:spacing w:line="360" w:lineRule="auto"/>
        <w:ind w:firstLine="482"/>
        <w:rPr>
          <w:rFonts w:hint="eastAsia" w:ascii="Times New Roman" w:hAnsi="Times New Roman" w:eastAsia="仿宋_GB2312" w:cs="Times New Roman"/>
          <w:color w:val="auto"/>
          <w:szCs w:val="24"/>
        </w:rPr>
      </w:pPr>
      <w:r>
        <w:rPr>
          <w:rFonts w:ascii="Times New Roman" w:hAnsi="Times New Roman" w:eastAsia="仿宋_GB2312" w:cs="Times New Roman"/>
          <w:color w:val="auto"/>
          <w:szCs w:val="24"/>
        </w:rPr>
        <w:t>规划区域建设时间为</w:t>
      </w:r>
      <w:r>
        <w:rPr>
          <w:rFonts w:hint="eastAsia" w:ascii="Times New Roman" w:hAnsi="Times New Roman" w:eastAsia="仿宋_GB2312" w:cs="Times New Roman"/>
          <w:color w:val="auto"/>
          <w:szCs w:val="24"/>
        </w:rPr>
        <w:t>2021年1月至2025年12月，规划区域原始地势较为低洼，较区域规划设计高程低1~3m，各地块及道路大部为填土，均需外借土方，故不设一般土方中转场。因规划区域内中部、南部及东北角分布有坑塘水面，占区域面积的9.45%，水塘内存在约0.5m厚淤泥。为充分利用区域内土方，将水塘抽干后淤泥就地晾晒，晾干后集中运至</w:t>
      </w:r>
      <w:r>
        <w:rPr>
          <w:rFonts w:hint="eastAsia" w:ascii="Times New Roman" w:hAnsi="Times New Roman" w:eastAsia="仿宋_GB2312" w:cs="Times New Roman"/>
          <w:color w:val="auto"/>
          <w:szCs w:val="24"/>
        </w:rPr>
        <w:t>E20地块</w:t>
      </w:r>
      <w:r>
        <w:rPr>
          <w:rFonts w:hint="eastAsia" w:ascii="Times New Roman" w:hAnsi="Times New Roman" w:eastAsia="仿宋_GB2312" w:cs="Times New Roman"/>
          <w:color w:val="auto"/>
          <w:szCs w:val="24"/>
        </w:rPr>
        <w:t>内设置的</w:t>
      </w:r>
      <w:r>
        <w:rPr>
          <w:rFonts w:hint="eastAsia" w:ascii="Times New Roman" w:hAnsi="Times New Roman" w:eastAsia="仿宋_GB2312" w:cs="Times New Roman"/>
          <w:color w:val="auto"/>
          <w:szCs w:val="24"/>
        </w:rPr>
        <w:t>晾干淤泥堆场</w:t>
      </w:r>
      <w:r>
        <w:rPr>
          <w:rFonts w:hint="eastAsia" w:ascii="Times New Roman" w:hAnsi="Times New Roman" w:eastAsia="仿宋_GB2312" w:cs="Times New Roman"/>
          <w:color w:val="auto"/>
          <w:szCs w:val="24"/>
        </w:rPr>
        <w:t>临时堆存，用于绿地区域的土方周转、调配。</w:t>
      </w:r>
      <w:r>
        <w:rPr>
          <w:rFonts w:hint="eastAsia" w:ascii="Times New Roman" w:hAnsi="Times New Roman" w:eastAsia="仿宋_GB2312" w:cs="Times New Roman"/>
          <w:color w:val="auto"/>
          <w:szCs w:val="24"/>
        </w:rPr>
        <w:t>晾干淤泥堆场</w:t>
      </w:r>
      <w:r>
        <w:rPr>
          <w:rFonts w:hint="eastAsia" w:ascii="Times New Roman" w:hAnsi="Times New Roman" w:eastAsia="仿宋_GB2312" w:cs="Times New Roman"/>
          <w:color w:val="auto"/>
          <w:szCs w:val="24"/>
        </w:rPr>
        <w:t>堆存晾干淤泥土方4.73万m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，最大堆高3m，堆存面积2.04hm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w:t>
      </w:r>
    </w:p>
    <w:p>
      <w:pPr>
        <w:pStyle w:val="143"/>
        <w:adjustRightInd/>
        <w:snapToGrid w:val="0"/>
        <w:spacing w:line="360" w:lineRule="auto"/>
        <w:ind w:firstLine="482"/>
        <w:rPr>
          <w:rFonts w:hint="eastAsia" w:ascii="Times New Roman" w:hAnsi="Times New Roman" w:eastAsia="仿宋_GB2312" w:cs="Times New Roman"/>
          <w:color w:val="auto"/>
          <w:szCs w:val="24"/>
        </w:rPr>
      </w:pPr>
      <w:r>
        <w:rPr>
          <w:rFonts w:hint="eastAsia" w:ascii="Times New Roman" w:hAnsi="Times New Roman" w:eastAsia="仿宋_GB2312" w:cs="Times New Roman"/>
          <w:color w:val="auto"/>
          <w:szCs w:val="24"/>
        </w:rPr>
        <w:t>（2）临时表土堆场</w:t>
      </w:r>
    </w:p>
    <w:p>
      <w:pPr>
        <w:pStyle w:val="143"/>
        <w:adjustRightInd/>
        <w:snapToGrid w:val="0"/>
        <w:spacing w:line="360" w:lineRule="auto"/>
        <w:ind w:firstLine="482"/>
        <w:rPr>
          <w:rFonts w:hint="eastAsia" w:ascii="Times New Roman" w:hAnsi="Times New Roman" w:eastAsia="仿宋_GB2312" w:cs="Times New Roman"/>
          <w:color w:val="auto"/>
          <w:szCs w:val="24"/>
        </w:rPr>
      </w:pPr>
      <w:r>
        <w:rPr>
          <w:rFonts w:hint="eastAsia" w:ascii="Times New Roman" w:hAnsi="Times New Roman" w:eastAsia="仿宋_GB2312" w:cs="Times New Roman"/>
          <w:color w:val="auto"/>
          <w:szCs w:val="24"/>
        </w:rPr>
        <w:t>根据区域内土地占地现状，其中耕地、林地、草地部分均有可用表土剥离，其中耕地、林地表土剥离平均厚度按0.3m估算，草地表土剥离平均厚度按0.2m估算，耕地面积12.11hm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，林地面积3.06hm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，草地面积1.79hm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，共计剥离表土4.91万m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。根据开发建设时序安排，其他区域施工场平前剥离的表土集中堆放至</w:t>
      </w:r>
      <w:r>
        <w:rPr>
          <w:rFonts w:hint="eastAsia" w:ascii="Times New Roman" w:hAnsi="Times New Roman" w:eastAsia="仿宋_GB2312" w:cs="Times New Roman"/>
          <w:color w:val="auto"/>
          <w:szCs w:val="24"/>
        </w:rPr>
        <w:t>E22地块内的临时表土堆场内，</w:t>
      </w:r>
      <w:r>
        <w:rPr>
          <w:rFonts w:hint="eastAsia" w:ascii="Times New Roman" w:hAnsi="Times New Roman" w:eastAsia="仿宋_GB2312" w:cs="Times New Roman"/>
          <w:color w:val="auto"/>
          <w:szCs w:val="24"/>
        </w:rPr>
        <w:t>最大堆高3m，临时表土堆场堆存面积2.45hm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w:t>
      </w:r>
    </w:p>
    <w:p>
      <w:pPr>
        <w:adjustRightInd w:val="0"/>
        <w:snapToGrid w:val="0"/>
        <w:spacing w:line="360" w:lineRule="auto"/>
        <w:jc w:val="center"/>
        <w:rPr>
          <w:rFonts w:hint="eastAsia" w:ascii="Times New Roman" w:hAnsi="Times New Roman" w:eastAsia="仿宋_GB2312" w:cs="Times New Roman"/>
          <w:b/>
          <w:color w:val="auto"/>
          <w:szCs w:val="24"/>
          <w:lang w:eastAsia="zh-CN"/>
        </w:rPr>
      </w:pPr>
      <w:r>
        <w:rPr>
          <w:rFonts w:hint="eastAsia" w:ascii="Times New Roman" w:hAnsi="Times New Roman" w:eastAsia="仿宋_GB2312" w:cs="Times New Roman"/>
          <w:b/>
          <w:color w:val="auto"/>
          <w:szCs w:val="24"/>
          <w:lang w:eastAsia="zh-CN"/>
        </w:rPr>
        <w:drawing>
          <wp:inline distT="0" distB="0" distL="114300" distR="114300">
            <wp:extent cx="5274310" cy="3957955"/>
            <wp:effectExtent l="0" t="0" r="2540" b="4445"/>
            <wp:docPr id="18" name="图片 18" descr="b9808f8aaedcac591faa104d2c85c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b9808f8aaedcac591faa104d2c85cb8"/>
                    <pic:cNvPicPr>
                      <a:picLocks noChangeAspect="1"/>
                    </pic:cNvPicPr>
                  </pic:nvPicPr>
                  <pic:blipFill>
                    <a:blip r:embed="rId79"/>
                    <a:stretch>
                      <a:fillRect/>
                    </a:stretch>
                  </pic:blipFill>
                  <pic:spPr>
                    <a:xfrm>
                      <a:off x="0" y="0"/>
                      <a:ext cx="5274310" cy="3957955"/>
                    </a:xfrm>
                    <a:prstGeom prst="rect">
                      <a:avLst/>
                    </a:prstGeom>
                  </pic:spPr>
                </pic:pic>
              </a:graphicData>
            </a:graphic>
          </wp:inline>
        </w:drawing>
      </w:r>
    </w:p>
    <w:p>
      <w:pPr>
        <w:adjustRightInd w:val="0"/>
        <w:snapToGrid w:val="0"/>
        <w:spacing w:line="360" w:lineRule="auto"/>
        <w:jc w:val="center"/>
        <w:rPr>
          <w:rFonts w:ascii="Times New Roman" w:hAnsi="Times New Roman" w:eastAsia="仿宋_GB2312" w:cs="Times New Roman"/>
          <w:color w:val="auto"/>
          <w:szCs w:val="24"/>
        </w:rPr>
      </w:pPr>
      <w:r>
        <w:rPr>
          <w:rFonts w:hint="eastAsia" w:ascii="Times New Roman" w:hAnsi="Times New Roman" w:eastAsia="仿宋_GB2312" w:cs="Times New Roman"/>
          <w:b/>
          <w:color w:val="auto"/>
          <w:szCs w:val="24"/>
        </w:rPr>
        <w:t>图2.2-1：临时堆土场布置情况位置图</w:t>
      </w:r>
    </w:p>
    <w:p>
      <w:pPr>
        <w:pStyle w:val="6"/>
        <w:rPr>
          <w:rFonts w:eastAsia="仿宋_GB2312"/>
          <w:color w:val="auto"/>
          <w:szCs w:val="30"/>
        </w:rPr>
      </w:pPr>
      <w:r>
        <w:rPr>
          <w:rFonts w:eastAsia="仿宋_GB2312"/>
          <w:color w:val="auto"/>
          <w:szCs w:val="30"/>
        </w:rPr>
        <w:t>2.2.</w:t>
      </w:r>
      <w:r>
        <w:rPr>
          <w:rFonts w:hint="eastAsia" w:eastAsia="仿宋_GB2312"/>
          <w:color w:val="auto"/>
          <w:szCs w:val="30"/>
        </w:rPr>
        <w:t>5</w:t>
      </w:r>
      <w:r>
        <w:rPr>
          <w:rFonts w:hint="eastAsia" w:eastAsia="仿宋_GB2312"/>
          <w:color w:val="auto"/>
          <w:szCs w:val="24"/>
        </w:rPr>
        <w:t>施工</w:t>
      </w:r>
      <w:r>
        <w:rPr>
          <w:rFonts w:eastAsia="仿宋_GB2312"/>
          <w:color w:val="auto"/>
          <w:szCs w:val="24"/>
        </w:rPr>
        <w:t>生产生活区</w:t>
      </w:r>
    </w:p>
    <w:p>
      <w:pPr>
        <w:pStyle w:val="143"/>
        <w:snapToGrid w:val="0"/>
        <w:spacing w:line="360" w:lineRule="auto"/>
        <w:ind w:firstLine="480"/>
        <w:rPr>
          <w:rFonts w:ascii="Times New Roman" w:hAnsi="Times New Roman" w:eastAsia="仿宋_GB2312" w:cs="Times New Roman"/>
          <w:color w:val="auto"/>
          <w:szCs w:val="24"/>
        </w:rPr>
      </w:pPr>
      <w:r>
        <w:rPr>
          <w:rFonts w:ascii="Times New Roman" w:hAnsi="Times New Roman" w:eastAsia="仿宋_GB2312" w:cs="Times New Roman"/>
          <w:color w:val="auto"/>
          <w:szCs w:val="24"/>
        </w:rPr>
        <w:t>评估区域的建设方式为</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公共基础设施区建设内容</w:t>
      </w:r>
      <w:r>
        <w:rPr>
          <w:rFonts w:hint="eastAsia" w:ascii="Times New Roman" w:hAnsi="Times New Roman" w:eastAsia="仿宋_GB2312" w:cs="Times New Roman"/>
          <w:color w:val="auto"/>
          <w:szCs w:val="24"/>
        </w:rPr>
        <w:t>（包括区域内道路、管线、绿化等内容）除公用设施用地地块（E04、E16和E18）仅进行场地初平，其他全部由区域管理机构先行统一场平建设，后期其他功能区域块建设由入驻企业和单位进场后按规划进行本区块的场地平整和建设。区域管理机构先行统一场平建设过程中施工生活区可租用附近已修建的民房，施工生产区布置在各地块内部，无需新增施工场地。后期入驻企业及单位进场后的施工生产生活在已平整的场地地块内布设。</w:t>
      </w:r>
    </w:p>
    <w:p>
      <w:pPr>
        <w:pStyle w:val="6"/>
        <w:rPr>
          <w:rFonts w:eastAsia="仿宋_GB2312"/>
          <w:color w:val="auto"/>
          <w:szCs w:val="30"/>
        </w:rPr>
      </w:pPr>
      <w:r>
        <w:rPr>
          <w:rFonts w:eastAsia="仿宋_GB2312"/>
          <w:color w:val="auto"/>
          <w:szCs w:val="30"/>
        </w:rPr>
        <w:t>2.2.</w:t>
      </w:r>
      <w:r>
        <w:rPr>
          <w:rFonts w:hint="eastAsia" w:eastAsia="仿宋_GB2312"/>
          <w:color w:val="auto"/>
          <w:szCs w:val="30"/>
        </w:rPr>
        <w:t>6</w:t>
      </w:r>
      <w:r>
        <w:rPr>
          <w:rFonts w:hint="eastAsia" w:eastAsia="仿宋_GB2312"/>
          <w:color w:val="auto"/>
          <w:szCs w:val="24"/>
        </w:rPr>
        <w:t>苗木移栽</w:t>
      </w:r>
      <w:r>
        <w:rPr>
          <w:rFonts w:eastAsia="仿宋_GB2312"/>
          <w:color w:val="auto"/>
          <w:szCs w:val="24"/>
        </w:rPr>
        <w:t>区</w:t>
      </w:r>
    </w:p>
    <w:p>
      <w:pPr>
        <w:pStyle w:val="143"/>
        <w:snapToGrid w:val="0"/>
        <w:spacing w:line="360" w:lineRule="auto"/>
        <w:ind w:firstLine="480"/>
        <w:rPr>
          <w:rFonts w:hint="eastAsia" w:ascii="Times New Roman" w:hAnsi="Times New Roman" w:eastAsia="仿宋_GB2312" w:cs="Times New Roman"/>
          <w:color w:val="auto"/>
          <w:szCs w:val="24"/>
        </w:rPr>
      </w:pPr>
      <w:r>
        <w:rPr>
          <w:rFonts w:hint="eastAsia" w:ascii="Times New Roman" w:hAnsi="Times New Roman" w:eastAsia="仿宋_GB2312" w:cs="Times New Roman"/>
          <w:color w:val="auto"/>
          <w:szCs w:val="24"/>
        </w:rPr>
        <w:t>区域内有约150株长势较好的原始乔木可采用移栽方式进行保护利用，本区域在项目区F08地块处布设1处苗木移栽区，移栽树间距为3m×3m，占地0.14hm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，达到移栽条件的树木将移栽至该区，区域内绿化施工时可将树种栽植至绿化区。</w:t>
      </w:r>
    </w:p>
    <w:p>
      <w:pPr>
        <w:adjustRightInd w:val="0"/>
        <w:snapToGrid w:val="0"/>
        <w:spacing w:line="360" w:lineRule="auto"/>
        <w:jc w:val="center"/>
        <w:rPr>
          <w:rFonts w:hint="eastAsia" w:ascii="Times New Roman" w:hAnsi="Times New Roman" w:eastAsia="仿宋_GB2312" w:cs="Times New Roman"/>
          <w:b/>
          <w:color w:val="auto"/>
          <w:szCs w:val="24"/>
          <w:lang w:eastAsia="zh-CN"/>
        </w:rPr>
      </w:pPr>
      <w:r>
        <w:rPr>
          <w:rFonts w:hint="eastAsia" w:ascii="Times New Roman" w:hAnsi="Times New Roman" w:eastAsia="仿宋_GB2312" w:cs="Times New Roman"/>
          <w:b/>
          <w:color w:val="auto"/>
          <w:szCs w:val="24"/>
          <w:lang w:eastAsia="zh-CN"/>
        </w:rPr>
        <w:drawing>
          <wp:inline distT="0" distB="0" distL="114300" distR="114300">
            <wp:extent cx="5266690" cy="3738245"/>
            <wp:effectExtent l="0" t="0" r="10160" b="14605"/>
            <wp:docPr id="37" name="图片 37" descr="6b8c76b910a27907d9bcc4bb2e6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6b8c76b910a27907d9bcc4bb2e64009"/>
                    <pic:cNvPicPr>
                      <a:picLocks noChangeAspect="1"/>
                    </pic:cNvPicPr>
                  </pic:nvPicPr>
                  <pic:blipFill>
                    <a:blip r:embed="rId80"/>
                    <a:stretch>
                      <a:fillRect/>
                    </a:stretch>
                  </pic:blipFill>
                  <pic:spPr>
                    <a:xfrm>
                      <a:off x="0" y="0"/>
                      <a:ext cx="5266690" cy="3738245"/>
                    </a:xfrm>
                    <a:prstGeom prst="rect">
                      <a:avLst/>
                    </a:prstGeom>
                  </pic:spPr>
                </pic:pic>
              </a:graphicData>
            </a:graphic>
          </wp:inline>
        </w:drawing>
      </w:r>
    </w:p>
    <w:p>
      <w:pPr>
        <w:adjustRightInd w:val="0"/>
        <w:snapToGrid w:val="0"/>
        <w:spacing w:line="360" w:lineRule="auto"/>
        <w:jc w:val="center"/>
        <w:rPr>
          <w:rFonts w:ascii="Times New Roman" w:hAnsi="Times New Roman" w:eastAsia="仿宋_GB2312" w:cs="Times New Roman"/>
          <w:color w:val="auto"/>
          <w:szCs w:val="24"/>
        </w:rPr>
      </w:pPr>
      <w:r>
        <w:rPr>
          <w:rFonts w:hint="eastAsia" w:ascii="Times New Roman" w:hAnsi="Times New Roman" w:eastAsia="仿宋_GB2312" w:cs="Times New Roman"/>
          <w:b/>
          <w:color w:val="auto"/>
          <w:szCs w:val="24"/>
        </w:rPr>
        <w:t>图2.2-2：苗木移栽区布置情况位置图</w:t>
      </w:r>
    </w:p>
    <w:p>
      <w:pPr>
        <w:pStyle w:val="6"/>
        <w:rPr>
          <w:color w:val="auto"/>
          <w:szCs w:val="30"/>
        </w:rPr>
      </w:pPr>
      <w:r>
        <w:rPr>
          <w:color w:val="auto"/>
          <w:szCs w:val="30"/>
        </w:rPr>
        <w:t>2.2.</w:t>
      </w:r>
      <w:r>
        <w:rPr>
          <w:rFonts w:hint="eastAsia"/>
          <w:color w:val="auto"/>
          <w:szCs w:val="30"/>
        </w:rPr>
        <w:t>7</w:t>
      </w:r>
      <w:r>
        <w:rPr>
          <w:rFonts w:eastAsia="仿宋_GB2312"/>
          <w:color w:val="auto"/>
          <w:szCs w:val="30"/>
        </w:rPr>
        <w:t>施工工艺</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（一）各地块清表及场地平整施工工艺</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（1）</w:t>
      </w:r>
      <w:r>
        <w:rPr>
          <w:rFonts w:ascii="Times New Roman" w:hAnsi="Times New Roman" w:eastAsia="仿宋_GB2312" w:cs="Times New Roman"/>
          <w:color w:val="auto"/>
          <w:szCs w:val="24"/>
        </w:rPr>
        <w:t>清表工程</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区域各地块场地平整之前首先对区域耕地、林地</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草地等区域进行表层耕植土剥离，根据现场实测耕植土厚度约20~30cm，施工前剥离厚度20~30cm。施工主要采用机械配合人工开挖方式，先用推土机等施工机械剥离，局部配合人工方式施工，通过自卸汽车运输运至</w:t>
      </w:r>
      <w:r>
        <w:rPr>
          <w:rFonts w:hint="eastAsia" w:ascii="Times New Roman" w:hAnsi="Times New Roman" w:eastAsia="仿宋_GB2312" w:cs="Times New Roman"/>
          <w:color w:val="auto"/>
          <w:szCs w:val="24"/>
        </w:rPr>
        <w:t>E</w:t>
      </w:r>
      <w:r>
        <w:rPr>
          <w:rFonts w:hint="eastAsia" w:ascii="Times New Roman" w:hAnsi="Times New Roman" w:eastAsia="仿宋_GB2312" w:cs="Times New Roman"/>
          <w:color w:val="auto"/>
          <w:szCs w:val="24"/>
          <w:lang w:val="en-US" w:eastAsia="zh-CN"/>
        </w:rPr>
        <w:t>22</w:t>
      </w:r>
      <w:r>
        <w:rPr>
          <w:rFonts w:hint="eastAsia" w:ascii="Times New Roman" w:hAnsi="Times New Roman" w:eastAsia="仿宋_GB2312" w:cs="Times New Roman"/>
          <w:color w:val="auto"/>
          <w:szCs w:val="24"/>
        </w:rPr>
        <w:t>地块临时表土堆场</w:t>
      </w:r>
      <w:r>
        <w:rPr>
          <w:rFonts w:ascii="Times New Roman" w:hAnsi="Times New Roman" w:eastAsia="仿宋_GB2312" w:cs="Times New Roman"/>
          <w:color w:val="auto"/>
          <w:szCs w:val="24"/>
        </w:rPr>
        <w:t>，施工后期剥离的表层耕植土全部用于工程绿化覆土。经清表后产生的绿化覆土通过自卸汽车运输，运至需覆土的区域，同时采用挖掘机挖装对该区域进行有效的覆土，局部辅以人工回填覆土。</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2）清淤工程：规划区域内中部、南部及东北角分布有坑塘水面，占区域面积的9.45%，水塘内存在约0.5m厚淤泥。场地填筑前先将坑塘水体抽干，将塘内淤泥就地晾晒，晾干后通过挖机配合人工开挖，自卸汽车运至E</w:t>
      </w:r>
      <w:r>
        <w:rPr>
          <w:rFonts w:hint="eastAsia" w:ascii="Times New Roman" w:hAnsi="Times New Roman" w:eastAsia="仿宋_GB2312" w:cs="Times New Roman"/>
          <w:color w:val="auto"/>
          <w:szCs w:val="24"/>
          <w:lang w:val="en-US" w:eastAsia="zh-CN"/>
        </w:rPr>
        <w:t>20</w:t>
      </w:r>
      <w:r>
        <w:rPr>
          <w:rFonts w:hint="eastAsia" w:ascii="Times New Roman" w:hAnsi="Times New Roman" w:eastAsia="仿宋_GB2312" w:cs="Times New Roman"/>
          <w:color w:val="auto"/>
          <w:szCs w:val="24"/>
        </w:rPr>
        <w:t>地块的</w:t>
      </w:r>
      <w:r>
        <w:rPr>
          <w:rFonts w:hint="eastAsia" w:ascii="Times New Roman" w:hAnsi="Times New Roman" w:eastAsia="仿宋_GB2312" w:cs="Times New Roman"/>
          <w:color w:val="auto"/>
          <w:szCs w:val="24"/>
          <w:lang w:val="en-US" w:eastAsia="zh-CN"/>
        </w:rPr>
        <w:t>y淤泥晾干场</w:t>
      </w:r>
      <w:r>
        <w:rPr>
          <w:rFonts w:hint="eastAsia" w:ascii="Times New Roman" w:hAnsi="Times New Roman" w:eastAsia="仿宋_GB2312" w:cs="Times New Roman"/>
          <w:color w:val="auto"/>
          <w:szCs w:val="24"/>
        </w:rPr>
        <w:t>晾晒堆存。待后期绿地施工启动后，回填至绿地区域进行场地抬高。</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（3）</w:t>
      </w:r>
      <w:r>
        <w:rPr>
          <w:rFonts w:ascii="Times New Roman" w:hAnsi="Times New Roman" w:eastAsia="仿宋_GB2312" w:cs="Times New Roman"/>
          <w:color w:val="auto"/>
          <w:szCs w:val="24"/>
        </w:rPr>
        <w:t>场地平整施工</w:t>
      </w:r>
      <w:r>
        <w:rPr>
          <w:rFonts w:hint="eastAsia" w:ascii="Times New Roman" w:hAnsi="Times New Roman" w:eastAsia="仿宋_GB2312" w:cs="Times New Roman"/>
          <w:color w:val="auto"/>
          <w:szCs w:val="24"/>
        </w:rPr>
        <w:t>：场地内部分地块存在征地、拆迁情况，拆迁总面积5.55hm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，拆迁产生建筑垃圾约1.5万m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。拆迁工作由青山湖区罗家镇拆迁部门实施，按工期要求在工程正式开工前完成此项工作，为工程顺利施工创造条件。因区域需大量填土，为充分利用场地土石方，拆迁产生的约1.5万m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建筑垃圾在场地内机械破碎后用于区域内低洼区域回填。</w:t>
      </w:r>
      <w:r>
        <w:rPr>
          <w:rFonts w:ascii="Times New Roman" w:hAnsi="Times New Roman" w:eastAsia="仿宋_GB2312" w:cs="Times New Roman"/>
          <w:color w:val="auto"/>
          <w:szCs w:val="24"/>
        </w:rPr>
        <w:t>场地平整采用挖掘机、铲车、推土机、自卸汽车、振动碾、压路机等机械施工方式，局部配合人工方式。</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（二）道路建设施工工艺</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（1）清基工程：</w:t>
      </w:r>
      <w:r>
        <w:rPr>
          <w:rFonts w:ascii="Times New Roman" w:hAnsi="Times New Roman" w:eastAsia="仿宋_GB2312" w:cs="Times New Roman"/>
          <w:color w:val="auto"/>
          <w:szCs w:val="24"/>
        </w:rPr>
        <w:t>路基工程开挖、填筑前，清理地表杂物，耕地区域先剥离表层耕植土，涉塘区域进行清淤。剥离表层耕植土以推土机、挖掘机为主，辅以人工作业，清淤采用机械配合人工方式，后期用于道路绿化覆土。</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（2）路基施工：</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①</w:t>
      </w:r>
      <w:r>
        <w:rPr>
          <w:rFonts w:ascii="Times New Roman" w:hAnsi="Times New Roman" w:eastAsia="仿宋_GB2312" w:cs="Times New Roman"/>
          <w:color w:val="auto"/>
          <w:szCs w:val="24"/>
        </w:rPr>
        <w:t>路基土石方工程</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采用机械化施工方法，施工前先对路基范围内的表土、杂填土</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砼地块</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草木等进行清除，就近集中分堆堆置。清除完毕后，采用大吨位辗压设备压实地面，再进行路基土石方填筑。路基土方施工尽量避开雨季进行，防止雨水冲刷裸露坡面，造成崩塌。多</w:t>
      </w:r>
      <w:r>
        <w:rPr>
          <w:rFonts w:hint="eastAsia" w:ascii="Times New Roman" w:hAnsi="Times New Roman" w:eastAsia="仿宋_GB2312" w:cs="Times New Roman"/>
          <w:color w:val="auto"/>
        </w:rPr>
        <w:t>余</w:t>
      </w:r>
      <w:r>
        <w:rPr>
          <w:rFonts w:ascii="Times New Roman" w:hAnsi="Times New Roman" w:eastAsia="仿宋_GB2312" w:cs="Times New Roman"/>
          <w:color w:val="auto"/>
        </w:rPr>
        <w:t>土方通过</w:t>
      </w:r>
      <w:r>
        <w:rPr>
          <w:rFonts w:ascii="Times New Roman" w:hAnsi="Times New Roman" w:eastAsia="仿宋_GB2312" w:cs="Times New Roman"/>
          <w:color w:val="auto"/>
          <w:szCs w:val="24"/>
        </w:rPr>
        <w:t>挖掘机配自卸汽车运输，堆置到指定的</w:t>
      </w:r>
      <w:r>
        <w:rPr>
          <w:rFonts w:hint="eastAsia" w:ascii="Times New Roman" w:hAnsi="Times New Roman" w:eastAsia="仿宋_GB2312" w:cs="Times New Roman"/>
          <w:color w:val="auto"/>
          <w:szCs w:val="24"/>
        </w:rPr>
        <w:t>综合利用</w:t>
      </w:r>
      <w:r>
        <w:rPr>
          <w:rFonts w:ascii="Times New Roman" w:hAnsi="Times New Roman" w:eastAsia="仿宋_GB2312" w:cs="Times New Roman"/>
          <w:color w:val="auto"/>
          <w:szCs w:val="24"/>
        </w:rPr>
        <w:t>场地。路基填筑严格按照《公路路基施工技术规范》的有关规定进行操作，路基填筑工艺流程详见图2</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2-</w:t>
      </w:r>
      <w:r>
        <w:rPr>
          <w:rFonts w:hint="eastAsia" w:ascii="Times New Roman" w:hAnsi="Times New Roman" w:eastAsia="仿宋_GB2312" w:cs="Times New Roman"/>
          <w:color w:val="auto"/>
          <w:szCs w:val="24"/>
        </w:rPr>
        <w:t>3</w:t>
      </w:r>
      <w:r>
        <w:rPr>
          <w:rFonts w:ascii="Times New Roman" w:hAnsi="Times New Roman" w:eastAsia="仿宋_GB2312" w:cs="Times New Roman"/>
          <w:color w:val="auto"/>
          <w:szCs w:val="24"/>
        </w:rPr>
        <w:t>。</w:t>
      </w:r>
    </w:p>
    <w:p>
      <w:pPr>
        <w:widowControl/>
        <w:snapToGrid w:val="0"/>
        <w:spacing w:line="360" w:lineRule="auto"/>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drawing>
          <wp:inline distT="0" distB="0" distL="114300" distR="114300">
            <wp:extent cx="5522595" cy="1254760"/>
            <wp:effectExtent l="0" t="0" r="1905" b="2540"/>
            <wp:docPr id="4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3"/>
                    <pic:cNvPicPr>
                      <a:picLocks noChangeAspect="1"/>
                    </pic:cNvPicPr>
                  </pic:nvPicPr>
                  <pic:blipFill>
                    <a:blip r:embed="rId81"/>
                    <a:stretch>
                      <a:fillRect/>
                    </a:stretch>
                  </pic:blipFill>
                  <pic:spPr>
                    <a:xfrm>
                      <a:off x="0" y="0"/>
                      <a:ext cx="5522595" cy="1254760"/>
                    </a:xfrm>
                    <a:prstGeom prst="rect">
                      <a:avLst/>
                    </a:prstGeom>
                    <a:noFill/>
                    <a:ln>
                      <a:noFill/>
                    </a:ln>
                  </pic:spPr>
                </pic:pic>
              </a:graphicData>
            </a:graphic>
          </wp:inline>
        </w:drawing>
      </w:r>
    </w:p>
    <w:p>
      <w:pPr>
        <w:widowControl/>
        <w:snapToGrid w:val="0"/>
        <w:spacing w:line="360" w:lineRule="auto"/>
        <w:jc w:val="center"/>
        <w:rPr>
          <w:rFonts w:ascii="Times New Roman" w:hAnsi="Times New Roman" w:eastAsia="仿宋_GB2312" w:cs="Times New Roman"/>
          <w:b/>
          <w:color w:val="auto"/>
          <w:szCs w:val="24"/>
        </w:rPr>
      </w:pPr>
      <w:r>
        <w:rPr>
          <w:rFonts w:ascii="Times New Roman" w:hAnsi="Times New Roman" w:eastAsia="仿宋_GB2312" w:cs="Times New Roman"/>
          <w:b/>
          <w:color w:val="auto"/>
          <w:szCs w:val="24"/>
        </w:rPr>
        <w:t>图2</w:t>
      </w:r>
      <w:r>
        <w:rPr>
          <w:rFonts w:hint="eastAsia" w:ascii="Times New Roman" w:hAnsi="Times New Roman" w:eastAsia="仿宋_GB2312" w:cs="Times New Roman"/>
          <w:b/>
          <w:color w:val="auto"/>
          <w:szCs w:val="24"/>
        </w:rPr>
        <w:t>.</w:t>
      </w:r>
      <w:r>
        <w:rPr>
          <w:rFonts w:ascii="Times New Roman" w:hAnsi="Times New Roman" w:eastAsia="仿宋_GB2312" w:cs="Times New Roman"/>
          <w:b/>
          <w:color w:val="auto"/>
          <w:szCs w:val="24"/>
        </w:rPr>
        <w:t>2-</w:t>
      </w:r>
      <w:r>
        <w:rPr>
          <w:rFonts w:hint="eastAsia" w:ascii="Times New Roman" w:hAnsi="Times New Roman" w:eastAsia="仿宋_GB2312" w:cs="Times New Roman"/>
          <w:b/>
          <w:color w:val="auto"/>
          <w:szCs w:val="24"/>
        </w:rPr>
        <w:t>3</w:t>
      </w:r>
      <w:r>
        <w:rPr>
          <w:rFonts w:ascii="Times New Roman" w:hAnsi="Times New Roman" w:eastAsia="仿宋_GB2312" w:cs="Times New Roman"/>
          <w:b/>
          <w:color w:val="auto"/>
          <w:szCs w:val="24"/>
        </w:rPr>
        <w:t>：路基填筑工艺流程图</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②</w:t>
      </w:r>
      <w:r>
        <w:rPr>
          <w:rFonts w:ascii="Times New Roman" w:hAnsi="Times New Roman" w:eastAsia="仿宋_GB2312" w:cs="Times New Roman"/>
          <w:color w:val="auto"/>
          <w:szCs w:val="24"/>
        </w:rPr>
        <w:t>路基防护施工</w:t>
      </w:r>
      <w:r>
        <w:rPr>
          <w:rFonts w:hint="eastAsia" w:ascii="Times New Roman" w:hAnsi="Times New Roman" w:eastAsia="仿宋_GB2312" w:cs="Times New Roman"/>
          <w:color w:val="auto"/>
          <w:szCs w:val="24"/>
        </w:rPr>
        <w:t>：规划区域内均为</w:t>
      </w:r>
      <w:r>
        <w:rPr>
          <w:rFonts w:ascii="Times New Roman" w:hAnsi="Times New Roman" w:eastAsia="仿宋_GB2312" w:cs="Times New Roman"/>
          <w:color w:val="auto"/>
          <w:szCs w:val="24"/>
        </w:rPr>
        <w:t>填方路段</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施工时，先要开挖</w:t>
      </w:r>
      <w:r>
        <w:rPr>
          <w:rFonts w:hint="eastAsia" w:ascii="Times New Roman" w:hAnsi="Times New Roman" w:eastAsia="仿宋_GB2312" w:cs="Times New Roman"/>
          <w:color w:val="auto"/>
          <w:szCs w:val="24"/>
        </w:rPr>
        <w:t>路侧</w:t>
      </w:r>
      <w:r>
        <w:rPr>
          <w:rFonts w:ascii="Times New Roman" w:hAnsi="Times New Roman" w:eastAsia="仿宋_GB2312" w:cs="Times New Roman"/>
          <w:color w:val="auto"/>
          <w:szCs w:val="24"/>
        </w:rPr>
        <w:t>排水沟，加快路基地面土的排水固结作用，并防止路基土浸入</w:t>
      </w:r>
      <w:r>
        <w:rPr>
          <w:rFonts w:hint="eastAsia" w:ascii="Times New Roman" w:hAnsi="Times New Roman" w:eastAsia="仿宋_GB2312" w:cs="Times New Roman"/>
          <w:color w:val="auto"/>
          <w:szCs w:val="24"/>
        </w:rPr>
        <w:t>周边</w:t>
      </w:r>
      <w:r>
        <w:rPr>
          <w:rFonts w:ascii="Times New Roman" w:hAnsi="Times New Roman" w:eastAsia="仿宋_GB2312" w:cs="Times New Roman"/>
          <w:color w:val="auto"/>
          <w:szCs w:val="24"/>
        </w:rPr>
        <w:t>地块；路堤基底应先夯实，如基底强度不足或遇软土时，采取换填、增设砂砾垫层等相应的处理措施。路基边坡填筑成型后，立即按设计进行防护，一般采用</w:t>
      </w:r>
      <w:r>
        <w:rPr>
          <w:rFonts w:hint="eastAsia" w:ascii="Times New Roman" w:hAnsi="Times New Roman" w:eastAsia="仿宋_GB2312" w:cs="Times New Roman"/>
          <w:color w:val="auto"/>
          <w:szCs w:val="24"/>
        </w:rPr>
        <w:t>相应的护坡形式进行护坡</w:t>
      </w:r>
      <w:r>
        <w:rPr>
          <w:rFonts w:ascii="Times New Roman" w:hAnsi="Times New Roman" w:eastAsia="仿宋_GB2312" w:cs="Times New Roman"/>
          <w:color w:val="auto"/>
          <w:szCs w:val="24"/>
        </w:rPr>
        <w:t>。路基防护结合排水系统综合考虑。</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③</w:t>
      </w:r>
      <w:r>
        <w:rPr>
          <w:rFonts w:ascii="Times New Roman" w:hAnsi="Times New Roman" w:eastAsia="仿宋_GB2312" w:cs="Times New Roman"/>
          <w:color w:val="auto"/>
          <w:szCs w:val="24"/>
        </w:rPr>
        <w:t>路基排水工程</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本工程属平原区城市建成区内</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无高填深挖路基</w:t>
      </w:r>
      <w:r>
        <w:rPr>
          <w:rFonts w:hint="eastAsia" w:ascii="Times New Roman" w:hAnsi="Times New Roman" w:eastAsia="仿宋_GB2312" w:cs="Times New Roman"/>
          <w:color w:val="auto"/>
          <w:szCs w:val="24"/>
        </w:rPr>
        <w:t>，路基与周边地块高差较小，施工过程中</w:t>
      </w:r>
      <w:r>
        <w:rPr>
          <w:rFonts w:ascii="Times New Roman" w:hAnsi="Times New Roman" w:eastAsia="仿宋_GB2312" w:cs="Times New Roman"/>
          <w:color w:val="auto"/>
          <w:szCs w:val="24"/>
        </w:rPr>
        <w:t>挖填方路段一般在道路两侧开挖临时排水沟，排水沟与沿线通道等构造物综合考虑，形成完整的路基排水系统，以保证路面排水和路基及其边坡稳定。建成后根据城市规划设置有雨污管线</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管道埋设与道路铺设同期进行，雨污管线与强弱电等管线</w:t>
      </w:r>
      <w:r>
        <w:rPr>
          <w:rFonts w:hint="eastAsia" w:ascii="Times New Roman" w:hAnsi="Times New Roman" w:eastAsia="仿宋_GB2312" w:cs="Times New Roman"/>
          <w:color w:val="auto"/>
          <w:szCs w:val="24"/>
        </w:rPr>
        <w:t>统一</w:t>
      </w:r>
      <w:r>
        <w:rPr>
          <w:rFonts w:ascii="Times New Roman" w:hAnsi="Times New Roman" w:eastAsia="仿宋_GB2312" w:cs="Times New Roman"/>
          <w:color w:val="auto"/>
          <w:szCs w:val="24"/>
        </w:rPr>
        <w:t>开挖</w:t>
      </w:r>
      <w:r>
        <w:rPr>
          <w:rFonts w:hint="eastAsia" w:ascii="Times New Roman" w:hAnsi="Times New Roman" w:eastAsia="仿宋_GB2312" w:cs="Times New Roman"/>
          <w:color w:val="auto"/>
          <w:szCs w:val="24"/>
        </w:rPr>
        <w:t>，统一</w:t>
      </w:r>
      <w:r>
        <w:rPr>
          <w:rFonts w:ascii="Times New Roman" w:hAnsi="Times New Roman" w:eastAsia="仿宋_GB2312" w:cs="Times New Roman"/>
          <w:color w:val="auto"/>
          <w:szCs w:val="24"/>
        </w:rPr>
        <w:t>回填</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回填土方</w:t>
      </w:r>
      <w:r>
        <w:rPr>
          <w:rFonts w:hint="eastAsia" w:ascii="Times New Roman" w:hAnsi="Times New Roman" w:eastAsia="仿宋_GB2312" w:cs="Times New Roman"/>
          <w:color w:val="auto"/>
          <w:szCs w:val="24"/>
        </w:rPr>
        <w:t>采用</w:t>
      </w:r>
      <w:r>
        <w:rPr>
          <w:rFonts w:ascii="Times New Roman" w:hAnsi="Times New Roman" w:eastAsia="仿宋_GB2312" w:cs="Times New Roman"/>
          <w:color w:val="auto"/>
          <w:szCs w:val="24"/>
        </w:rPr>
        <w:t>可满足要求的管线挖方</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就近利用</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避免二次挖填</w:t>
      </w:r>
      <w:r>
        <w:rPr>
          <w:rFonts w:hint="eastAsia" w:ascii="Times New Roman" w:hAnsi="Times New Roman" w:eastAsia="仿宋_GB2312" w:cs="Times New Roman"/>
          <w:color w:val="auto"/>
          <w:szCs w:val="24"/>
        </w:rPr>
        <w:t>。</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（2）</w:t>
      </w:r>
      <w:r>
        <w:rPr>
          <w:rFonts w:ascii="Times New Roman" w:hAnsi="Times New Roman" w:eastAsia="仿宋_GB2312" w:cs="Times New Roman"/>
          <w:color w:val="auto"/>
          <w:szCs w:val="24"/>
        </w:rPr>
        <w:t>路面施工</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路面工程采取集中厂拌，机械摊铺的施工方案。路面底基层采用级配碎石，平地机摊铺施工，全断面贯通，以利于疏排上路床表面水；基层采用厂拌设备拌和，自卸汽车运往工地，摊铺机进行摊铺，振动压路机碾压密实；路面面层采用沥青拌、混凝土和设备集中拌和，自卸汽车运往工地，沥青摊铺机施工，振动压路机碾压密实；路面垫层采用沿线集料，分散摊铺、碾压。路基成型一段，再铺筑路面垫层、基层、面层，每道工序检验合格后，再进行下道工序施工，一环扣一环，以确保工程质量。</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（3）</w:t>
      </w:r>
      <w:r>
        <w:rPr>
          <w:rFonts w:ascii="Times New Roman" w:hAnsi="Times New Roman" w:eastAsia="仿宋_GB2312" w:cs="Times New Roman"/>
          <w:color w:val="auto"/>
          <w:szCs w:val="24"/>
        </w:rPr>
        <w:t>道路管线施工</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建设过程中道路与管线统一规划，综合布设。道路路基填筑时，回填土石方分层填筑、分层压实，下层采用碎石稳定层。管道埋设与道路铺设同期进行，各种工程管线尽量同步建设，避免重复开挖、敷设，以减少地表扰动，采用机械和人工相结合的方式分段施工，同时开挖、同时埋管、同时回填土方的施工方案，尽量避开雨季，防止裸露地表的冲刷。</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4）综合管廊施工：规划区域内尤氨公路路面下方偏东敷设一条综合管廊（含电力隧道），采用明挖法，开挖深度小于5m。综合管廊工程推荐采用钢板桩+内支撑支护形式，设置两道钢支撑，第一道钢支撑采用φ400x12钢管支撑，第一道钢腰梁采用HM400x400型钢腰梁；第二道钢支撑采用φ500x12钢管支撑，第二道钢腰梁采用36c双拼工字钢腰梁。钢支撑需采用一端固定一端活动的形式，便于施加预应力进行预顶紧。钢腰梁支撑在角钢三角支架上，顶缘同时采用钢筋拉结固定。钢腰梁与支护桩间用C20细石混凝土填实。现浇管廊与钢板桩通过设置250厚C25素砼传力撑顶紧。</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（5）道路绿化施工：为改善道路环境，在尤氨公路道路绿化带采用植树种草方式绿化，栽植乔、灌木均采用人工配合机械方式施工，其他道路道路绿化采用栽植行道树绿化。</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（三）绿化工程施工工艺</w:t>
      </w:r>
    </w:p>
    <w:p>
      <w:pPr>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区域内绿地</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乔灌木的树坑均采用穴状整地，必须施足底肥，整平、耕细。苗木采用汽车运输，裸根苗为防车板磨损苗木，车厢内先垫上编织袋等物。苗木装车根系向前，树梢向后，顺序安放。同时为防止运输期间苗木失水、苗根干燥，同时避免碰伤，将苗木用绳子捆住、苗木根部用编织袋包裹。</w:t>
      </w:r>
    </w:p>
    <w:p>
      <w:pPr>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施工季节的选择应满足植物的正常生长需要，合理安排工期，按照不同植物生长需要，有计划的实施栽植作业。由于项目区属亚热带季风湿润气候，结合工程区气候条件，植物措施可在春</w:t>
      </w:r>
      <w:r>
        <w:rPr>
          <w:rFonts w:hint="eastAsia" w:ascii="Times New Roman" w:hAnsi="Times New Roman" w:eastAsia="仿宋_GB2312" w:cs="Times New Roman"/>
          <w:color w:val="auto"/>
          <w:szCs w:val="24"/>
        </w:rPr>
        <w:t>冬</w:t>
      </w:r>
      <w:r>
        <w:rPr>
          <w:rFonts w:ascii="Times New Roman" w:hAnsi="Times New Roman" w:eastAsia="仿宋_GB2312" w:cs="Times New Roman"/>
          <w:color w:val="auto"/>
          <w:szCs w:val="24"/>
        </w:rPr>
        <w:t>两季实施，此时的气温和水温条件能满足苗木生长的需要。植物材料和种子应品种准确、纯正、无病虫害。植物材料应根系发达，生长健壮，规格及形态应符合设计要求。乔木栽植时一般自带土球，用土量较少，撒播植草尽量采用剥离的表土。绿地地形整理应严格按照竖向设计要求进行，地形应自然流畅。</w:t>
      </w:r>
    </w:p>
    <w:p>
      <w:pPr>
        <w:pStyle w:val="5"/>
        <w:rPr>
          <w:color w:val="auto"/>
        </w:rPr>
      </w:pPr>
      <w:bookmarkStart w:id="168" w:name="_Toc9423"/>
      <w:bookmarkStart w:id="169" w:name="_Toc439243901"/>
      <w:bookmarkStart w:id="170" w:name="_Toc20178"/>
      <w:bookmarkStart w:id="171" w:name="_Toc514432592"/>
      <w:bookmarkStart w:id="172" w:name="_Toc20503"/>
      <w:bookmarkStart w:id="173" w:name="_Toc24388"/>
      <w:bookmarkStart w:id="174" w:name="_Toc28241"/>
      <w:bookmarkStart w:id="175" w:name="_Toc26655"/>
      <w:bookmarkStart w:id="176" w:name="_Toc22790"/>
      <w:bookmarkStart w:id="177" w:name="_Toc499039866"/>
      <w:bookmarkStart w:id="178" w:name="_Toc451799204"/>
      <w:bookmarkStart w:id="179" w:name="_Toc514431448"/>
      <w:bookmarkStart w:id="180" w:name="_Toc8062"/>
      <w:bookmarkStart w:id="181" w:name="_Toc514430838"/>
      <w:r>
        <w:rPr>
          <w:color w:val="auto"/>
        </w:rPr>
        <w:t xml:space="preserve">2.3 </w:t>
      </w:r>
      <w:r>
        <w:rPr>
          <w:rFonts w:hint="eastAsia" w:eastAsia="仿宋_GB2312"/>
          <w:color w:val="auto"/>
        </w:rPr>
        <w:t>区域</w:t>
      </w:r>
      <w:r>
        <w:rPr>
          <w:rFonts w:eastAsia="仿宋_GB2312"/>
          <w:color w:val="auto"/>
        </w:rPr>
        <w:t>占地</w:t>
      </w:r>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p>
    <w:p>
      <w:pPr>
        <w:pStyle w:val="139"/>
        <w:snapToGrid w:val="0"/>
        <w:spacing w:line="360" w:lineRule="auto"/>
        <w:ind w:left="0" w:leftChars="0" w:firstLine="480" w:firstLineChars="200"/>
        <w:rPr>
          <w:rFonts w:ascii="Times New Roman" w:hAnsi="Times New Roman" w:cs="Times New Roman"/>
          <w:color w:val="auto"/>
          <w:sz w:val="24"/>
          <w:szCs w:val="24"/>
        </w:rPr>
      </w:pPr>
      <w:r>
        <w:rPr>
          <w:rFonts w:hint="eastAsia" w:ascii="Times New Roman" w:hAnsi="Times New Roman" w:cs="Times New Roman"/>
          <w:color w:val="auto"/>
          <w:sz w:val="24"/>
          <w:szCs w:val="24"/>
        </w:rPr>
        <w:t>根据区域规划资料，规划区域位于江西省南昌市青山湖区罗家镇。区域规划占地为100hm</w:t>
      </w:r>
      <w:r>
        <w:rPr>
          <w:rFonts w:hint="eastAsia" w:ascii="Times New Roman" w:hAnsi="Times New Roman" w:cs="Times New Roman"/>
          <w:color w:val="auto"/>
          <w:sz w:val="24"/>
          <w:szCs w:val="24"/>
          <w:vertAlign w:val="superscript"/>
        </w:rPr>
        <w:t>2</w:t>
      </w:r>
      <w:r>
        <w:rPr>
          <w:rFonts w:hint="eastAsia" w:ascii="Times New Roman" w:hAnsi="Times New Roman" w:cs="Times New Roman"/>
          <w:color w:val="auto"/>
          <w:sz w:val="24"/>
          <w:szCs w:val="24"/>
        </w:rPr>
        <w:t>，区域内E17和E21地块部分区域共计26.34hm</w:t>
      </w:r>
      <w:r>
        <w:rPr>
          <w:rFonts w:hint="eastAsia" w:ascii="Times New Roman" w:hAnsi="Times New Roman" w:cs="Times New Roman"/>
          <w:color w:val="auto"/>
          <w:sz w:val="24"/>
          <w:szCs w:val="24"/>
          <w:vertAlign w:val="superscript"/>
        </w:rPr>
        <w:t>2</w:t>
      </w:r>
      <w:r>
        <w:rPr>
          <w:rFonts w:hint="eastAsia" w:ascii="Times New Roman" w:hAnsi="Times New Roman" w:cs="Times New Roman"/>
          <w:color w:val="auto"/>
          <w:sz w:val="24"/>
          <w:szCs w:val="24"/>
        </w:rPr>
        <w:t>，作为南昌电子信息（LED）产业创新示范园（二期）一组团项目建设用地。于2021年3月22日取得了南昌市青山湖区农业农村局下发的《南昌电子信息（LED）产业创新示范园（二期）一组团项目水土保持方案报告书的批复》（湖农字[2021]26号），E17、E21剩余部分的3.17hm</w:t>
      </w:r>
      <w:r>
        <w:rPr>
          <w:rFonts w:hint="eastAsia" w:ascii="Times New Roman" w:hAnsi="Times New Roman" w:cs="Times New Roman"/>
          <w:color w:val="auto"/>
          <w:sz w:val="24"/>
          <w:szCs w:val="24"/>
          <w:vertAlign w:val="superscript"/>
        </w:rPr>
        <w:t>2</w:t>
      </w:r>
      <w:r>
        <w:rPr>
          <w:rFonts w:hint="eastAsia" w:ascii="Times New Roman" w:hAnsi="Times New Roman" w:cs="Times New Roman"/>
          <w:color w:val="auto"/>
          <w:sz w:val="24"/>
          <w:szCs w:val="24"/>
        </w:rPr>
        <w:t>及E08地块作为后续电子信息产业园的建设用地。</w:t>
      </w:r>
    </w:p>
    <w:p>
      <w:pPr>
        <w:pStyle w:val="139"/>
        <w:snapToGrid w:val="0"/>
        <w:spacing w:line="360" w:lineRule="auto"/>
        <w:ind w:left="0" w:leftChars="0" w:firstLine="480" w:firstLineChars="200"/>
        <w:rPr>
          <w:rFonts w:ascii="Times New Roman" w:hAnsi="Times New Roman" w:cs="Times New Roman"/>
          <w:color w:val="auto"/>
          <w:sz w:val="24"/>
          <w:szCs w:val="24"/>
        </w:rPr>
      </w:pPr>
      <w:r>
        <w:rPr>
          <w:rFonts w:hint="eastAsia" w:ascii="Times New Roman" w:hAnsi="Times New Roman" w:cs="Times New Roman"/>
          <w:color w:val="auto"/>
          <w:sz w:val="24"/>
          <w:szCs w:val="24"/>
        </w:rPr>
        <w:t>本</w:t>
      </w:r>
      <w:r>
        <w:rPr>
          <w:rFonts w:hint="eastAsia" w:ascii="Times New Roman" w:hAnsi="Times New Roman" w:cs="Times New Roman"/>
          <w:color w:val="auto"/>
          <w:sz w:val="24"/>
          <w:szCs w:val="24"/>
          <w:lang w:val="en-US" w:eastAsia="zh-CN"/>
        </w:rPr>
        <w:t>区域评估报告</w:t>
      </w:r>
      <w:r>
        <w:rPr>
          <w:rFonts w:hint="eastAsia" w:ascii="Times New Roman" w:hAnsi="Times New Roman" w:cs="Times New Roman"/>
          <w:color w:val="auto"/>
          <w:sz w:val="24"/>
          <w:szCs w:val="24"/>
        </w:rPr>
        <w:t>评估范围共计100hm</w:t>
      </w:r>
      <w:r>
        <w:rPr>
          <w:rFonts w:hint="eastAsia" w:ascii="Times New Roman" w:hAnsi="Times New Roman" w:cs="Times New Roman"/>
          <w:color w:val="auto"/>
          <w:sz w:val="24"/>
          <w:szCs w:val="24"/>
          <w:vertAlign w:val="superscript"/>
        </w:rPr>
        <w:t>2</w:t>
      </w:r>
      <w:r>
        <w:rPr>
          <w:rFonts w:hint="eastAsia" w:ascii="Times New Roman" w:hAnsi="Times New Roman" w:cs="Times New Roman"/>
          <w:color w:val="auto"/>
          <w:sz w:val="24"/>
          <w:szCs w:val="24"/>
        </w:rPr>
        <w:t>，均为永久占地。区域规划功能区占地面积55.46hm</w:t>
      </w:r>
      <w:r>
        <w:rPr>
          <w:rFonts w:hint="eastAsia" w:ascii="Times New Roman" w:hAnsi="Times New Roman" w:cs="Times New Roman"/>
          <w:color w:val="auto"/>
          <w:sz w:val="24"/>
          <w:szCs w:val="24"/>
          <w:vertAlign w:val="superscript"/>
        </w:rPr>
        <w:t>2</w:t>
      </w:r>
      <w:r>
        <w:rPr>
          <w:rFonts w:hint="eastAsia" w:ascii="Times New Roman" w:hAnsi="Times New Roman" w:cs="Times New Roman"/>
          <w:color w:val="auto"/>
          <w:sz w:val="24"/>
          <w:szCs w:val="24"/>
        </w:rPr>
        <w:t>，占总面积的55.46%；公共基础设施区占地面积44.54hm</w:t>
      </w:r>
      <w:r>
        <w:rPr>
          <w:rFonts w:hint="eastAsia" w:ascii="Times New Roman" w:hAnsi="Times New Roman" w:cs="Times New Roman"/>
          <w:color w:val="auto"/>
          <w:sz w:val="24"/>
          <w:szCs w:val="24"/>
          <w:vertAlign w:val="superscript"/>
        </w:rPr>
        <w:t>2</w:t>
      </w:r>
      <w:r>
        <w:rPr>
          <w:rFonts w:hint="eastAsia" w:ascii="Times New Roman" w:hAnsi="Times New Roman" w:cs="Times New Roman"/>
          <w:color w:val="auto"/>
          <w:sz w:val="24"/>
          <w:szCs w:val="24"/>
        </w:rPr>
        <w:t>，占总面积的44.54%。区域内原始占地类型包括耕地、林地、草地、水域及水利设施用地、住宅用地、工矿仓储用地、交通运输用地和其他土地。关于明确南昌市区域性评估评价试点区域的请示》（洪发改文[2020]148号），本区域现全为城市建设用地。区域</w:t>
      </w:r>
      <w:r>
        <w:rPr>
          <w:rFonts w:ascii="Times New Roman" w:hAnsi="Times New Roman" w:cs="Times New Roman"/>
          <w:color w:val="auto"/>
          <w:sz w:val="24"/>
          <w:szCs w:val="24"/>
        </w:rPr>
        <w:t>占地情况见表2</w:t>
      </w:r>
      <w:r>
        <w:rPr>
          <w:rFonts w:hint="eastAsia" w:ascii="Times New Roman" w:hAnsi="Times New Roman" w:cs="Times New Roman"/>
          <w:color w:val="auto"/>
          <w:sz w:val="24"/>
          <w:szCs w:val="24"/>
        </w:rPr>
        <w:t>.</w:t>
      </w:r>
      <w:r>
        <w:rPr>
          <w:rFonts w:ascii="Times New Roman" w:hAnsi="Times New Roman" w:cs="Times New Roman"/>
          <w:color w:val="auto"/>
          <w:sz w:val="24"/>
          <w:szCs w:val="24"/>
        </w:rPr>
        <w:t>3-1。</w:t>
      </w:r>
    </w:p>
    <w:p>
      <w:pPr>
        <w:pStyle w:val="139"/>
        <w:snapToGrid w:val="0"/>
        <w:spacing w:line="360" w:lineRule="auto"/>
        <w:ind w:left="0" w:leftChars="0" w:firstLine="480" w:firstLineChars="200"/>
        <w:rPr>
          <w:rFonts w:ascii="Times New Roman" w:hAnsi="Times New Roman" w:cs="Times New Roman"/>
          <w:color w:val="auto"/>
          <w:sz w:val="24"/>
          <w:szCs w:val="24"/>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ascii="Times New Roman" w:hAnsi="Times New Roman" w:eastAsia="仿宋_GB2312" w:cs="Times New Roman"/>
          <w:b/>
          <w:bCs/>
          <w:color w:val="auto"/>
          <w:szCs w:val="24"/>
        </w:rPr>
      </w:pPr>
      <w:r>
        <w:rPr>
          <w:rFonts w:ascii="Times New Roman" w:hAnsi="Times New Roman" w:eastAsia="仿宋_GB2312" w:cs="Times New Roman"/>
          <w:b/>
          <w:bCs/>
          <w:color w:val="auto"/>
          <w:szCs w:val="24"/>
        </w:rPr>
        <w:t>表2</w:t>
      </w:r>
      <w:r>
        <w:rPr>
          <w:rFonts w:hint="eastAsia" w:ascii="Times New Roman" w:hAnsi="Times New Roman" w:eastAsia="仿宋_GB2312" w:cs="Times New Roman"/>
          <w:b/>
          <w:bCs/>
          <w:color w:val="auto"/>
          <w:szCs w:val="24"/>
        </w:rPr>
        <w:t>.</w:t>
      </w:r>
      <w:r>
        <w:rPr>
          <w:rFonts w:ascii="Times New Roman" w:hAnsi="Times New Roman" w:eastAsia="仿宋_GB2312" w:cs="Times New Roman"/>
          <w:b/>
          <w:bCs/>
          <w:color w:val="auto"/>
          <w:szCs w:val="24"/>
        </w:rPr>
        <w:t>3-1：项目占地情况一览表</w:t>
      </w:r>
      <w:r>
        <w:rPr>
          <w:rFonts w:hint="eastAsia" w:ascii="Times New Roman" w:hAnsi="Times New Roman" w:eastAsia="仿宋_GB2312" w:cs="Times New Roman"/>
          <w:b/>
          <w:bCs/>
          <w:color w:val="auto"/>
          <w:szCs w:val="24"/>
        </w:rPr>
        <w:t>（单位：hm</w:t>
      </w:r>
      <w:r>
        <w:rPr>
          <w:rFonts w:hint="eastAsia" w:ascii="Times New Roman" w:hAnsi="Times New Roman" w:eastAsia="仿宋_GB2312" w:cs="Times New Roman"/>
          <w:b/>
          <w:bCs/>
          <w:color w:val="auto"/>
          <w:szCs w:val="24"/>
          <w:vertAlign w:val="superscript"/>
        </w:rPr>
        <w:t>2</w:t>
      </w:r>
      <w:r>
        <w:rPr>
          <w:rFonts w:hint="eastAsia" w:ascii="Times New Roman" w:hAnsi="Times New Roman" w:eastAsia="仿宋_GB2312" w:cs="Times New Roman"/>
          <w:b/>
          <w:bCs/>
          <w:color w:val="auto"/>
          <w:szCs w:val="24"/>
        </w:rPr>
        <w:t>）</w:t>
      </w:r>
    </w:p>
    <w:tbl>
      <w:tblPr>
        <w:tblStyle w:val="37"/>
        <w:tblW w:w="618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09"/>
        <w:gridCol w:w="1424"/>
        <w:gridCol w:w="427"/>
        <w:gridCol w:w="428"/>
        <w:gridCol w:w="708"/>
        <w:gridCol w:w="706"/>
        <w:gridCol w:w="706"/>
        <w:gridCol w:w="993"/>
        <w:gridCol w:w="706"/>
        <w:gridCol w:w="816"/>
        <w:gridCol w:w="708"/>
        <w:gridCol w:w="727"/>
        <w:gridCol w:w="774"/>
        <w:gridCol w:w="71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5" w:hRule="atLeast"/>
          <w:jc w:val="center"/>
        </w:trPr>
        <w:tc>
          <w:tcPr>
            <w:tcW w:w="1011" w:type="pct"/>
            <w:gridSpan w:val="2"/>
            <w:vMerge w:val="restart"/>
            <w:tcBorders>
              <w:right w:val="single" w:color="auto" w:sz="4" w:space="0"/>
            </w:tcBorders>
            <w:shd w:val="clear" w:color="auto" w:fill="auto"/>
            <w:vAlign w:val="center"/>
          </w:tcPr>
          <w:p>
            <w:pPr>
              <w:snapToGrid w:val="0"/>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kern w:val="0"/>
                <w:sz w:val="21"/>
                <w:szCs w:val="21"/>
              </w:rPr>
              <w:t>区域组成</w:t>
            </w:r>
          </w:p>
        </w:tc>
        <w:tc>
          <w:tcPr>
            <w:tcW w:w="202" w:type="pct"/>
            <w:vMerge w:val="restart"/>
            <w:tcBorders>
              <w:left w:val="single" w:color="auto" w:sz="4" w:space="0"/>
            </w:tcBorders>
            <w:shd w:val="clear" w:color="auto" w:fill="auto"/>
            <w:vAlign w:val="center"/>
          </w:tcPr>
          <w:p>
            <w:pPr>
              <w:snapToGrid w:val="0"/>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kern w:val="0"/>
                <w:sz w:val="21"/>
                <w:szCs w:val="21"/>
              </w:rPr>
              <w:t>占地性质</w:t>
            </w:r>
          </w:p>
        </w:tc>
        <w:tc>
          <w:tcPr>
            <w:tcW w:w="203" w:type="pct"/>
            <w:vMerge w:val="restart"/>
            <w:vAlign w:val="center"/>
          </w:tcPr>
          <w:p>
            <w:pPr>
              <w:snapToGrid w:val="0"/>
              <w:jc w:val="center"/>
              <w:rPr>
                <w:rFonts w:ascii="Times New Roman" w:hAnsi="Times New Roman" w:eastAsia="仿宋_GB2312" w:cs="Times New Roman"/>
                <w:b/>
                <w:bCs/>
                <w:color w:val="auto"/>
                <w:kern w:val="0"/>
                <w:sz w:val="21"/>
                <w:szCs w:val="21"/>
              </w:rPr>
            </w:pPr>
            <w:r>
              <w:rPr>
                <w:rFonts w:hint="eastAsia" w:ascii="Times New Roman" w:hAnsi="Times New Roman" w:eastAsia="仿宋_GB2312" w:cs="Times New Roman"/>
                <w:b/>
                <w:bCs/>
                <w:color w:val="auto"/>
                <w:kern w:val="0"/>
                <w:sz w:val="21"/>
                <w:szCs w:val="21"/>
              </w:rPr>
              <w:t>行政</w:t>
            </w:r>
            <w:r>
              <w:rPr>
                <w:rFonts w:ascii="Times New Roman" w:hAnsi="Times New Roman" w:eastAsia="仿宋_GB2312" w:cs="Times New Roman"/>
                <w:b/>
                <w:bCs/>
                <w:color w:val="auto"/>
                <w:kern w:val="0"/>
                <w:sz w:val="21"/>
                <w:szCs w:val="21"/>
              </w:rPr>
              <w:t>区划</w:t>
            </w:r>
          </w:p>
        </w:tc>
        <w:tc>
          <w:tcPr>
            <w:tcW w:w="2880" w:type="pct"/>
            <w:gridSpan w:val="8"/>
            <w:vAlign w:val="center"/>
          </w:tcPr>
          <w:p>
            <w:pPr>
              <w:snapToGrid w:val="0"/>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kern w:val="0"/>
                <w:sz w:val="21"/>
                <w:szCs w:val="21"/>
              </w:rPr>
              <w:t>占地类型</w:t>
            </w:r>
          </w:p>
        </w:tc>
        <w:tc>
          <w:tcPr>
            <w:tcW w:w="367" w:type="pct"/>
            <w:vMerge w:val="restart"/>
            <w:shd w:val="clear" w:color="auto" w:fill="auto"/>
            <w:vAlign w:val="center"/>
          </w:tcPr>
          <w:p>
            <w:pPr>
              <w:snapToGrid w:val="0"/>
              <w:jc w:val="center"/>
              <w:rPr>
                <w:rFonts w:ascii="Times New Roman" w:hAnsi="Times New Roman" w:eastAsia="仿宋_GB2312" w:cs="Times New Roman"/>
                <w:b/>
                <w:bCs/>
                <w:color w:val="auto"/>
                <w:kern w:val="0"/>
                <w:sz w:val="21"/>
                <w:szCs w:val="21"/>
              </w:rPr>
            </w:pPr>
            <w:r>
              <w:rPr>
                <w:rFonts w:hint="eastAsia" w:ascii="Times New Roman" w:hAnsi="Times New Roman" w:eastAsia="仿宋_GB2312" w:cs="Times New Roman"/>
                <w:b/>
                <w:bCs/>
                <w:color w:val="auto"/>
                <w:kern w:val="0"/>
                <w:sz w:val="21"/>
                <w:szCs w:val="21"/>
              </w:rPr>
              <w:t>小</w:t>
            </w:r>
            <w:r>
              <w:rPr>
                <w:rFonts w:ascii="Times New Roman" w:hAnsi="Times New Roman" w:eastAsia="仿宋_GB2312" w:cs="Times New Roman"/>
                <w:b/>
                <w:bCs/>
                <w:color w:val="auto"/>
                <w:kern w:val="0"/>
                <w:sz w:val="21"/>
                <w:szCs w:val="21"/>
              </w:rPr>
              <w:t>计</w:t>
            </w:r>
          </w:p>
        </w:tc>
        <w:tc>
          <w:tcPr>
            <w:tcW w:w="339" w:type="pct"/>
            <w:vMerge w:val="restart"/>
            <w:vAlign w:val="center"/>
          </w:tcPr>
          <w:p>
            <w:pPr>
              <w:snapToGrid w:val="0"/>
              <w:jc w:val="center"/>
              <w:rPr>
                <w:rFonts w:ascii="Times New Roman" w:hAnsi="Times New Roman" w:eastAsia="仿宋_GB2312" w:cs="Times New Roman"/>
                <w:b/>
                <w:bCs/>
                <w:color w:val="auto"/>
                <w:kern w:val="0"/>
                <w:sz w:val="21"/>
                <w:szCs w:val="21"/>
              </w:rPr>
            </w:pPr>
            <w:r>
              <w:rPr>
                <w:rFonts w:hint="eastAsia" w:ascii="Times New Roman" w:hAnsi="Times New Roman" w:eastAsia="仿宋_GB2312" w:cs="Times New Roman"/>
                <w:b/>
                <w:bCs/>
                <w:color w:val="auto"/>
                <w:kern w:val="0"/>
                <w:sz w:val="21"/>
                <w:szCs w:val="21"/>
              </w:rPr>
              <w:t>合计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60" w:hRule="atLeast"/>
          <w:jc w:val="center"/>
        </w:trPr>
        <w:tc>
          <w:tcPr>
            <w:tcW w:w="1011" w:type="pct"/>
            <w:gridSpan w:val="2"/>
            <w:vMerge w:val="continue"/>
            <w:tcBorders>
              <w:right w:val="single" w:color="auto" w:sz="4" w:space="0"/>
            </w:tcBorders>
            <w:shd w:val="clear" w:color="auto" w:fill="auto"/>
            <w:vAlign w:val="center"/>
          </w:tcPr>
          <w:p>
            <w:pPr>
              <w:widowControl/>
              <w:snapToGrid w:val="0"/>
              <w:jc w:val="center"/>
              <w:rPr>
                <w:rFonts w:ascii="Times New Roman" w:hAnsi="Times New Roman" w:eastAsia="仿宋_GB2312" w:cs="Times New Roman"/>
                <w:b/>
                <w:bCs/>
                <w:color w:val="auto"/>
                <w:kern w:val="0"/>
                <w:sz w:val="21"/>
                <w:szCs w:val="21"/>
              </w:rPr>
            </w:pPr>
          </w:p>
        </w:tc>
        <w:tc>
          <w:tcPr>
            <w:tcW w:w="202" w:type="pct"/>
            <w:vMerge w:val="continue"/>
            <w:tcBorders>
              <w:left w:val="single" w:color="auto" w:sz="4" w:space="0"/>
            </w:tcBorders>
            <w:shd w:val="clear" w:color="auto" w:fill="auto"/>
            <w:vAlign w:val="center"/>
          </w:tcPr>
          <w:p>
            <w:pPr>
              <w:widowControl/>
              <w:snapToGrid w:val="0"/>
              <w:jc w:val="center"/>
              <w:rPr>
                <w:rFonts w:ascii="Times New Roman" w:hAnsi="Times New Roman" w:eastAsia="仿宋_GB2312" w:cs="Times New Roman"/>
                <w:b/>
                <w:bCs/>
                <w:color w:val="auto"/>
                <w:kern w:val="0"/>
                <w:sz w:val="21"/>
                <w:szCs w:val="21"/>
              </w:rPr>
            </w:pPr>
          </w:p>
        </w:tc>
        <w:tc>
          <w:tcPr>
            <w:tcW w:w="203" w:type="pct"/>
            <w:vMerge w:val="continue"/>
            <w:vAlign w:val="center"/>
          </w:tcPr>
          <w:p>
            <w:pPr>
              <w:widowControl/>
              <w:snapToGrid w:val="0"/>
              <w:jc w:val="center"/>
              <w:rPr>
                <w:rFonts w:ascii="Times New Roman" w:hAnsi="Times New Roman" w:eastAsia="仿宋_GB2312" w:cs="Times New Roman"/>
                <w:b/>
                <w:bCs/>
                <w:color w:val="auto"/>
                <w:kern w:val="0"/>
                <w:sz w:val="21"/>
                <w:szCs w:val="21"/>
              </w:rPr>
            </w:pPr>
          </w:p>
        </w:tc>
        <w:tc>
          <w:tcPr>
            <w:tcW w:w="336" w:type="pct"/>
            <w:vAlign w:val="center"/>
          </w:tcPr>
          <w:p>
            <w:pPr>
              <w:widowControl/>
              <w:snapToGrid w:val="0"/>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kern w:val="0"/>
                <w:sz w:val="21"/>
                <w:szCs w:val="21"/>
              </w:rPr>
              <w:t>耕地</w:t>
            </w:r>
          </w:p>
        </w:tc>
        <w:tc>
          <w:tcPr>
            <w:tcW w:w="335" w:type="pct"/>
            <w:vAlign w:val="center"/>
          </w:tcPr>
          <w:p>
            <w:pPr>
              <w:widowControl/>
              <w:snapToGrid w:val="0"/>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kern w:val="0"/>
                <w:sz w:val="21"/>
                <w:szCs w:val="21"/>
              </w:rPr>
              <w:t>林地</w:t>
            </w:r>
          </w:p>
        </w:tc>
        <w:tc>
          <w:tcPr>
            <w:tcW w:w="335" w:type="pct"/>
            <w:vAlign w:val="center"/>
          </w:tcPr>
          <w:p>
            <w:pPr>
              <w:widowControl/>
              <w:snapToGrid w:val="0"/>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kern w:val="0"/>
                <w:sz w:val="21"/>
                <w:szCs w:val="21"/>
              </w:rPr>
              <w:t>草地</w:t>
            </w:r>
          </w:p>
        </w:tc>
        <w:tc>
          <w:tcPr>
            <w:tcW w:w="471" w:type="pct"/>
            <w:vAlign w:val="center"/>
          </w:tcPr>
          <w:p>
            <w:pPr>
              <w:widowControl/>
              <w:snapToGrid w:val="0"/>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kern w:val="0"/>
                <w:sz w:val="21"/>
                <w:szCs w:val="21"/>
              </w:rPr>
              <w:t>水域及水利设施用地</w:t>
            </w:r>
          </w:p>
        </w:tc>
        <w:tc>
          <w:tcPr>
            <w:tcW w:w="335" w:type="pct"/>
            <w:vAlign w:val="center"/>
          </w:tcPr>
          <w:p>
            <w:pPr>
              <w:widowControl/>
              <w:snapToGrid w:val="0"/>
              <w:jc w:val="center"/>
              <w:rPr>
                <w:rFonts w:ascii="Times New Roman" w:hAnsi="Times New Roman" w:eastAsia="仿宋_GB2312" w:cs="Times New Roman"/>
                <w:b/>
                <w:bCs/>
                <w:color w:val="auto"/>
                <w:kern w:val="0"/>
                <w:sz w:val="21"/>
                <w:szCs w:val="21"/>
              </w:rPr>
            </w:pPr>
            <w:r>
              <w:rPr>
                <w:rFonts w:hint="eastAsia" w:ascii="Times New Roman" w:hAnsi="Times New Roman" w:eastAsia="仿宋_GB2312" w:cs="Times New Roman"/>
                <w:b/>
                <w:bCs/>
                <w:color w:val="auto"/>
                <w:kern w:val="0"/>
                <w:sz w:val="21"/>
                <w:szCs w:val="21"/>
              </w:rPr>
              <w:t>住宅用地</w:t>
            </w:r>
          </w:p>
        </w:tc>
        <w:tc>
          <w:tcPr>
            <w:tcW w:w="387" w:type="pct"/>
            <w:vAlign w:val="center"/>
          </w:tcPr>
          <w:p>
            <w:pPr>
              <w:widowControl/>
              <w:snapToGrid w:val="0"/>
              <w:jc w:val="center"/>
              <w:rPr>
                <w:rFonts w:ascii="Times New Roman" w:hAnsi="Times New Roman" w:eastAsia="仿宋_GB2312" w:cs="Times New Roman"/>
                <w:b/>
                <w:bCs/>
                <w:color w:val="auto"/>
                <w:kern w:val="0"/>
                <w:sz w:val="21"/>
                <w:szCs w:val="21"/>
              </w:rPr>
            </w:pPr>
            <w:r>
              <w:rPr>
                <w:rFonts w:hint="eastAsia" w:ascii="Times New Roman" w:hAnsi="Times New Roman" w:eastAsia="仿宋_GB2312" w:cs="Times New Roman"/>
                <w:b/>
                <w:bCs/>
                <w:color w:val="auto"/>
                <w:kern w:val="0"/>
                <w:sz w:val="21"/>
                <w:szCs w:val="21"/>
              </w:rPr>
              <w:t>工矿仓储用地</w:t>
            </w:r>
          </w:p>
        </w:tc>
        <w:tc>
          <w:tcPr>
            <w:tcW w:w="336" w:type="pct"/>
            <w:vAlign w:val="center"/>
          </w:tcPr>
          <w:p>
            <w:pPr>
              <w:widowControl/>
              <w:snapToGrid w:val="0"/>
              <w:jc w:val="center"/>
              <w:rPr>
                <w:rFonts w:ascii="Times New Roman" w:hAnsi="Times New Roman" w:eastAsia="仿宋_GB2312" w:cs="Times New Roman"/>
                <w:b/>
                <w:bCs/>
                <w:color w:val="auto"/>
                <w:kern w:val="0"/>
                <w:sz w:val="21"/>
                <w:szCs w:val="21"/>
              </w:rPr>
            </w:pPr>
            <w:r>
              <w:rPr>
                <w:rFonts w:hint="eastAsia" w:ascii="Times New Roman" w:hAnsi="Times New Roman" w:eastAsia="仿宋_GB2312" w:cs="Times New Roman"/>
                <w:b/>
                <w:bCs/>
                <w:color w:val="auto"/>
                <w:kern w:val="0"/>
                <w:sz w:val="21"/>
                <w:szCs w:val="21"/>
              </w:rPr>
              <w:t>交通运输用地</w:t>
            </w:r>
          </w:p>
        </w:tc>
        <w:tc>
          <w:tcPr>
            <w:tcW w:w="343" w:type="pct"/>
            <w:vAlign w:val="center"/>
          </w:tcPr>
          <w:p>
            <w:pPr>
              <w:widowControl/>
              <w:snapToGrid w:val="0"/>
              <w:jc w:val="center"/>
              <w:rPr>
                <w:rFonts w:ascii="Times New Roman" w:hAnsi="Times New Roman" w:eastAsia="仿宋_GB2312" w:cs="Times New Roman"/>
                <w:b/>
                <w:bCs/>
                <w:color w:val="auto"/>
                <w:kern w:val="0"/>
                <w:sz w:val="21"/>
                <w:szCs w:val="21"/>
              </w:rPr>
            </w:pPr>
            <w:r>
              <w:rPr>
                <w:rFonts w:hint="eastAsia" w:ascii="Times New Roman" w:hAnsi="Times New Roman" w:eastAsia="仿宋_GB2312" w:cs="Times New Roman"/>
                <w:b/>
                <w:bCs/>
                <w:color w:val="auto"/>
                <w:kern w:val="0"/>
                <w:sz w:val="21"/>
                <w:szCs w:val="21"/>
              </w:rPr>
              <w:t>其他</w:t>
            </w:r>
            <w:r>
              <w:rPr>
                <w:rFonts w:ascii="Times New Roman" w:hAnsi="Times New Roman" w:eastAsia="仿宋_GB2312" w:cs="Times New Roman"/>
                <w:b/>
                <w:bCs/>
                <w:color w:val="auto"/>
                <w:kern w:val="0"/>
                <w:sz w:val="21"/>
                <w:szCs w:val="21"/>
              </w:rPr>
              <w:t>土地</w:t>
            </w:r>
          </w:p>
        </w:tc>
        <w:tc>
          <w:tcPr>
            <w:tcW w:w="367" w:type="pct"/>
            <w:vMerge w:val="continue"/>
            <w:shd w:val="clear" w:color="auto" w:fill="auto"/>
            <w:vAlign w:val="center"/>
          </w:tcPr>
          <w:p>
            <w:pPr>
              <w:widowControl/>
              <w:snapToGrid w:val="0"/>
              <w:jc w:val="center"/>
              <w:rPr>
                <w:rFonts w:ascii="Times New Roman" w:hAnsi="Times New Roman" w:eastAsia="仿宋_GB2312" w:cs="Times New Roman"/>
                <w:b/>
                <w:bCs/>
                <w:color w:val="auto"/>
                <w:kern w:val="0"/>
                <w:sz w:val="21"/>
                <w:szCs w:val="21"/>
              </w:rPr>
            </w:pPr>
          </w:p>
        </w:tc>
        <w:tc>
          <w:tcPr>
            <w:tcW w:w="339" w:type="pct"/>
            <w:vMerge w:val="continue"/>
            <w:vAlign w:val="center"/>
          </w:tcPr>
          <w:p>
            <w:pPr>
              <w:widowControl/>
              <w:snapToGrid w:val="0"/>
              <w:jc w:val="center"/>
              <w:rPr>
                <w:rFonts w:ascii="Times New Roman" w:hAnsi="Times New Roman" w:eastAsia="仿宋_GB2312" w:cs="Times New Roman"/>
                <w:b/>
                <w:bCs/>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2" w:hRule="atLeast"/>
          <w:jc w:val="center"/>
        </w:trPr>
        <w:tc>
          <w:tcPr>
            <w:tcW w:w="336" w:type="pct"/>
            <w:vMerge w:val="restart"/>
            <w:shd w:val="clear" w:color="auto" w:fill="auto"/>
            <w:vAlign w:val="center"/>
          </w:tcPr>
          <w:p>
            <w:pPr>
              <w:adjustRightInd w:val="0"/>
              <w:snapToGrid w:val="0"/>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公共基础设施区</w:t>
            </w:r>
          </w:p>
        </w:tc>
        <w:tc>
          <w:tcPr>
            <w:tcW w:w="675" w:type="pct"/>
            <w:tcBorders>
              <w:right w:val="single" w:color="auto" w:sz="4" w:space="0"/>
            </w:tcBorders>
            <w:shd w:val="clear" w:color="auto" w:fill="auto"/>
            <w:vAlign w:val="center"/>
          </w:tcPr>
          <w:p>
            <w:pPr>
              <w:widowControl/>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道路与交通设施用地区</w:t>
            </w:r>
          </w:p>
        </w:tc>
        <w:tc>
          <w:tcPr>
            <w:tcW w:w="202" w:type="pct"/>
            <w:vMerge w:val="restart"/>
            <w:tcBorders>
              <w:left w:val="single" w:color="auto" w:sz="4" w:space="0"/>
            </w:tcBorders>
            <w:shd w:val="clear" w:color="auto" w:fill="auto"/>
            <w:vAlign w:val="center"/>
          </w:tcPr>
          <w:p>
            <w:pPr>
              <w:jc w:val="center"/>
              <w:rPr>
                <w:rFonts w:ascii="Times New Roman" w:hAnsi="Times New Roman" w:cs="Times New Roman"/>
                <w:color w:val="auto"/>
                <w:sz w:val="21"/>
                <w:szCs w:val="21"/>
              </w:rPr>
            </w:pPr>
            <w:r>
              <w:rPr>
                <w:rFonts w:ascii="Times New Roman" w:hAnsi="Times New Roman" w:eastAsia="仿宋_GB2312" w:cs="Times New Roman"/>
                <w:bCs/>
                <w:color w:val="auto"/>
                <w:kern w:val="0"/>
                <w:sz w:val="21"/>
                <w:szCs w:val="21"/>
              </w:rPr>
              <w:t>永久占地</w:t>
            </w:r>
          </w:p>
        </w:tc>
        <w:tc>
          <w:tcPr>
            <w:tcW w:w="203" w:type="pct"/>
            <w:vMerge w:val="restart"/>
            <w:vAlign w:val="center"/>
          </w:tcPr>
          <w:p>
            <w:pPr>
              <w:jc w:val="center"/>
              <w:rPr>
                <w:rFonts w:ascii="仿宋_GB2312" w:hAnsi="Times New Roman" w:eastAsia="仿宋_GB2312" w:cs="Times New Roman"/>
                <w:color w:val="auto"/>
                <w:sz w:val="21"/>
                <w:szCs w:val="21"/>
              </w:rPr>
            </w:pPr>
            <w:r>
              <w:rPr>
                <w:rFonts w:hint="eastAsia" w:ascii="仿宋_GB2312" w:hAnsi="Times New Roman" w:eastAsia="仿宋_GB2312" w:cs="Times New Roman"/>
                <w:color w:val="auto"/>
                <w:sz w:val="21"/>
                <w:szCs w:val="21"/>
              </w:rPr>
              <w:t>青山湖区</w:t>
            </w:r>
          </w:p>
        </w:tc>
        <w:tc>
          <w:tcPr>
            <w:tcW w:w="336"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2.59</w:t>
            </w:r>
          </w:p>
        </w:tc>
        <w:tc>
          <w:tcPr>
            <w:tcW w:w="335"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0.31</w:t>
            </w:r>
          </w:p>
        </w:tc>
        <w:tc>
          <w:tcPr>
            <w:tcW w:w="335"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0.54</w:t>
            </w:r>
          </w:p>
        </w:tc>
        <w:tc>
          <w:tcPr>
            <w:tcW w:w="471"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0.56</w:t>
            </w:r>
          </w:p>
        </w:tc>
        <w:tc>
          <w:tcPr>
            <w:tcW w:w="335"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0.72</w:t>
            </w:r>
          </w:p>
        </w:tc>
        <w:tc>
          <w:tcPr>
            <w:tcW w:w="387"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0.63</w:t>
            </w:r>
          </w:p>
        </w:tc>
        <w:tc>
          <w:tcPr>
            <w:tcW w:w="336"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3.93</w:t>
            </w:r>
          </w:p>
        </w:tc>
        <w:tc>
          <w:tcPr>
            <w:tcW w:w="343"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2.38</w:t>
            </w:r>
          </w:p>
        </w:tc>
        <w:tc>
          <w:tcPr>
            <w:tcW w:w="367" w:type="pct"/>
            <w:shd w:val="clear" w:color="auto" w:fill="auto"/>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11.66</w:t>
            </w:r>
          </w:p>
        </w:tc>
        <w:tc>
          <w:tcPr>
            <w:tcW w:w="339" w:type="pct"/>
            <w:vMerge w:val="restar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44.54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2" w:hRule="atLeast"/>
          <w:jc w:val="center"/>
        </w:trPr>
        <w:tc>
          <w:tcPr>
            <w:tcW w:w="336" w:type="pct"/>
            <w:vMerge w:val="continue"/>
            <w:shd w:val="clear" w:color="auto" w:fill="auto"/>
            <w:vAlign w:val="center"/>
          </w:tcPr>
          <w:p>
            <w:pPr>
              <w:adjustRightInd w:val="0"/>
              <w:snapToGrid w:val="0"/>
              <w:jc w:val="center"/>
              <w:rPr>
                <w:rFonts w:ascii="Times New Roman" w:hAnsi="Times New Roman" w:eastAsia="仿宋_GB2312" w:cs="Times New Roman"/>
                <w:color w:val="auto"/>
                <w:sz w:val="21"/>
                <w:szCs w:val="21"/>
              </w:rPr>
            </w:pPr>
          </w:p>
        </w:tc>
        <w:tc>
          <w:tcPr>
            <w:tcW w:w="675" w:type="pct"/>
            <w:tcBorders>
              <w:right w:val="single" w:color="auto" w:sz="4" w:space="0"/>
            </w:tcBorders>
            <w:shd w:val="clear" w:color="auto" w:fill="auto"/>
            <w:vAlign w:val="center"/>
          </w:tcPr>
          <w:p>
            <w:pPr>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公用设施用地区</w:t>
            </w:r>
          </w:p>
        </w:tc>
        <w:tc>
          <w:tcPr>
            <w:tcW w:w="202" w:type="pct"/>
            <w:vMerge w:val="continue"/>
            <w:tcBorders>
              <w:left w:val="single" w:color="auto" w:sz="4" w:space="0"/>
            </w:tcBorders>
            <w:shd w:val="clear" w:color="auto" w:fill="auto"/>
            <w:vAlign w:val="center"/>
          </w:tcPr>
          <w:p>
            <w:pPr>
              <w:jc w:val="center"/>
              <w:rPr>
                <w:rFonts w:ascii="Times New Roman" w:hAnsi="Times New Roman" w:cs="Times New Roman"/>
                <w:color w:val="auto"/>
                <w:sz w:val="21"/>
                <w:szCs w:val="21"/>
              </w:rPr>
            </w:pPr>
          </w:p>
        </w:tc>
        <w:tc>
          <w:tcPr>
            <w:tcW w:w="203" w:type="pct"/>
            <w:vMerge w:val="continue"/>
            <w:vAlign w:val="center"/>
          </w:tcPr>
          <w:p>
            <w:pPr>
              <w:jc w:val="center"/>
              <w:rPr>
                <w:rFonts w:ascii="Times New Roman" w:hAnsi="Times New Roman" w:cs="Times New Roman"/>
                <w:color w:val="auto"/>
                <w:sz w:val="21"/>
                <w:szCs w:val="21"/>
              </w:rPr>
            </w:pPr>
          </w:p>
        </w:tc>
        <w:tc>
          <w:tcPr>
            <w:tcW w:w="336"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4.17</w:t>
            </w:r>
          </w:p>
        </w:tc>
        <w:tc>
          <w:tcPr>
            <w:tcW w:w="335"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1.68</w:t>
            </w:r>
          </w:p>
        </w:tc>
        <w:tc>
          <w:tcPr>
            <w:tcW w:w="335"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0.5</w:t>
            </w:r>
          </w:p>
        </w:tc>
        <w:tc>
          <w:tcPr>
            <w:tcW w:w="471"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0.74</w:t>
            </w:r>
          </w:p>
        </w:tc>
        <w:tc>
          <w:tcPr>
            <w:tcW w:w="335"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1.94</w:t>
            </w:r>
          </w:p>
        </w:tc>
        <w:tc>
          <w:tcPr>
            <w:tcW w:w="387"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1.75</w:t>
            </w:r>
          </w:p>
        </w:tc>
        <w:tc>
          <w:tcPr>
            <w:tcW w:w="336" w:type="pct"/>
            <w:vAlign w:val="center"/>
          </w:tcPr>
          <w:p>
            <w:pPr>
              <w:jc w:val="center"/>
              <w:rPr>
                <w:rFonts w:ascii="Times New Roman" w:hAnsi="Times New Roman" w:cs="Times New Roman"/>
                <w:color w:val="auto"/>
                <w:sz w:val="21"/>
                <w:szCs w:val="21"/>
              </w:rPr>
            </w:pPr>
          </w:p>
        </w:tc>
        <w:tc>
          <w:tcPr>
            <w:tcW w:w="343"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2.09</w:t>
            </w:r>
          </w:p>
        </w:tc>
        <w:tc>
          <w:tcPr>
            <w:tcW w:w="367" w:type="pct"/>
            <w:shd w:val="clear" w:color="auto" w:fill="auto"/>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12.87</w:t>
            </w:r>
          </w:p>
        </w:tc>
        <w:tc>
          <w:tcPr>
            <w:tcW w:w="339" w:type="pct"/>
            <w:vMerge w:val="continue"/>
            <w:vAlign w:val="center"/>
          </w:tcPr>
          <w:p>
            <w:pPr>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2" w:hRule="atLeast"/>
          <w:jc w:val="center"/>
        </w:trPr>
        <w:tc>
          <w:tcPr>
            <w:tcW w:w="336" w:type="pct"/>
            <w:vMerge w:val="continue"/>
            <w:shd w:val="clear" w:color="auto" w:fill="auto"/>
            <w:vAlign w:val="center"/>
          </w:tcPr>
          <w:p>
            <w:pPr>
              <w:adjustRightInd w:val="0"/>
              <w:snapToGrid w:val="0"/>
              <w:jc w:val="center"/>
              <w:rPr>
                <w:rFonts w:ascii="Times New Roman" w:hAnsi="Times New Roman" w:eastAsia="仿宋_GB2312" w:cs="Times New Roman"/>
                <w:color w:val="auto"/>
                <w:sz w:val="21"/>
                <w:szCs w:val="21"/>
              </w:rPr>
            </w:pPr>
          </w:p>
        </w:tc>
        <w:tc>
          <w:tcPr>
            <w:tcW w:w="675" w:type="pct"/>
            <w:tcBorders>
              <w:right w:val="single" w:color="auto" w:sz="4" w:space="0"/>
            </w:tcBorders>
            <w:shd w:val="clear" w:color="auto" w:fill="auto"/>
            <w:vAlign w:val="center"/>
          </w:tcPr>
          <w:p>
            <w:pPr>
              <w:adjustRightInd w:val="0"/>
              <w:snapToGrid w:val="0"/>
              <w:spacing w:beforeLines="50" w:afterLines="5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绿地区</w:t>
            </w:r>
          </w:p>
        </w:tc>
        <w:tc>
          <w:tcPr>
            <w:tcW w:w="202" w:type="pct"/>
            <w:vMerge w:val="continue"/>
            <w:tcBorders>
              <w:left w:val="single" w:color="auto" w:sz="4" w:space="0"/>
            </w:tcBorders>
            <w:shd w:val="clear" w:color="auto" w:fill="auto"/>
            <w:vAlign w:val="center"/>
          </w:tcPr>
          <w:p>
            <w:pPr>
              <w:jc w:val="center"/>
              <w:rPr>
                <w:rFonts w:ascii="Times New Roman" w:hAnsi="Times New Roman" w:cs="Times New Roman"/>
                <w:color w:val="auto"/>
                <w:sz w:val="21"/>
                <w:szCs w:val="21"/>
              </w:rPr>
            </w:pPr>
          </w:p>
        </w:tc>
        <w:tc>
          <w:tcPr>
            <w:tcW w:w="203" w:type="pct"/>
            <w:vMerge w:val="continue"/>
            <w:vAlign w:val="center"/>
          </w:tcPr>
          <w:p>
            <w:pPr>
              <w:jc w:val="center"/>
              <w:rPr>
                <w:rFonts w:ascii="Times New Roman" w:hAnsi="Times New Roman" w:cs="Times New Roman"/>
                <w:color w:val="auto"/>
                <w:sz w:val="21"/>
                <w:szCs w:val="21"/>
              </w:rPr>
            </w:pPr>
          </w:p>
        </w:tc>
        <w:tc>
          <w:tcPr>
            <w:tcW w:w="336"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5.35</w:t>
            </w:r>
          </w:p>
        </w:tc>
        <w:tc>
          <w:tcPr>
            <w:tcW w:w="335"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0.45</w:t>
            </w:r>
          </w:p>
        </w:tc>
        <w:tc>
          <w:tcPr>
            <w:tcW w:w="335"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0.27</w:t>
            </w:r>
          </w:p>
        </w:tc>
        <w:tc>
          <w:tcPr>
            <w:tcW w:w="471"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0.41</w:t>
            </w:r>
          </w:p>
        </w:tc>
        <w:tc>
          <w:tcPr>
            <w:tcW w:w="335"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1.61</w:t>
            </w:r>
          </w:p>
        </w:tc>
        <w:tc>
          <w:tcPr>
            <w:tcW w:w="387"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1.57</w:t>
            </w:r>
          </w:p>
        </w:tc>
        <w:tc>
          <w:tcPr>
            <w:tcW w:w="336" w:type="pct"/>
            <w:vAlign w:val="center"/>
          </w:tcPr>
          <w:p>
            <w:pPr>
              <w:jc w:val="center"/>
              <w:rPr>
                <w:rFonts w:ascii="Times New Roman" w:hAnsi="Times New Roman" w:cs="Times New Roman"/>
                <w:color w:val="auto"/>
                <w:sz w:val="21"/>
                <w:szCs w:val="21"/>
              </w:rPr>
            </w:pPr>
          </w:p>
        </w:tc>
        <w:tc>
          <w:tcPr>
            <w:tcW w:w="343"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10.35</w:t>
            </w:r>
          </w:p>
        </w:tc>
        <w:tc>
          <w:tcPr>
            <w:tcW w:w="367" w:type="pct"/>
            <w:shd w:val="clear" w:color="auto" w:fill="auto"/>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20.01</w:t>
            </w:r>
          </w:p>
        </w:tc>
        <w:tc>
          <w:tcPr>
            <w:tcW w:w="339" w:type="pct"/>
            <w:vMerge w:val="continue"/>
            <w:vAlign w:val="center"/>
          </w:tcPr>
          <w:p>
            <w:pPr>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2" w:hRule="atLeast"/>
          <w:jc w:val="center"/>
        </w:trPr>
        <w:tc>
          <w:tcPr>
            <w:tcW w:w="336" w:type="pct"/>
            <w:vMerge w:val="restart"/>
            <w:shd w:val="clear" w:color="auto" w:fill="auto"/>
            <w:vAlign w:val="center"/>
          </w:tcPr>
          <w:p>
            <w:pPr>
              <w:adjustRightInd w:val="0"/>
              <w:snapToGrid w:val="0"/>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区域规划功能区</w:t>
            </w:r>
          </w:p>
        </w:tc>
        <w:tc>
          <w:tcPr>
            <w:tcW w:w="675" w:type="pct"/>
            <w:tcBorders>
              <w:right w:val="single" w:color="auto" w:sz="4" w:space="0"/>
            </w:tcBorders>
            <w:shd w:val="clear" w:color="auto" w:fill="auto"/>
            <w:vAlign w:val="center"/>
          </w:tcPr>
          <w:p>
            <w:pPr>
              <w:adjustRightInd w:val="0"/>
              <w:snapToGrid w:val="0"/>
              <w:spacing w:beforeLines="50" w:afterLines="5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工业用地区</w:t>
            </w:r>
          </w:p>
        </w:tc>
        <w:tc>
          <w:tcPr>
            <w:tcW w:w="202" w:type="pct"/>
            <w:vMerge w:val="continue"/>
            <w:tcBorders>
              <w:left w:val="single" w:color="auto" w:sz="4" w:space="0"/>
            </w:tcBorders>
            <w:shd w:val="clear" w:color="auto" w:fill="auto"/>
            <w:vAlign w:val="center"/>
          </w:tcPr>
          <w:p>
            <w:pPr>
              <w:jc w:val="center"/>
              <w:rPr>
                <w:rFonts w:ascii="Times New Roman" w:hAnsi="Times New Roman" w:cs="Times New Roman"/>
                <w:color w:val="auto"/>
                <w:sz w:val="21"/>
                <w:szCs w:val="21"/>
              </w:rPr>
            </w:pPr>
          </w:p>
        </w:tc>
        <w:tc>
          <w:tcPr>
            <w:tcW w:w="203" w:type="pct"/>
            <w:vMerge w:val="continue"/>
            <w:vAlign w:val="center"/>
          </w:tcPr>
          <w:p>
            <w:pPr>
              <w:jc w:val="center"/>
              <w:rPr>
                <w:rFonts w:ascii="Times New Roman" w:hAnsi="Times New Roman" w:cs="Times New Roman"/>
                <w:color w:val="auto"/>
                <w:sz w:val="21"/>
                <w:szCs w:val="21"/>
              </w:rPr>
            </w:pPr>
          </w:p>
        </w:tc>
        <w:tc>
          <w:tcPr>
            <w:tcW w:w="336" w:type="pct"/>
            <w:vAlign w:val="center"/>
          </w:tcPr>
          <w:p>
            <w:pPr>
              <w:jc w:val="center"/>
              <w:rPr>
                <w:rFonts w:ascii="Times New Roman" w:hAnsi="Times New Roman" w:cs="Times New Roman"/>
                <w:color w:val="auto"/>
                <w:sz w:val="21"/>
                <w:szCs w:val="21"/>
              </w:rPr>
            </w:pPr>
          </w:p>
        </w:tc>
        <w:tc>
          <w:tcPr>
            <w:tcW w:w="335"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0.62</w:t>
            </w:r>
          </w:p>
        </w:tc>
        <w:tc>
          <w:tcPr>
            <w:tcW w:w="335"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0.42</w:t>
            </w:r>
          </w:p>
        </w:tc>
        <w:tc>
          <w:tcPr>
            <w:tcW w:w="471"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6.81</w:t>
            </w:r>
          </w:p>
        </w:tc>
        <w:tc>
          <w:tcPr>
            <w:tcW w:w="335"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1.28</w:t>
            </w:r>
          </w:p>
        </w:tc>
        <w:tc>
          <w:tcPr>
            <w:tcW w:w="387"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37.7</w:t>
            </w:r>
          </w:p>
        </w:tc>
        <w:tc>
          <w:tcPr>
            <w:tcW w:w="336" w:type="pct"/>
            <w:vAlign w:val="center"/>
          </w:tcPr>
          <w:p>
            <w:pPr>
              <w:jc w:val="center"/>
              <w:rPr>
                <w:rFonts w:ascii="Times New Roman" w:hAnsi="Times New Roman" w:cs="Times New Roman"/>
                <w:color w:val="auto"/>
                <w:sz w:val="21"/>
                <w:szCs w:val="21"/>
              </w:rPr>
            </w:pPr>
          </w:p>
        </w:tc>
        <w:tc>
          <w:tcPr>
            <w:tcW w:w="343"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7.07</w:t>
            </w:r>
          </w:p>
        </w:tc>
        <w:tc>
          <w:tcPr>
            <w:tcW w:w="367" w:type="pct"/>
            <w:shd w:val="clear" w:color="auto" w:fill="auto"/>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53.9</w:t>
            </w:r>
          </w:p>
        </w:tc>
        <w:tc>
          <w:tcPr>
            <w:tcW w:w="339" w:type="pct"/>
            <w:vMerge w:val="restar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55.46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2" w:hRule="atLeast"/>
          <w:jc w:val="center"/>
        </w:trPr>
        <w:tc>
          <w:tcPr>
            <w:tcW w:w="336" w:type="pct"/>
            <w:vMerge w:val="continue"/>
            <w:shd w:val="clear" w:color="auto" w:fill="auto"/>
            <w:vAlign w:val="center"/>
          </w:tcPr>
          <w:p>
            <w:pPr>
              <w:adjustRightInd w:val="0"/>
              <w:snapToGrid w:val="0"/>
              <w:jc w:val="center"/>
              <w:rPr>
                <w:rFonts w:ascii="Times New Roman" w:hAnsi="Times New Roman" w:eastAsia="仿宋_GB2312" w:cs="Times New Roman"/>
                <w:color w:val="auto"/>
                <w:sz w:val="21"/>
                <w:szCs w:val="21"/>
              </w:rPr>
            </w:pPr>
          </w:p>
        </w:tc>
        <w:tc>
          <w:tcPr>
            <w:tcW w:w="675" w:type="pct"/>
            <w:tcBorders>
              <w:right w:val="single" w:color="auto" w:sz="4" w:space="0"/>
            </w:tcBorders>
            <w:shd w:val="clear" w:color="auto" w:fill="auto"/>
            <w:vAlign w:val="center"/>
          </w:tcPr>
          <w:p>
            <w:pPr>
              <w:adjustRightInd w:val="0"/>
              <w:snapToGrid w:val="0"/>
              <w:spacing w:beforeLines="50" w:afterLines="5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商业用地区</w:t>
            </w:r>
          </w:p>
        </w:tc>
        <w:tc>
          <w:tcPr>
            <w:tcW w:w="202" w:type="pct"/>
            <w:vMerge w:val="continue"/>
            <w:tcBorders>
              <w:left w:val="single" w:color="auto" w:sz="4" w:space="0"/>
            </w:tcBorders>
            <w:shd w:val="clear" w:color="auto" w:fill="auto"/>
            <w:vAlign w:val="center"/>
          </w:tcPr>
          <w:p>
            <w:pPr>
              <w:jc w:val="center"/>
              <w:rPr>
                <w:rFonts w:ascii="Times New Roman" w:hAnsi="Times New Roman" w:cs="Times New Roman"/>
                <w:color w:val="auto"/>
                <w:sz w:val="21"/>
                <w:szCs w:val="21"/>
              </w:rPr>
            </w:pPr>
          </w:p>
        </w:tc>
        <w:tc>
          <w:tcPr>
            <w:tcW w:w="203" w:type="pct"/>
            <w:vMerge w:val="continue"/>
            <w:vAlign w:val="center"/>
          </w:tcPr>
          <w:p>
            <w:pPr>
              <w:jc w:val="center"/>
              <w:rPr>
                <w:rFonts w:ascii="Times New Roman" w:hAnsi="Times New Roman" w:cs="Times New Roman"/>
                <w:color w:val="auto"/>
                <w:sz w:val="21"/>
                <w:szCs w:val="21"/>
              </w:rPr>
            </w:pPr>
          </w:p>
        </w:tc>
        <w:tc>
          <w:tcPr>
            <w:tcW w:w="336" w:type="pct"/>
            <w:vAlign w:val="center"/>
          </w:tcPr>
          <w:p>
            <w:pPr>
              <w:jc w:val="center"/>
              <w:rPr>
                <w:rFonts w:ascii="Times New Roman" w:hAnsi="Times New Roman" w:cs="Times New Roman"/>
                <w:color w:val="auto"/>
                <w:sz w:val="21"/>
                <w:szCs w:val="21"/>
              </w:rPr>
            </w:pPr>
          </w:p>
        </w:tc>
        <w:tc>
          <w:tcPr>
            <w:tcW w:w="335" w:type="pct"/>
            <w:vAlign w:val="center"/>
          </w:tcPr>
          <w:p>
            <w:pPr>
              <w:jc w:val="center"/>
              <w:rPr>
                <w:rFonts w:ascii="Times New Roman" w:hAnsi="Times New Roman" w:cs="Times New Roman"/>
                <w:color w:val="auto"/>
                <w:sz w:val="21"/>
                <w:szCs w:val="21"/>
              </w:rPr>
            </w:pPr>
          </w:p>
        </w:tc>
        <w:tc>
          <w:tcPr>
            <w:tcW w:w="335"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0.06</w:t>
            </w:r>
          </w:p>
        </w:tc>
        <w:tc>
          <w:tcPr>
            <w:tcW w:w="471"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0.93</w:t>
            </w:r>
          </w:p>
        </w:tc>
        <w:tc>
          <w:tcPr>
            <w:tcW w:w="335" w:type="pct"/>
            <w:vAlign w:val="center"/>
          </w:tcPr>
          <w:p>
            <w:pPr>
              <w:jc w:val="center"/>
              <w:rPr>
                <w:rFonts w:ascii="Times New Roman" w:hAnsi="Times New Roman" w:cs="Times New Roman"/>
                <w:color w:val="auto"/>
                <w:sz w:val="21"/>
                <w:szCs w:val="21"/>
              </w:rPr>
            </w:pPr>
          </w:p>
        </w:tc>
        <w:tc>
          <w:tcPr>
            <w:tcW w:w="387" w:type="pct"/>
            <w:vAlign w:val="center"/>
          </w:tcPr>
          <w:p>
            <w:pPr>
              <w:jc w:val="center"/>
              <w:rPr>
                <w:rFonts w:ascii="Times New Roman" w:hAnsi="Times New Roman" w:cs="Times New Roman"/>
                <w:color w:val="auto"/>
                <w:sz w:val="21"/>
                <w:szCs w:val="21"/>
              </w:rPr>
            </w:pPr>
          </w:p>
        </w:tc>
        <w:tc>
          <w:tcPr>
            <w:tcW w:w="336" w:type="pct"/>
            <w:vAlign w:val="center"/>
          </w:tcPr>
          <w:p>
            <w:pPr>
              <w:jc w:val="center"/>
              <w:rPr>
                <w:rFonts w:ascii="Times New Roman" w:hAnsi="Times New Roman" w:cs="Times New Roman"/>
                <w:color w:val="auto"/>
                <w:sz w:val="21"/>
                <w:szCs w:val="21"/>
              </w:rPr>
            </w:pPr>
          </w:p>
        </w:tc>
        <w:tc>
          <w:tcPr>
            <w:tcW w:w="343"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0.57</w:t>
            </w:r>
          </w:p>
        </w:tc>
        <w:tc>
          <w:tcPr>
            <w:tcW w:w="367" w:type="pct"/>
            <w:shd w:val="clear" w:color="auto" w:fill="auto"/>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1.56</w:t>
            </w:r>
          </w:p>
        </w:tc>
        <w:tc>
          <w:tcPr>
            <w:tcW w:w="339" w:type="pct"/>
            <w:vMerge w:val="continue"/>
            <w:vAlign w:val="center"/>
          </w:tcPr>
          <w:p>
            <w:pPr>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2" w:hRule="atLeast"/>
          <w:jc w:val="center"/>
        </w:trPr>
        <w:tc>
          <w:tcPr>
            <w:tcW w:w="1011" w:type="pct"/>
            <w:gridSpan w:val="2"/>
            <w:tcBorders>
              <w:right w:val="single" w:color="auto" w:sz="4" w:space="0"/>
            </w:tcBorders>
            <w:shd w:val="clear" w:color="auto" w:fill="auto"/>
            <w:vAlign w:val="center"/>
          </w:tcPr>
          <w:p>
            <w:pPr>
              <w:snapToGrid w:val="0"/>
              <w:spacing w:beforeLines="50" w:afterLines="5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合计</w:t>
            </w:r>
          </w:p>
        </w:tc>
        <w:tc>
          <w:tcPr>
            <w:tcW w:w="202" w:type="pct"/>
            <w:tcBorders>
              <w:left w:val="single" w:color="auto" w:sz="4" w:space="0"/>
            </w:tcBorders>
            <w:shd w:val="clear" w:color="auto" w:fill="auto"/>
            <w:vAlign w:val="center"/>
          </w:tcPr>
          <w:p>
            <w:pPr>
              <w:jc w:val="center"/>
              <w:rPr>
                <w:rFonts w:ascii="Times New Roman" w:hAnsi="Times New Roman" w:cs="Times New Roman"/>
                <w:color w:val="auto"/>
                <w:sz w:val="21"/>
                <w:szCs w:val="21"/>
              </w:rPr>
            </w:pPr>
          </w:p>
        </w:tc>
        <w:tc>
          <w:tcPr>
            <w:tcW w:w="203" w:type="pct"/>
            <w:vAlign w:val="center"/>
          </w:tcPr>
          <w:p>
            <w:pPr>
              <w:jc w:val="center"/>
              <w:rPr>
                <w:rFonts w:ascii="Times New Roman" w:hAnsi="Times New Roman" w:cs="Times New Roman"/>
                <w:color w:val="auto"/>
                <w:sz w:val="21"/>
                <w:szCs w:val="21"/>
              </w:rPr>
            </w:pPr>
          </w:p>
        </w:tc>
        <w:tc>
          <w:tcPr>
            <w:tcW w:w="336"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12.11</w:t>
            </w:r>
          </w:p>
        </w:tc>
        <w:tc>
          <w:tcPr>
            <w:tcW w:w="335"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3.06</w:t>
            </w:r>
          </w:p>
        </w:tc>
        <w:tc>
          <w:tcPr>
            <w:tcW w:w="335"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1.79</w:t>
            </w:r>
          </w:p>
        </w:tc>
        <w:tc>
          <w:tcPr>
            <w:tcW w:w="471"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9.45</w:t>
            </w:r>
          </w:p>
        </w:tc>
        <w:tc>
          <w:tcPr>
            <w:tcW w:w="335"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5.55</w:t>
            </w:r>
          </w:p>
        </w:tc>
        <w:tc>
          <w:tcPr>
            <w:tcW w:w="387"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41.65</w:t>
            </w:r>
          </w:p>
        </w:tc>
        <w:tc>
          <w:tcPr>
            <w:tcW w:w="336"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3.93</w:t>
            </w:r>
          </w:p>
        </w:tc>
        <w:tc>
          <w:tcPr>
            <w:tcW w:w="343"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22.46</w:t>
            </w:r>
          </w:p>
        </w:tc>
        <w:tc>
          <w:tcPr>
            <w:tcW w:w="367" w:type="pct"/>
            <w:shd w:val="clear" w:color="auto" w:fill="auto"/>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100</w:t>
            </w:r>
          </w:p>
        </w:tc>
        <w:tc>
          <w:tcPr>
            <w:tcW w:w="339"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100</w:t>
            </w:r>
          </w:p>
        </w:tc>
      </w:tr>
    </w:tbl>
    <w:p>
      <w:pPr>
        <w:keepNext w:val="0"/>
        <w:keepLines w:val="0"/>
        <w:pageBreakBefore w:val="0"/>
        <w:widowControl w:val="0"/>
        <w:kinsoku/>
        <w:wordWrap/>
        <w:overflowPunct/>
        <w:topLinePunct w:val="0"/>
        <w:autoSpaceDE/>
        <w:autoSpaceDN/>
        <w:bidi w:val="0"/>
        <w:adjustRightInd/>
        <w:snapToGrid w:val="0"/>
        <w:spacing w:line="240" w:lineRule="auto"/>
        <w:ind w:firstLine="420" w:firstLineChars="200"/>
        <w:textAlignment w:val="auto"/>
        <w:rPr>
          <w:rFonts w:ascii="Times New Roman" w:hAnsi="Times New Roman" w:eastAsia="仿宋_GB2312" w:cs="Times New Roman"/>
          <w:color w:val="auto"/>
          <w:sz w:val="21"/>
          <w:szCs w:val="21"/>
        </w:rPr>
      </w:pPr>
      <w:bookmarkStart w:id="182" w:name="_Toc451799205"/>
      <w:bookmarkStart w:id="183" w:name="_Toc5618"/>
      <w:bookmarkStart w:id="184" w:name="_Toc6005"/>
      <w:bookmarkStart w:id="185" w:name="_Toc7273"/>
      <w:bookmarkStart w:id="186" w:name="_Toc514432593"/>
      <w:bookmarkStart w:id="187" w:name="_Toc439243902"/>
      <w:bookmarkStart w:id="188" w:name="_Toc499039867"/>
      <w:bookmarkStart w:id="189" w:name="_Toc11018"/>
      <w:bookmarkStart w:id="190" w:name="_Toc29155"/>
      <w:bookmarkStart w:id="191" w:name="_Toc514431449"/>
      <w:bookmarkStart w:id="192" w:name="_Toc514430839"/>
      <w:bookmarkStart w:id="193" w:name="_Toc11381"/>
      <w:r>
        <w:rPr>
          <w:rFonts w:hint="eastAsia" w:ascii="Times New Roman" w:hAnsi="Times New Roman" w:eastAsia="仿宋_GB2312" w:cs="Times New Roman"/>
          <w:color w:val="auto"/>
          <w:sz w:val="21"/>
          <w:szCs w:val="21"/>
        </w:rPr>
        <w:t>说明：①已批复水保方案的区域内E17和E21地块部分区域共计26.34hm</w:t>
      </w:r>
      <w:r>
        <w:rPr>
          <w:rFonts w:hint="eastAsia" w:ascii="Times New Roman" w:hAnsi="Times New Roman" w:eastAsia="仿宋_GB2312" w:cs="Times New Roman"/>
          <w:color w:val="auto"/>
          <w:sz w:val="21"/>
          <w:szCs w:val="21"/>
          <w:vertAlign w:val="superscript"/>
        </w:rPr>
        <w:t>2</w:t>
      </w:r>
      <w:r>
        <w:rPr>
          <w:rFonts w:hint="eastAsia" w:ascii="Times New Roman" w:hAnsi="Times New Roman" w:eastAsia="仿宋_GB2312" w:cs="Times New Roman"/>
          <w:color w:val="auto"/>
          <w:sz w:val="21"/>
          <w:szCs w:val="21"/>
        </w:rPr>
        <w:t>。②区域规划前已建成的道路按建成后的用地类型计列。③区域规划前已平整的E09、E11和E19地块按后期规划用地性质的工矿仓储用地（工业场地）计列。</w:t>
      </w:r>
    </w:p>
    <w:p>
      <w:pPr>
        <w:pStyle w:val="5"/>
        <w:rPr>
          <w:rFonts w:eastAsia="仿宋_GB2312"/>
          <w:color w:val="auto"/>
        </w:rPr>
      </w:pPr>
      <w:bookmarkStart w:id="194" w:name="_Toc31922"/>
      <w:r>
        <w:rPr>
          <w:rFonts w:eastAsia="仿宋_GB2312"/>
          <w:color w:val="auto"/>
        </w:rPr>
        <w:t>2.4 土石方平衡</w:t>
      </w:r>
      <w:bookmarkEnd w:id="182"/>
      <w:bookmarkEnd w:id="183"/>
      <w:bookmarkEnd w:id="184"/>
      <w:bookmarkEnd w:id="185"/>
      <w:bookmarkEnd w:id="186"/>
      <w:bookmarkEnd w:id="187"/>
      <w:bookmarkEnd w:id="188"/>
      <w:bookmarkEnd w:id="189"/>
      <w:bookmarkEnd w:id="190"/>
      <w:bookmarkEnd w:id="191"/>
      <w:bookmarkEnd w:id="192"/>
      <w:bookmarkEnd w:id="193"/>
      <w:bookmarkEnd w:id="194"/>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根据现场调查</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评估区域的建设方式为</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公共基础设施区建设内容</w:t>
      </w:r>
      <w:r>
        <w:rPr>
          <w:rFonts w:hint="eastAsia" w:ascii="Times New Roman" w:hAnsi="Times New Roman" w:eastAsia="仿宋_GB2312" w:cs="Times New Roman"/>
          <w:color w:val="auto"/>
          <w:szCs w:val="24"/>
        </w:rPr>
        <w:t>（包括区域内道路、管线、绿化等内容）除公用设施用地地块（E04、E16和E18）仅进行场地初平，其他全部由区域管理机构先行统一场平建设，后期其他功能区域块建设由入驻企业进场后按规划进行本区块的场地平整和建设。评估区的土石方挖填活动及挖填量，主要分为两个阶段的集中扰动过程。一是“五通一平”阶段，区域场平、道路、供水供电等基础设施建设，土石方统一调配、平衡，是评估区扰动强度最大、挖填土石方数量最多的阶段。二是入驻企业进场后兴建厂房的二次开挖，其对地表的扰动强度、土石方挖填量都较小。</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由于评估区域面积较大，原始地势较为低洼，规划区域为，为统一规划布局，统一管理，评估区域土石方挖填应充分做到内部平衡。</w:t>
      </w:r>
      <w:r>
        <w:rPr>
          <w:rFonts w:hint="eastAsia" w:ascii="Times New Roman" w:hAnsi="Times New Roman" w:eastAsia="仿宋_GB2312" w:cs="Times New Roman"/>
          <w:color w:val="auto"/>
          <w:szCs w:val="24"/>
        </w:rPr>
        <w:t>土石方总体规划结合上位规划及城市规划，场地内开挖土方及拆迁产生的处理后渣方全部就地回填利用，做到区域土石方不外排的原则，</w:t>
      </w:r>
      <w:r>
        <w:rPr>
          <w:rFonts w:hint="eastAsia" w:ascii="Times New Roman" w:hAnsi="Times New Roman" w:eastAsia="仿宋_GB2312" w:cs="Times New Roman"/>
          <w:color w:val="auto"/>
          <w:szCs w:val="24"/>
        </w:rPr>
        <w:t>进行区域统一规划调配土石方。</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（一）表土资源分布及表土平衡</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根据区域内土地占地现状，其中耕地、林地、草地部分均有可用表土剥离。其中耕地、林地表土剥离平均厚度按0.3m估算，草地表土剥离平均厚度按0.2m估算。表土回填至规划的绿地，按覆土0.2m~0.4m估算。经计算，本次规划区域可剥离表土16.96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，耕地面积12.11hm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，林地面积3.06hm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，草地面积1.79hm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，本区域共计需剥离表土4.91万m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。剥离的表土全部用于区域内部绿化区域表土回填，回填表土4.91万m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。根据开发建设时序安排，各地块施工前剥离的表土集中堆放于E</w:t>
      </w:r>
      <w:r>
        <w:rPr>
          <w:rFonts w:hint="eastAsia" w:ascii="Times New Roman" w:hAnsi="Times New Roman" w:eastAsia="仿宋_GB2312" w:cs="Times New Roman"/>
          <w:color w:val="auto"/>
          <w:szCs w:val="24"/>
          <w:lang w:val="en-US" w:eastAsia="zh-CN"/>
        </w:rPr>
        <w:t>22</w:t>
      </w:r>
      <w:r>
        <w:rPr>
          <w:rFonts w:hint="eastAsia" w:ascii="Times New Roman" w:hAnsi="Times New Roman" w:eastAsia="仿宋_GB2312" w:cs="Times New Roman"/>
          <w:color w:val="auto"/>
          <w:szCs w:val="24"/>
        </w:rPr>
        <w:t>地块内的临时表土堆场内，绿化建设时根据自身需要从表土堆存点调运。</w:t>
      </w:r>
    </w:p>
    <w:p>
      <w:pPr>
        <w:snapToGrid w:val="0"/>
        <w:spacing w:beforeLines="50" w:line="360" w:lineRule="auto"/>
        <w:ind w:firstLine="482" w:firstLineChars="200"/>
        <w:jc w:val="center"/>
        <w:rPr>
          <w:rFonts w:ascii="Times New Roman" w:hAnsi="Times New Roman" w:eastAsia="仿宋_GB2312" w:cs="Times New Roman"/>
          <w:b/>
          <w:color w:val="auto"/>
          <w:szCs w:val="24"/>
        </w:rPr>
      </w:pPr>
      <w:r>
        <w:rPr>
          <w:rFonts w:ascii="Times New Roman" w:hAnsi="Times New Roman" w:eastAsia="仿宋_GB2312" w:cs="Times New Roman"/>
          <w:b/>
          <w:color w:val="auto"/>
          <w:szCs w:val="24"/>
        </w:rPr>
        <w:t>表2</w:t>
      </w:r>
      <w:r>
        <w:rPr>
          <w:rFonts w:hint="eastAsia" w:ascii="Times New Roman" w:hAnsi="Times New Roman" w:eastAsia="仿宋_GB2312" w:cs="Times New Roman"/>
          <w:b/>
          <w:color w:val="auto"/>
          <w:szCs w:val="24"/>
        </w:rPr>
        <w:t>.4-1：</w:t>
      </w:r>
      <w:r>
        <w:rPr>
          <w:rFonts w:ascii="Times New Roman" w:hAnsi="Times New Roman" w:eastAsia="仿宋_GB2312" w:cs="Times New Roman"/>
          <w:b/>
          <w:bCs/>
          <w:color w:val="auto"/>
          <w:szCs w:val="24"/>
        </w:rPr>
        <w:t>表土平衡表</w:t>
      </w:r>
      <w:r>
        <w:rPr>
          <w:rFonts w:hint="eastAsia" w:ascii="Times New Roman" w:hAnsi="Times New Roman" w:eastAsia="仿宋_GB2312" w:cs="Times New Roman"/>
          <w:b/>
          <w:bCs/>
          <w:color w:val="auto"/>
          <w:szCs w:val="24"/>
        </w:rPr>
        <w:t>（</w:t>
      </w:r>
      <w:r>
        <w:rPr>
          <w:rFonts w:ascii="Times New Roman" w:hAnsi="Times New Roman" w:eastAsia="仿宋_GB2312" w:cs="Times New Roman"/>
          <w:b/>
          <w:color w:val="auto"/>
          <w:szCs w:val="24"/>
        </w:rPr>
        <w:t>单位：万m</w:t>
      </w:r>
      <w:r>
        <w:rPr>
          <w:rFonts w:ascii="Times New Roman" w:hAnsi="Times New Roman" w:eastAsia="仿宋_GB2312" w:cs="Times New Roman"/>
          <w:b/>
          <w:color w:val="auto"/>
          <w:szCs w:val="24"/>
          <w:vertAlign w:val="superscript"/>
        </w:rPr>
        <w:t>3</w:t>
      </w:r>
      <w:r>
        <w:rPr>
          <w:rFonts w:hint="eastAsia" w:ascii="Times New Roman" w:hAnsi="Times New Roman" w:eastAsia="仿宋_GB2312" w:cs="Times New Roman"/>
          <w:b/>
          <w:color w:val="auto"/>
          <w:szCs w:val="24"/>
        </w:rPr>
        <w:t>）</w:t>
      </w:r>
    </w:p>
    <w:tbl>
      <w:tblPr>
        <w:tblStyle w:val="37"/>
        <w:tblW w:w="939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49"/>
        <w:gridCol w:w="1431"/>
        <w:gridCol w:w="686"/>
        <w:gridCol w:w="667"/>
        <w:gridCol w:w="755"/>
        <w:gridCol w:w="693"/>
        <w:gridCol w:w="719"/>
        <w:gridCol w:w="709"/>
        <w:gridCol w:w="719"/>
        <w:gridCol w:w="850"/>
        <w:gridCol w:w="709"/>
        <w:gridCol w:w="7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7" w:hRule="atLeast"/>
          <w:jc w:val="center"/>
        </w:trPr>
        <w:tc>
          <w:tcPr>
            <w:tcW w:w="2180" w:type="dxa"/>
            <w:gridSpan w:val="2"/>
            <w:vMerge w:val="restart"/>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分区</w:t>
            </w:r>
          </w:p>
        </w:tc>
        <w:tc>
          <w:tcPr>
            <w:tcW w:w="686" w:type="dxa"/>
            <w:vMerge w:val="restart"/>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剥离方</w:t>
            </w:r>
          </w:p>
        </w:tc>
        <w:tc>
          <w:tcPr>
            <w:tcW w:w="667" w:type="dxa"/>
            <w:vMerge w:val="restart"/>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回覆方</w:t>
            </w:r>
          </w:p>
        </w:tc>
        <w:tc>
          <w:tcPr>
            <w:tcW w:w="1448" w:type="dxa"/>
            <w:gridSpan w:val="2"/>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调入</w:t>
            </w:r>
          </w:p>
        </w:tc>
        <w:tc>
          <w:tcPr>
            <w:tcW w:w="1428" w:type="dxa"/>
            <w:gridSpan w:val="2"/>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调出</w:t>
            </w:r>
          </w:p>
        </w:tc>
        <w:tc>
          <w:tcPr>
            <w:tcW w:w="1569" w:type="dxa"/>
            <w:gridSpan w:val="2"/>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临时堆存方</w:t>
            </w:r>
          </w:p>
        </w:tc>
        <w:tc>
          <w:tcPr>
            <w:tcW w:w="1418" w:type="dxa"/>
            <w:gridSpan w:val="2"/>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利用方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8" w:hRule="atLeast"/>
          <w:jc w:val="center"/>
        </w:trPr>
        <w:tc>
          <w:tcPr>
            <w:tcW w:w="2180" w:type="dxa"/>
            <w:gridSpan w:val="2"/>
            <w:vMerge w:val="continue"/>
            <w:vAlign w:val="center"/>
          </w:tcPr>
          <w:p>
            <w:pPr>
              <w:widowControl/>
              <w:jc w:val="center"/>
              <w:rPr>
                <w:rFonts w:ascii="Times New Roman" w:hAnsi="Times New Roman" w:eastAsia="仿宋_GB2312" w:cs="Times New Roman"/>
                <w:color w:val="auto"/>
                <w:kern w:val="0"/>
                <w:sz w:val="21"/>
                <w:szCs w:val="21"/>
              </w:rPr>
            </w:pPr>
          </w:p>
        </w:tc>
        <w:tc>
          <w:tcPr>
            <w:tcW w:w="686" w:type="dxa"/>
            <w:vMerge w:val="continue"/>
            <w:vAlign w:val="center"/>
          </w:tcPr>
          <w:p>
            <w:pPr>
              <w:widowControl/>
              <w:jc w:val="center"/>
              <w:rPr>
                <w:rFonts w:ascii="Times New Roman" w:hAnsi="Times New Roman" w:eastAsia="仿宋_GB2312" w:cs="Times New Roman"/>
                <w:color w:val="auto"/>
                <w:kern w:val="0"/>
                <w:sz w:val="21"/>
                <w:szCs w:val="21"/>
              </w:rPr>
            </w:pPr>
          </w:p>
        </w:tc>
        <w:tc>
          <w:tcPr>
            <w:tcW w:w="667" w:type="dxa"/>
            <w:vMerge w:val="continue"/>
            <w:vAlign w:val="center"/>
          </w:tcPr>
          <w:p>
            <w:pPr>
              <w:widowControl/>
              <w:jc w:val="center"/>
              <w:rPr>
                <w:rFonts w:ascii="Times New Roman" w:hAnsi="Times New Roman" w:eastAsia="仿宋_GB2312" w:cs="Times New Roman"/>
                <w:color w:val="auto"/>
                <w:kern w:val="0"/>
                <w:sz w:val="21"/>
                <w:szCs w:val="21"/>
              </w:rPr>
            </w:pPr>
          </w:p>
        </w:tc>
        <w:tc>
          <w:tcPr>
            <w:tcW w:w="755"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数量</w:t>
            </w:r>
          </w:p>
        </w:tc>
        <w:tc>
          <w:tcPr>
            <w:tcW w:w="693"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来源</w:t>
            </w:r>
          </w:p>
        </w:tc>
        <w:tc>
          <w:tcPr>
            <w:tcW w:w="719"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数量</w:t>
            </w:r>
          </w:p>
        </w:tc>
        <w:tc>
          <w:tcPr>
            <w:tcW w:w="709"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去向</w:t>
            </w:r>
          </w:p>
        </w:tc>
        <w:tc>
          <w:tcPr>
            <w:tcW w:w="719" w:type="dxa"/>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数量</w:t>
            </w:r>
          </w:p>
        </w:tc>
        <w:tc>
          <w:tcPr>
            <w:tcW w:w="850"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位置</w:t>
            </w:r>
          </w:p>
        </w:tc>
        <w:tc>
          <w:tcPr>
            <w:tcW w:w="709" w:type="dxa"/>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数量</w:t>
            </w:r>
          </w:p>
        </w:tc>
        <w:tc>
          <w:tcPr>
            <w:tcW w:w="709"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利用</w:t>
            </w:r>
            <w:r>
              <w:rPr>
                <w:rFonts w:ascii="Times New Roman" w:hAnsi="Times New Roman" w:eastAsia="仿宋_GB2312" w:cs="Times New Roman"/>
                <w:color w:val="auto"/>
                <w:kern w:val="0"/>
                <w:sz w:val="21"/>
                <w:szCs w:val="21"/>
              </w:rPr>
              <w:t>方向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49" w:type="dxa"/>
            <w:vMerge w:val="restar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公用基础设施区</w:t>
            </w:r>
          </w:p>
        </w:tc>
        <w:tc>
          <w:tcPr>
            <w:tcW w:w="1431" w:type="dxa"/>
            <w:vAlign w:val="center"/>
          </w:tcPr>
          <w:p>
            <w:pPr>
              <w:jc w:val="center"/>
              <w:rPr>
                <w:rFonts w:ascii="Times New Roman" w:hAnsi="Times New Roman" w:eastAsia="仿宋_GB2312" w:cs="Times New Roman"/>
                <w:color w:val="auto"/>
                <w:kern w:val="0"/>
                <w:sz w:val="20"/>
                <w:szCs w:val="20"/>
              </w:rPr>
            </w:pPr>
            <w:r>
              <w:rPr>
                <w:rFonts w:ascii="Times New Roman" w:hAnsi="Times New Roman" w:eastAsia="仿宋_GB2312" w:cs="Times New Roman"/>
                <w:color w:val="auto"/>
                <w:kern w:val="0"/>
                <w:sz w:val="20"/>
                <w:szCs w:val="20"/>
              </w:rPr>
              <w:t>道路与交通设施用地区</w:t>
            </w:r>
            <w:r>
              <w:rPr>
                <w:rFonts w:hint="eastAsia" w:ascii="Times New Roman" w:hAnsi="Times New Roman" w:eastAsia="仿宋_GB2312" w:cs="Times New Roman"/>
                <w:color w:val="auto"/>
                <w:kern w:val="0"/>
                <w:sz w:val="20"/>
                <w:szCs w:val="20"/>
              </w:rPr>
              <w:t>①</w:t>
            </w:r>
          </w:p>
        </w:tc>
        <w:tc>
          <w:tcPr>
            <w:tcW w:w="686" w:type="dxa"/>
            <w:vAlign w:val="center"/>
          </w:tcPr>
          <w:p>
            <w:pPr>
              <w:spacing w:beforeLines="50" w:afterLines="5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0.98</w:t>
            </w:r>
          </w:p>
        </w:tc>
        <w:tc>
          <w:tcPr>
            <w:tcW w:w="667" w:type="dxa"/>
            <w:vAlign w:val="center"/>
          </w:tcPr>
          <w:p>
            <w:pPr>
              <w:spacing w:beforeLines="50" w:afterLines="5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0.08</w:t>
            </w:r>
          </w:p>
        </w:tc>
        <w:tc>
          <w:tcPr>
            <w:tcW w:w="755" w:type="dxa"/>
            <w:vAlign w:val="center"/>
          </w:tcPr>
          <w:p>
            <w:pPr>
              <w:jc w:val="center"/>
              <w:rPr>
                <w:rFonts w:ascii="Times New Roman" w:hAnsi="Times New Roman" w:cs="Times New Roman"/>
                <w:color w:val="auto"/>
                <w:sz w:val="21"/>
                <w:szCs w:val="21"/>
              </w:rPr>
            </w:pPr>
          </w:p>
        </w:tc>
        <w:tc>
          <w:tcPr>
            <w:tcW w:w="693" w:type="dxa"/>
            <w:vAlign w:val="center"/>
          </w:tcPr>
          <w:p>
            <w:pPr>
              <w:jc w:val="center"/>
              <w:rPr>
                <w:rFonts w:ascii="Times New Roman" w:hAnsi="Times New Roman" w:cs="Times New Roman"/>
                <w:color w:val="auto"/>
                <w:sz w:val="21"/>
                <w:szCs w:val="21"/>
              </w:rPr>
            </w:pPr>
          </w:p>
        </w:tc>
        <w:tc>
          <w:tcPr>
            <w:tcW w:w="719"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0.90</w:t>
            </w:r>
          </w:p>
        </w:tc>
        <w:tc>
          <w:tcPr>
            <w:tcW w:w="709"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③</w:t>
            </w:r>
          </w:p>
        </w:tc>
        <w:tc>
          <w:tcPr>
            <w:tcW w:w="719"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0.98</w:t>
            </w:r>
          </w:p>
        </w:tc>
        <w:tc>
          <w:tcPr>
            <w:tcW w:w="850" w:type="dxa"/>
            <w:vMerge w:val="restart"/>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E</w:t>
            </w:r>
            <w:r>
              <w:rPr>
                <w:rFonts w:hint="eastAsia" w:ascii="Times New Roman" w:hAnsi="Times New Roman" w:eastAsia="仿宋_GB2312" w:cs="Times New Roman"/>
                <w:color w:val="auto"/>
                <w:sz w:val="21"/>
                <w:szCs w:val="21"/>
                <w:lang w:val="en-US" w:eastAsia="zh-CN"/>
              </w:rPr>
              <w:t>22</w:t>
            </w:r>
            <w:r>
              <w:rPr>
                <w:rFonts w:hint="eastAsia" w:ascii="Times New Roman" w:hAnsi="Times New Roman" w:eastAsia="仿宋_GB2312" w:cs="Times New Roman"/>
                <w:color w:val="auto"/>
                <w:sz w:val="21"/>
                <w:szCs w:val="21"/>
              </w:rPr>
              <w:t>地块的临时表土堆场</w:t>
            </w:r>
          </w:p>
        </w:tc>
        <w:tc>
          <w:tcPr>
            <w:tcW w:w="709"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0.08</w:t>
            </w:r>
          </w:p>
        </w:tc>
        <w:tc>
          <w:tcPr>
            <w:tcW w:w="709" w:type="dxa"/>
            <w:vMerge w:val="restart"/>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规划</w:t>
            </w:r>
            <w:r>
              <w:rPr>
                <w:rFonts w:ascii="Times New Roman" w:hAnsi="Times New Roman" w:eastAsia="仿宋_GB2312" w:cs="Times New Roman"/>
                <w:color w:val="auto"/>
                <w:sz w:val="21"/>
                <w:szCs w:val="21"/>
              </w:rPr>
              <w:t>区域内的绿化区域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49" w:type="dxa"/>
            <w:vMerge w:val="continue"/>
            <w:vAlign w:val="center"/>
          </w:tcPr>
          <w:p>
            <w:pPr>
              <w:jc w:val="center"/>
              <w:rPr>
                <w:rFonts w:ascii="Times New Roman" w:hAnsi="Times New Roman" w:eastAsia="仿宋_GB2312" w:cs="Times New Roman"/>
                <w:color w:val="auto"/>
                <w:kern w:val="0"/>
                <w:sz w:val="21"/>
                <w:szCs w:val="21"/>
              </w:rPr>
            </w:pPr>
          </w:p>
        </w:tc>
        <w:tc>
          <w:tcPr>
            <w:tcW w:w="1431" w:type="dxa"/>
            <w:vAlign w:val="center"/>
          </w:tcPr>
          <w:p>
            <w:pPr>
              <w:jc w:val="center"/>
              <w:rPr>
                <w:rFonts w:ascii="Times New Roman" w:hAnsi="Times New Roman" w:eastAsia="仿宋_GB2312" w:cs="Times New Roman"/>
                <w:color w:val="auto"/>
                <w:kern w:val="0"/>
                <w:sz w:val="20"/>
                <w:szCs w:val="20"/>
              </w:rPr>
            </w:pPr>
            <w:r>
              <w:rPr>
                <w:rFonts w:ascii="Times New Roman" w:hAnsi="Times New Roman" w:eastAsia="仿宋_GB2312" w:cs="Times New Roman"/>
                <w:color w:val="auto"/>
                <w:kern w:val="0"/>
                <w:sz w:val="20"/>
                <w:szCs w:val="20"/>
              </w:rPr>
              <w:t>公用设施用地区</w:t>
            </w:r>
            <w:r>
              <w:rPr>
                <w:rFonts w:hint="eastAsia" w:ascii="Times New Roman" w:hAnsi="Times New Roman" w:eastAsia="仿宋_GB2312" w:cs="Times New Roman"/>
                <w:color w:val="auto"/>
                <w:kern w:val="0"/>
                <w:sz w:val="20"/>
                <w:szCs w:val="20"/>
              </w:rPr>
              <w:t>②</w:t>
            </w:r>
          </w:p>
        </w:tc>
        <w:tc>
          <w:tcPr>
            <w:tcW w:w="686" w:type="dxa"/>
            <w:vAlign w:val="center"/>
          </w:tcPr>
          <w:p>
            <w:pPr>
              <w:spacing w:beforeLines="50" w:afterLines="5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1.86</w:t>
            </w:r>
          </w:p>
        </w:tc>
        <w:tc>
          <w:tcPr>
            <w:tcW w:w="667" w:type="dxa"/>
            <w:vAlign w:val="center"/>
          </w:tcPr>
          <w:p>
            <w:pPr>
              <w:spacing w:beforeLines="50" w:afterLines="5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w:t>
            </w:r>
          </w:p>
        </w:tc>
        <w:tc>
          <w:tcPr>
            <w:tcW w:w="755" w:type="dxa"/>
            <w:vAlign w:val="center"/>
          </w:tcPr>
          <w:p>
            <w:pPr>
              <w:jc w:val="center"/>
              <w:rPr>
                <w:rFonts w:ascii="Times New Roman" w:hAnsi="Times New Roman" w:cs="Times New Roman"/>
                <w:color w:val="auto"/>
                <w:sz w:val="21"/>
                <w:szCs w:val="21"/>
              </w:rPr>
            </w:pPr>
          </w:p>
        </w:tc>
        <w:tc>
          <w:tcPr>
            <w:tcW w:w="693" w:type="dxa"/>
            <w:vAlign w:val="center"/>
          </w:tcPr>
          <w:p>
            <w:pPr>
              <w:jc w:val="center"/>
              <w:rPr>
                <w:rFonts w:ascii="Times New Roman" w:hAnsi="Times New Roman" w:cs="Times New Roman"/>
                <w:color w:val="auto"/>
                <w:sz w:val="21"/>
                <w:szCs w:val="21"/>
              </w:rPr>
            </w:pPr>
          </w:p>
        </w:tc>
        <w:tc>
          <w:tcPr>
            <w:tcW w:w="719"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1.86</w:t>
            </w:r>
          </w:p>
        </w:tc>
        <w:tc>
          <w:tcPr>
            <w:tcW w:w="709"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③</w:t>
            </w:r>
          </w:p>
        </w:tc>
        <w:tc>
          <w:tcPr>
            <w:tcW w:w="719"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1.86</w:t>
            </w:r>
          </w:p>
        </w:tc>
        <w:tc>
          <w:tcPr>
            <w:tcW w:w="850" w:type="dxa"/>
            <w:vMerge w:val="continue"/>
            <w:vAlign w:val="center"/>
          </w:tcPr>
          <w:p>
            <w:pPr>
              <w:jc w:val="center"/>
              <w:rPr>
                <w:rFonts w:ascii="Times New Roman" w:hAnsi="Times New Roman" w:eastAsia="仿宋_GB2312" w:cs="Times New Roman"/>
                <w:color w:val="auto"/>
                <w:sz w:val="21"/>
                <w:szCs w:val="21"/>
              </w:rPr>
            </w:pPr>
          </w:p>
        </w:tc>
        <w:tc>
          <w:tcPr>
            <w:tcW w:w="709"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w:t>
            </w:r>
          </w:p>
        </w:tc>
        <w:tc>
          <w:tcPr>
            <w:tcW w:w="709" w:type="dxa"/>
            <w:vMerge w:val="continue"/>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49" w:type="dxa"/>
            <w:vMerge w:val="continue"/>
            <w:vAlign w:val="center"/>
          </w:tcPr>
          <w:p>
            <w:pPr>
              <w:jc w:val="center"/>
              <w:rPr>
                <w:rFonts w:ascii="Times New Roman" w:hAnsi="Times New Roman" w:eastAsia="仿宋_GB2312" w:cs="Times New Roman"/>
                <w:color w:val="auto"/>
                <w:kern w:val="0"/>
                <w:sz w:val="21"/>
                <w:szCs w:val="21"/>
              </w:rPr>
            </w:pPr>
          </w:p>
        </w:tc>
        <w:tc>
          <w:tcPr>
            <w:tcW w:w="1431" w:type="dxa"/>
            <w:vAlign w:val="center"/>
          </w:tcPr>
          <w:p>
            <w:pPr>
              <w:jc w:val="center"/>
              <w:rPr>
                <w:rFonts w:ascii="Times New Roman" w:hAnsi="Times New Roman" w:eastAsia="仿宋_GB2312" w:cs="Times New Roman"/>
                <w:color w:val="auto"/>
                <w:kern w:val="0"/>
                <w:sz w:val="20"/>
                <w:szCs w:val="20"/>
              </w:rPr>
            </w:pPr>
            <w:r>
              <w:rPr>
                <w:rFonts w:ascii="Times New Roman" w:hAnsi="Times New Roman" w:eastAsia="仿宋_GB2312" w:cs="Times New Roman"/>
                <w:color w:val="auto"/>
                <w:kern w:val="0"/>
                <w:sz w:val="20"/>
                <w:szCs w:val="20"/>
              </w:rPr>
              <w:t>绿地区</w:t>
            </w:r>
            <w:r>
              <w:rPr>
                <w:rFonts w:hint="eastAsia" w:ascii="Times New Roman" w:hAnsi="Times New Roman" w:eastAsia="仿宋_GB2312" w:cs="Times New Roman"/>
                <w:color w:val="auto"/>
                <w:kern w:val="0"/>
                <w:sz w:val="20"/>
                <w:szCs w:val="20"/>
              </w:rPr>
              <w:t>③</w:t>
            </w:r>
          </w:p>
        </w:tc>
        <w:tc>
          <w:tcPr>
            <w:tcW w:w="686" w:type="dxa"/>
            <w:vAlign w:val="center"/>
          </w:tcPr>
          <w:p>
            <w:pPr>
              <w:spacing w:beforeLines="50" w:afterLines="5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1.79</w:t>
            </w:r>
          </w:p>
        </w:tc>
        <w:tc>
          <w:tcPr>
            <w:tcW w:w="667" w:type="dxa"/>
            <w:vAlign w:val="center"/>
          </w:tcPr>
          <w:p>
            <w:pPr>
              <w:spacing w:beforeLines="50" w:afterLines="5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4.83</w:t>
            </w:r>
          </w:p>
        </w:tc>
        <w:tc>
          <w:tcPr>
            <w:tcW w:w="75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3.04</w:t>
            </w:r>
          </w:p>
        </w:tc>
        <w:tc>
          <w:tcPr>
            <w:tcW w:w="693"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①②④⑤</w:t>
            </w:r>
          </w:p>
        </w:tc>
        <w:tc>
          <w:tcPr>
            <w:tcW w:w="719" w:type="dxa"/>
            <w:vAlign w:val="center"/>
          </w:tcPr>
          <w:p>
            <w:pPr>
              <w:jc w:val="center"/>
              <w:rPr>
                <w:rFonts w:ascii="Times New Roman" w:hAnsi="Times New Roman" w:cs="Times New Roman"/>
                <w:color w:val="auto"/>
                <w:sz w:val="21"/>
                <w:szCs w:val="21"/>
              </w:rPr>
            </w:pPr>
          </w:p>
        </w:tc>
        <w:tc>
          <w:tcPr>
            <w:tcW w:w="709" w:type="dxa"/>
            <w:vAlign w:val="center"/>
          </w:tcPr>
          <w:p>
            <w:pPr>
              <w:jc w:val="center"/>
              <w:rPr>
                <w:rFonts w:ascii="Times New Roman" w:hAnsi="Times New Roman" w:cs="Times New Roman"/>
                <w:color w:val="auto"/>
                <w:sz w:val="21"/>
                <w:szCs w:val="21"/>
              </w:rPr>
            </w:pPr>
          </w:p>
        </w:tc>
        <w:tc>
          <w:tcPr>
            <w:tcW w:w="719"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1.79</w:t>
            </w:r>
          </w:p>
        </w:tc>
        <w:tc>
          <w:tcPr>
            <w:tcW w:w="850" w:type="dxa"/>
            <w:vMerge w:val="continue"/>
            <w:vAlign w:val="center"/>
          </w:tcPr>
          <w:p>
            <w:pPr>
              <w:jc w:val="center"/>
              <w:rPr>
                <w:rFonts w:ascii="Times New Roman" w:hAnsi="Times New Roman" w:eastAsia="仿宋_GB2312" w:cs="Times New Roman"/>
                <w:color w:val="auto"/>
                <w:sz w:val="21"/>
                <w:szCs w:val="21"/>
              </w:rPr>
            </w:pPr>
          </w:p>
        </w:tc>
        <w:tc>
          <w:tcPr>
            <w:tcW w:w="709"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4.83</w:t>
            </w:r>
          </w:p>
        </w:tc>
        <w:tc>
          <w:tcPr>
            <w:tcW w:w="709" w:type="dxa"/>
            <w:vMerge w:val="continue"/>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4" w:hRule="atLeast"/>
          <w:jc w:val="center"/>
        </w:trPr>
        <w:tc>
          <w:tcPr>
            <w:tcW w:w="749" w:type="dxa"/>
            <w:vMerge w:val="restart"/>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区域规划功能区</w:t>
            </w:r>
          </w:p>
        </w:tc>
        <w:tc>
          <w:tcPr>
            <w:tcW w:w="1431" w:type="dxa"/>
            <w:vAlign w:val="center"/>
          </w:tcPr>
          <w:p>
            <w:pPr>
              <w:jc w:val="center"/>
              <w:rPr>
                <w:rFonts w:ascii="Times New Roman" w:hAnsi="Times New Roman" w:eastAsia="仿宋_GB2312" w:cs="Times New Roman"/>
                <w:color w:val="auto"/>
                <w:kern w:val="0"/>
                <w:sz w:val="20"/>
                <w:szCs w:val="20"/>
              </w:rPr>
            </w:pPr>
            <w:r>
              <w:rPr>
                <w:rFonts w:ascii="Times New Roman" w:hAnsi="Times New Roman" w:eastAsia="仿宋_GB2312" w:cs="Times New Roman"/>
                <w:color w:val="auto"/>
                <w:kern w:val="0"/>
                <w:sz w:val="20"/>
                <w:szCs w:val="20"/>
              </w:rPr>
              <w:t>工业用地区</w:t>
            </w:r>
            <w:r>
              <w:rPr>
                <w:rFonts w:hint="eastAsia" w:ascii="Times New Roman" w:hAnsi="Times New Roman" w:eastAsia="仿宋_GB2312" w:cs="Times New Roman"/>
                <w:color w:val="auto"/>
                <w:kern w:val="0"/>
                <w:sz w:val="20"/>
                <w:szCs w:val="20"/>
              </w:rPr>
              <w:t>④</w:t>
            </w:r>
          </w:p>
        </w:tc>
        <w:tc>
          <w:tcPr>
            <w:tcW w:w="686" w:type="dxa"/>
            <w:vAlign w:val="center"/>
          </w:tcPr>
          <w:p>
            <w:pPr>
              <w:spacing w:beforeLines="50" w:afterLines="5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0.27</w:t>
            </w:r>
          </w:p>
        </w:tc>
        <w:tc>
          <w:tcPr>
            <w:tcW w:w="667" w:type="dxa"/>
            <w:vAlign w:val="center"/>
          </w:tcPr>
          <w:p>
            <w:pPr>
              <w:spacing w:beforeLines="50" w:afterLines="5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w:t>
            </w:r>
          </w:p>
        </w:tc>
        <w:tc>
          <w:tcPr>
            <w:tcW w:w="755" w:type="dxa"/>
            <w:vAlign w:val="center"/>
          </w:tcPr>
          <w:p>
            <w:pPr>
              <w:jc w:val="center"/>
              <w:rPr>
                <w:rFonts w:ascii="Times New Roman" w:hAnsi="Times New Roman" w:cs="Times New Roman"/>
                <w:color w:val="auto"/>
                <w:sz w:val="21"/>
                <w:szCs w:val="21"/>
              </w:rPr>
            </w:pPr>
          </w:p>
        </w:tc>
        <w:tc>
          <w:tcPr>
            <w:tcW w:w="693" w:type="dxa"/>
            <w:vAlign w:val="center"/>
          </w:tcPr>
          <w:p>
            <w:pPr>
              <w:jc w:val="center"/>
              <w:rPr>
                <w:rFonts w:ascii="Times New Roman" w:hAnsi="Times New Roman" w:cs="Times New Roman"/>
                <w:color w:val="auto"/>
                <w:sz w:val="21"/>
                <w:szCs w:val="21"/>
              </w:rPr>
            </w:pPr>
          </w:p>
        </w:tc>
        <w:tc>
          <w:tcPr>
            <w:tcW w:w="719"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0.27</w:t>
            </w:r>
          </w:p>
        </w:tc>
        <w:tc>
          <w:tcPr>
            <w:tcW w:w="709"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③</w:t>
            </w:r>
          </w:p>
        </w:tc>
        <w:tc>
          <w:tcPr>
            <w:tcW w:w="719"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0.27</w:t>
            </w:r>
          </w:p>
        </w:tc>
        <w:tc>
          <w:tcPr>
            <w:tcW w:w="850" w:type="dxa"/>
            <w:vMerge w:val="continue"/>
            <w:vAlign w:val="center"/>
          </w:tcPr>
          <w:p>
            <w:pPr>
              <w:jc w:val="center"/>
              <w:rPr>
                <w:rFonts w:ascii="Times New Roman" w:hAnsi="Times New Roman" w:eastAsia="仿宋_GB2312" w:cs="Times New Roman"/>
                <w:color w:val="auto"/>
                <w:sz w:val="21"/>
                <w:szCs w:val="21"/>
              </w:rPr>
            </w:pPr>
          </w:p>
        </w:tc>
        <w:tc>
          <w:tcPr>
            <w:tcW w:w="709"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w:t>
            </w:r>
          </w:p>
        </w:tc>
        <w:tc>
          <w:tcPr>
            <w:tcW w:w="709" w:type="dxa"/>
            <w:vMerge w:val="continue"/>
            <w:vAlign w:val="center"/>
          </w:tcPr>
          <w:p>
            <w:pPr>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4" w:hRule="atLeast"/>
          <w:jc w:val="center"/>
        </w:trPr>
        <w:tc>
          <w:tcPr>
            <w:tcW w:w="749" w:type="dxa"/>
            <w:vMerge w:val="continue"/>
            <w:vAlign w:val="center"/>
          </w:tcPr>
          <w:p>
            <w:pPr>
              <w:widowControl/>
              <w:jc w:val="center"/>
              <w:rPr>
                <w:rFonts w:ascii="Times New Roman" w:hAnsi="Times New Roman" w:eastAsia="仿宋_GB2312" w:cs="Times New Roman"/>
                <w:color w:val="auto"/>
                <w:kern w:val="0"/>
                <w:sz w:val="21"/>
                <w:szCs w:val="21"/>
              </w:rPr>
            </w:pPr>
          </w:p>
        </w:tc>
        <w:tc>
          <w:tcPr>
            <w:tcW w:w="1431" w:type="dxa"/>
            <w:vAlign w:val="center"/>
          </w:tcPr>
          <w:p>
            <w:pPr>
              <w:jc w:val="center"/>
              <w:rPr>
                <w:rFonts w:ascii="Times New Roman" w:hAnsi="Times New Roman" w:eastAsia="仿宋_GB2312" w:cs="Times New Roman"/>
                <w:color w:val="auto"/>
                <w:kern w:val="0"/>
                <w:sz w:val="20"/>
                <w:szCs w:val="20"/>
              </w:rPr>
            </w:pPr>
            <w:r>
              <w:rPr>
                <w:rFonts w:ascii="Times New Roman" w:hAnsi="Times New Roman" w:eastAsia="仿宋_GB2312" w:cs="Times New Roman"/>
                <w:color w:val="auto"/>
                <w:kern w:val="0"/>
                <w:sz w:val="20"/>
                <w:szCs w:val="20"/>
              </w:rPr>
              <w:t>商业用地区</w:t>
            </w:r>
            <w:r>
              <w:rPr>
                <w:rFonts w:hint="eastAsia" w:ascii="Times New Roman" w:hAnsi="Times New Roman" w:eastAsia="仿宋_GB2312" w:cs="Times New Roman"/>
                <w:color w:val="auto"/>
                <w:kern w:val="0"/>
                <w:sz w:val="20"/>
                <w:szCs w:val="20"/>
              </w:rPr>
              <w:t>⑤</w:t>
            </w:r>
          </w:p>
        </w:tc>
        <w:tc>
          <w:tcPr>
            <w:tcW w:w="686" w:type="dxa"/>
            <w:vAlign w:val="center"/>
          </w:tcPr>
          <w:p>
            <w:pPr>
              <w:spacing w:beforeLines="50" w:afterLines="5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0.01</w:t>
            </w:r>
          </w:p>
        </w:tc>
        <w:tc>
          <w:tcPr>
            <w:tcW w:w="667" w:type="dxa"/>
            <w:vAlign w:val="center"/>
          </w:tcPr>
          <w:p>
            <w:pPr>
              <w:spacing w:beforeLines="50" w:afterLines="5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w:t>
            </w:r>
          </w:p>
        </w:tc>
        <w:tc>
          <w:tcPr>
            <w:tcW w:w="755" w:type="dxa"/>
            <w:vAlign w:val="center"/>
          </w:tcPr>
          <w:p>
            <w:pPr>
              <w:jc w:val="center"/>
              <w:rPr>
                <w:rFonts w:ascii="Times New Roman" w:hAnsi="Times New Roman" w:cs="Times New Roman"/>
                <w:color w:val="auto"/>
                <w:sz w:val="21"/>
                <w:szCs w:val="21"/>
              </w:rPr>
            </w:pPr>
          </w:p>
        </w:tc>
        <w:tc>
          <w:tcPr>
            <w:tcW w:w="693" w:type="dxa"/>
            <w:vAlign w:val="center"/>
          </w:tcPr>
          <w:p>
            <w:pPr>
              <w:jc w:val="center"/>
              <w:rPr>
                <w:rFonts w:ascii="Times New Roman" w:hAnsi="Times New Roman" w:cs="Times New Roman"/>
                <w:color w:val="auto"/>
                <w:sz w:val="21"/>
                <w:szCs w:val="21"/>
              </w:rPr>
            </w:pPr>
          </w:p>
        </w:tc>
        <w:tc>
          <w:tcPr>
            <w:tcW w:w="719"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0.01</w:t>
            </w:r>
          </w:p>
        </w:tc>
        <w:tc>
          <w:tcPr>
            <w:tcW w:w="709"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③</w:t>
            </w:r>
          </w:p>
        </w:tc>
        <w:tc>
          <w:tcPr>
            <w:tcW w:w="719"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0.01</w:t>
            </w:r>
          </w:p>
        </w:tc>
        <w:tc>
          <w:tcPr>
            <w:tcW w:w="850" w:type="dxa"/>
            <w:vMerge w:val="continue"/>
            <w:vAlign w:val="center"/>
          </w:tcPr>
          <w:p>
            <w:pPr>
              <w:jc w:val="center"/>
              <w:rPr>
                <w:rFonts w:ascii="Times New Roman" w:hAnsi="Times New Roman" w:eastAsia="仿宋_GB2312" w:cs="Times New Roman"/>
                <w:color w:val="auto"/>
                <w:sz w:val="21"/>
                <w:szCs w:val="21"/>
              </w:rPr>
            </w:pPr>
          </w:p>
        </w:tc>
        <w:tc>
          <w:tcPr>
            <w:tcW w:w="709"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w:t>
            </w:r>
          </w:p>
        </w:tc>
        <w:tc>
          <w:tcPr>
            <w:tcW w:w="709" w:type="dxa"/>
            <w:vMerge w:val="continue"/>
            <w:vAlign w:val="center"/>
          </w:tcPr>
          <w:p>
            <w:pPr>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2180" w:type="dxa"/>
            <w:gridSpan w:val="2"/>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合计</w:t>
            </w:r>
          </w:p>
        </w:tc>
        <w:tc>
          <w:tcPr>
            <w:tcW w:w="686" w:type="dxa"/>
            <w:vAlign w:val="center"/>
          </w:tcPr>
          <w:p>
            <w:pPr>
              <w:spacing w:beforeLines="50" w:afterLines="50"/>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4.91</w:t>
            </w:r>
          </w:p>
        </w:tc>
        <w:tc>
          <w:tcPr>
            <w:tcW w:w="667" w:type="dxa"/>
            <w:vAlign w:val="center"/>
          </w:tcPr>
          <w:p>
            <w:pPr>
              <w:spacing w:beforeLines="50" w:afterLines="50"/>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4.91</w:t>
            </w:r>
          </w:p>
        </w:tc>
        <w:tc>
          <w:tcPr>
            <w:tcW w:w="755" w:type="dxa"/>
            <w:vAlign w:val="center"/>
          </w:tcPr>
          <w:p>
            <w:pPr>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3.05</w:t>
            </w:r>
          </w:p>
        </w:tc>
        <w:tc>
          <w:tcPr>
            <w:tcW w:w="693" w:type="dxa"/>
            <w:vAlign w:val="center"/>
          </w:tcPr>
          <w:p>
            <w:pPr>
              <w:jc w:val="center"/>
              <w:rPr>
                <w:rFonts w:ascii="Times New Roman" w:hAnsi="Times New Roman" w:cs="Times New Roman"/>
                <w:b/>
                <w:bCs/>
                <w:color w:val="auto"/>
                <w:sz w:val="21"/>
                <w:szCs w:val="21"/>
              </w:rPr>
            </w:pPr>
          </w:p>
        </w:tc>
        <w:tc>
          <w:tcPr>
            <w:tcW w:w="719" w:type="dxa"/>
            <w:vAlign w:val="center"/>
          </w:tcPr>
          <w:p>
            <w:pPr>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3.05</w:t>
            </w:r>
          </w:p>
        </w:tc>
        <w:tc>
          <w:tcPr>
            <w:tcW w:w="709" w:type="dxa"/>
            <w:vAlign w:val="center"/>
          </w:tcPr>
          <w:p>
            <w:pPr>
              <w:jc w:val="center"/>
              <w:rPr>
                <w:rFonts w:ascii="Times New Roman" w:hAnsi="Times New Roman" w:cs="Times New Roman"/>
                <w:b/>
                <w:bCs/>
                <w:color w:val="auto"/>
                <w:sz w:val="21"/>
                <w:szCs w:val="21"/>
              </w:rPr>
            </w:pPr>
          </w:p>
        </w:tc>
        <w:tc>
          <w:tcPr>
            <w:tcW w:w="719" w:type="dxa"/>
            <w:vAlign w:val="center"/>
          </w:tcPr>
          <w:p>
            <w:pPr>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4.91</w:t>
            </w:r>
          </w:p>
        </w:tc>
        <w:tc>
          <w:tcPr>
            <w:tcW w:w="850" w:type="dxa"/>
            <w:vAlign w:val="center"/>
          </w:tcPr>
          <w:p>
            <w:pPr>
              <w:jc w:val="center"/>
              <w:rPr>
                <w:rFonts w:ascii="Times New Roman" w:hAnsi="Times New Roman" w:cs="Times New Roman"/>
                <w:b/>
                <w:bCs/>
                <w:color w:val="auto"/>
                <w:sz w:val="21"/>
                <w:szCs w:val="21"/>
              </w:rPr>
            </w:pPr>
          </w:p>
        </w:tc>
        <w:tc>
          <w:tcPr>
            <w:tcW w:w="709" w:type="dxa"/>
            <w:vAlign w:val="center"/>
          </w:tcPr>
          <w:p>
            <w:pPr>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4.91</w:t>
            </w:r>
          </w:p>
        </w:tc>
        <w:tc>
          <w:tcPr>
            <w:tcW w:w="709" w:type="dxa"/>
            <w:vAlign w:val="center"/>
          </w:tcPr>
          <w:p>
            <w:pPr>
              <w:jc w:val="center"/>
              <w:rPr>
                <w:rFonts w:ascii="Times New Roman" w:hAnsi="Times New Roman" w:cs="Times New Roman"/>
                <w:b/>
                <w:bCs/>
                <w:color w:val="auto"/>
                <w:sz w:val="21"/>
                <w:szCs w:val="21"/>
              </w:rPr>
            </w:pPr>
          </w:p>
        </w:tc>
      </w:tr>
    </w:tbl>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（二）土石方平衡</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（1）区域内已批复水土保持方案区域土石方介绍</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E17和E21地块部分区域共计26.34hm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作为南昌电子信息（LED）产业创新示范园（二期）一组团项目建设用地。该项目已于2020年9月开工建设，早于本区域规划，且已于2021年3月22日取得了水土保持方案批复，区域评估介入时正在建设，故此处仅根据批复方案介绍该项目土石方情况，不纳入区域评估土石方平衡。该项目土石方挖填总量32.81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，其中挖方量为13.15万m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，填方量为19.66万m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。借方6.85万m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，所需借方从悦湖华苑项目调运；余方0.34万m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，将运往附近的石桥村拆迁安置房项目进行综合利用。</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（2）区域规划前已建成或已平整区域介绍</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①E09地块和E19地块截止于2021年9月前已完成场地平，地块的平整早于本区域规划，且E09地块和E19地块至建设单位进场前不再扰动，区域内遍布杂草，植被长势较好。</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②根据历史卫星遥感影像，杨家山路和经十八路（谢佛路至杨家山路段）已于2019年10月前完成建设，道路建设早于本区域规划，且后续不会破坏已建成的道路，道路及周边植被长势良好。</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故本区域评估视E09地块和E19地块、杨家山路和经十八路（谢佛路至杨家山路段）为场地原状，土石方不考虑E09地块和E19地块、杨家山路和经十八路（谢佛路至杨家山路段）部分。</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（3）区域规划前已施工、区域规划过程中建设且未批复水保方案地块介绍</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E11地块已于2020年开工建设，截止区域评估</w:t>
      </w:r>
      <w:r>
        <w:rPr>
          <w:rFonts w:hint="eastAsia" w:ascii="Times New Roman" w:hAnsi="Times New Roman" w:eastAsia="仿宋_GB2312" w:cs="Times New Roman"/>
          <w:color w:val="auto"/>
          <w:szCs w:val="24"/>
          <w:lang w:val="en-US" w:eastAsia="zh-CN"/>
        </w:rPr>
        <w:t>报告</w:t>
      </w:r>
      <w:r>
        <w:rPr>
          <w:rFonts w:hint="eastAsia" w:ascii="Times New Roman" w:hAnsi="Times New Roman" w:eastAsia="仿宋_GB2312" w:cs="Times New Roman"/>
          <w:color w:val="auto"/>
          <w:szCs w:val="24"/>
        </w:rPr>
        <w:t>介入时，已基本完成建设，建有4栋8~10层厂房，地下车库8000m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，地下车库高3.8m。未编报水土保持方案。通过现场走访和调查，未发生余土外运或借土情况，地块内结合地势及地下室进行了土石方平衡。根据其主体工程设计，估算该地块土方开挖3.55万m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，土方回填3.55万m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（4）规划区域道路施工土石方平衡</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结合区域规划，规划区域内新建道路均为填方路段，根据原始地形及区域规划道路高程等主体资料，道路施工产生挖方（包含尤氨公路综合管廊建设）5.06万m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（含普通土方4.78万m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，淤泥0.28万m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），填方（包含尤氨公路综合管廊建设）14.77万m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。其中0.28万m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淤泥在水塘抽干后就地晾晒，晾干后运至E</w:t>
      </w:r>
      <w:r>
        <w:rPr>
          <w:rFonts w:hint="eastAsia" w:ascii="Times New Roman" w:hAnsi="Times New Roman" w:eastAsia="仿宋_GB2312" w:cs="Times New Roman"/>
          <w:color w:val="auto"/>
          <w:szCs w:val="24"/>
          <w:lang w:val="en-US" w:eastAsia="zh-CN"/>
        </w:rPr>
        <w:t>20</w:t>
      </w:r>
      <w:r>
        <w:rPr>
          <w:rFonts w:hint="eastAsia" w:ascii="Times New Roman" w:hAnsi="Times New Roman" w:eastAsia="仿宋_GB2312" w:cs="Times New Roman"/>
          <w:color w:val="auto"/>
          <w:szCs w:val="24"/>
        </w:rPr>
        <w:t>地块的</w:t>
      </w:r>
      <w:r>
        <w:rPr>
          <w:rFonts w:hint="eastAsia" w:ascii="Times New Roman" w:hAnsi="Times New Roman" w:eastAsia="仿宋_GB2312" w:cs="Times New Roman"/>
          <w:color w:val="auto"/>
          <w:szCs w:val="24"/>
          <w:lang w:eastAsia="zh-CN"/>
        </w:rPr>
        <w:t>淤泥晾干</w:t>
      </w:r>
      <w:r>
        <w:rPr>
          <w:rFonts w:hint="eastAsia" w:ascii="Times New Roman" w:hAnsi="Times New Roman" w:eastAsia="仿宋_GB2312" w:cs="Times New Roman"/>
          <w:color w:val="auto"/>
          <w:szCs w:val="24"/>
          <w:lang w:val="en-US" w:eastAsia="zh-CN"/>
        </w:rPr>
        <w:t>场</w:t>
      </w:r>
      <w:r>
        <w:rPr>
          <w:rFonts w:hint="eastAsia" w:ascii="Times New Roman" w:hAnsi="Times New Roman" w:eastAsia="仿宋_GB2312" w:cs="Times New Roman"/>
          <w:color w:val="auto"/>
          <w:szCs w:val="24"/>
        </w:rPr>
        <w:t>，用于后期绿地区域抬高地势；尤氨公路综合管廊开挖产生的2.54万m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全部用于周边地块抬高地势平整回填。路基回填需借方12.53万m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结合建设工期和后期实际情况，利用</w:t>
      </w:r>
      <w:r>
        <w:rPr>
          <w:rFonts w:hint="eastAsia" w:ascii="Times New Roman" w:hAnsi="Times New Roman" w:eastAsia="仿宋_GB2312" w:cs="Times New Roman"/>
          <w:color w:val="auto"/>
          <w:szCs w:val="24"/>
        </w:rPr>
        <w:t>南昌市高铁东站周边地区</w:t>
      </w:r>
      <w:r>
        <w:rPr>
          <w:rFonts w:hint="eastAsia" w:ascii="Times New Roman" w:hAnsi="Times New Roman" w:eastAsia="仿宋_GB2312" w:cs="Times New Roman"/>
          <w:color w:val="auto"/>
          <w:szCs w:val="24"/>
        </w:rPr>
        <w:t>项目的余土进行回填。</w:t>
      </w:r>
    </w:p>
    <w:p>
      <w:pPr>
        <w:adjustRightInd w:val="0"/>
        <w:snapToGrid w:val="0"/>
        <w:spacing w:line="360" w:lineRule="auto"/>
        <w:jc w:val="center"/>
        <w:rPr>
          <w:rFonts w:hint="eastAsia" w:ascii="Times New Roman" w:hAnsi="Times New Roman" w:eastAsia="仿宋_GB2312" w:cs="Times New Roman"/>
          <w:b/>
          <w:color w:val="auto"/>
          <w:szCs w:val="24"/>
        </w:rPr>
      </w:pPr>
    </w:p>
    <w:p>
      <w:pPr>
        <w:adjustRightInd w:val="0"/>
        <w:snapToGrid w:val="0"/>
        <w:spacing w:line="360" w:lineRule="auto"/>
        <w:jc w:val="center"/>
        <w:rPr>
          <w:rFonts w:hint="eastAsia" w:ascii="Times New Roman" w:hAnsi="Times New Roman" w:eastAsia="仿宋_GB2312" w:cs="Times New Roman"/>
          <w:b/>
          <w:color w:val="auto"/>
          <w:szCs w:val="24"/>
        </w:rPr>
      </w:pPr>
    </w:p>
    <w:p>
      <w:pPr>
        <w:adjustRightInd w:val="0"/>
        <w:snapToGrid w:val="0"/>
        <w:spacing w:line="360" w:lineRule="auto"/>
        <w:jc w:val="center"/>
        <w:rPr>
          <w:rFonts w:hint="eastAsia" w:ascii="Times New Roman" w:hAnsi="Times New Roman" w:eastAsia="仿宋_GB2312" w:cs="Times New Roman"/>
          <w:b/>
          <w:color w:val="auto"/>
          <w:szCs w:val="24"/>
        </w:rPr>
      </w:pPr>
    </w:p>
    <w:p>
      <w:pPr>
        <w:adjustRightInd w:val="0"/>
        <w:snapToGrid w:val="0"/>
        <w:spacing w:line="360" w:lineRule="auto"/>
        <w:jc w:val="center"/>
        <w:rPr>
          <w:rFonts w:hint="eastAsia" w:ascii="Times New Roman" w:hAnsi="Times New Roman" w:eastAsia="仿宋_GB2312" w:cs="Times New Roman"/>
          <w:b/>
          <w:color w:val="auto"/>
          <w:szCs w:val="24"/>
        </w:rPr>
      </w:pPr>
    </w:p>
    <w:p>
      <w:pPr>
        <w:adjustRightInd w:val="0"/>
        <w:snapToGrid w:val="0"/>
        <w:spacing w:line="360" w:lineRule="auto"/>
        <w:jc w:val="center"/>
        <w:rPr>
          <w:rFonts w:hint="eastAsia" w:ascii="Times New Roman" w:hAnsi="Times New Roman" w:eastAsia="仿宋_GB2312" w:cs="Times New Roman"/>
          <w:b/>
          <w:color w:val="auto"/>
          <w:szCs w:val="24"/>
        </w:rPr>
      </w:pPr>
    </w:p>
    <w:p>
      <w:pPr>
        <w:adjustRightInd w:val="0"/>
        <w:snapToGrid w:val="0"/>
        <w:spacing w:line="360" w:lineRule="auto"/>
        <w:jc w:val="center"/>
        <w:rPr>
          <w:rFonts w:hint="eastAsia" w:ascii="Times New Roman" w:hAnsi="Times New Roman" w:eastAsia="仿宋_GB2312" w:cs="Times New Roman"/>
          <w:b/>
          <w:color w:val="auto"/>
          <w:szCs w:val="24"/>
        </w:rPr>
      </w:pPr>
    </w:p>
    <w:p>
      <w:pPr>
        <w:adjustRightInd w:val="0"/>
        <w:snapToGrid w:val="0"/>
        <w:spacing w:line="360" w:lineRule="auto"/>
        <w:jc w:val="center"/>
        <w:rPr>
          <w:rFonts w:hint="eastAsia" w:ascii="Times New Roman" w:hAnsi="Times New Roman" w:eastAsia="仿宋_GB2312" w:cs="Times New Roman"/>
          <w:b/>
          <w:color w:val="auto"/>
          <w:szCs w:val="24"/>
        </w:rPr>
      </w:pPr>
    </w:p>
    <w:p>
      <w:pPr>
        <w:adjustRightInd w:val="0"/>
        <w:snapToGrid w:val="0"/>
        <w:spacing w:line="360" w:lineRule="auto"/>
        <w:jc w:val="center"/>
        <w:rPr>
          <w:rFonts w:hint="eastAsia" w:ascii="Times New Roman" w:hAnsi="Times New Roman" w:eastAsia="仿宋_GB2312" w:cs="Times New Roman"/>
          <w:b/>
          <w:color w:val="auto"/>
          <w:szCs w:val="24"/>
        </w:rPr>
      </w:pPr>
    </w:p>
    <w:p>
      <w:pPr>
        <w:adjustRightInd w:val="0"/>
        <w:snapToGrid w:val="0"/>
        <w:spacing w:line="360" w:lineRule="auto"/>
        <w:jc w:val="center"/>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表2.4-2：区域评估范围内道路土石方挖填一览表</w:t>
      </w:r>
    </w:p>
    <w:tbl>
      <w:tblPr>
        <w:tblStyle w:val="37"/>
        <w:tblW w:w="98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60"/>
        <w:gridCol w:w="1840"/>
        <w:gridCol w:w="1004"/>
        <w:gridCol w:w="1275"/>
        <w:gridCol w:w="1170"/>
        <w:gridCol w:w="1004"/>
        <w:gridCol w:w="1004"/>
        <w:gridCol w:w="1004"/>
        <w:gridCol w:w="101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60" w:type="dxa"/>
            <w:vMerge w:val="restart"/>
            <w:vAlign w:val="center"/>
          </w:tcPr>
          <w:p>
            <w:pPr>
              <w:widowControl/>
              <w:jc w:val="center"/>
              <w:rPr>
                <w:rFonts w:ascii="Times New Roman" w:hAnsi="Times New Roman" w:eastAsia="仿宋_GB2312" w:cs="Times New Roman"/>
                <w:b/>
                <w:color w:val="auto"/>
                <w:kern w:val="0"/>
                <w:sz w:val="21"/>
                <w:szCs w:val="21"/>
              </w:rPr>
            </w:pPr>
            <w:r>
              <w:rPr>
                <w:rFonts w:hint="eastAsia" w:ascii="Times New Roman" w:hAnsi="Times New Roman" w:eastAsia="仿宋_GB2312" w:cs="Times New Roman"/>
                <w:b/>
                <w:color w:val="auto"/>
                <w:kern w:val="0"/>
                <w:sz w:val="21"/>
                <w:szCs w:val="21"/>
              </w:rPr>
              <w:t>序号</w:t>
            </w:r>
          </w:p>
        </w:tc>
        <w:tc>
          <w:tcPr>
            <w:tcW w:w="1840" w:type="dxa"/>
            <w:vMerge w:val="restart"/>
            <w:shd w:val="clear" w:color="auto" w:fill="auto"/>
            <w:vAlign w:val="center"/>
          </w:tcPr>
          <w:p>
            <w:pPr>
              <w:widowControl/>
              <w:jc w:val="center"/>
              <w:rPr>
                <w:rFonts w:ascii="Times New Roman" w:hAnsi="Times New Roman" w:eastAsia="仿宋_GB2312" w:cs="Times New Roman"/>
                <w:b/>
                <w:color w:val="auto"/>
                <w:kern w:val="0"/>
                <w:sz w:val="21"/>
                <w:szCs w:val="21"/>
              </w:rPr>
            </w:pPr>
            <w:r>
              <w:rPr>
                <w:rFonts w:hint="eastAsia" w:ascii="Times New Roman" w:hAnsi="Times New Roman" w:eastAsia="仿宋_GB2312" w:cs="Times New Roman"/>
                <w:b/>
                <w:color w:val="auto"/>
                <w:kern w:val="0"/>
                <w:sz w:val="21"/>
                <w:szCs w:val="21"/>
              </w:rPr>
              <w:t>道路名称</w:t>
            </w:r>
          </w:p>
        </w:tc>
        <w:tc>
          <w:tcPr>
            <w:tcW w:w="1004" w:type="dxa"/>
            <w:vMerge w:val="restart"/>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面积</w:t>
            </w:r>
            <w:r>
              <w:rPr>
                <w:rFonts w:hint="eastAsia" w:ascii="Times New Roman" w:hAnsi="Times New Roman" w:eastAsia="仿宋_GB2312" w:cs="Times New Roman"/>
                <w:b/>
                <w:color w:val="auto"/>
                <w:kern w:val="0"/>
                <w:sz w:val="21"/>
                <w:szCs w:val="21"/>
              </w:rPr>
              <w:t>（hm</w:t>
            </w:r>
            <w:r>
              <w:rPr>
                <w:rFonts w:hint="eastAsia" w:ascii="Times New Roman" w:hAnsi="Times New Roman" w:eastAsia="仿宋_GB2312" w:cs="Times New Roman"/>
                <w:b/>
                <w:color w:val="auto"/>
                <w:kern w:val="0"/>
                <w:sz w:val="21"/>
                <w:szCs w:val="21"/>
                <w:vertAlign w:val="superscript"/>
              </w:rPr>
              <w:t>2</w:t>
            </w:r>
            <w:r>
              <w:rPr>
                <w:rFonts w:hint="eastAsia" w:ascii="Times New Roman" w:hAnsi="Times New Roman" w:eastAsia="仿宋_GB2312" w:cs="Times New Roman"/>
                <w:b/>
                <w:color w:val="auto"/>
                <w:kern w:val="0"/>
                <w:sz w:val="21"/>
                <w:szCs w:val="21"/>
              </w:rPr>
              <w:t>）</w:t>
            </w:r>
          </w:p>
        </w:tc>
        <w:tc>
          <w:tcPr>
            <w:tcW w:w="1275" w:type="dxa"/>
            <w:vMerge w:val="restart"/>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原始高程</w:t>
            </w:r>
            <w:r>
              <w:rPr>
                <w:rFonts w:hint="eastAsia" w:ascii="Times New Roman" w:hAnsi="Times New Roman" w:eastAsia="仿宋_GB2312" w:cs="Times New Roman"/>
                <w:b/>
                <w:color w:val="auto"/>
                <w:kern w:val="0"/>
                <w:sz w:val="21"/>
                <w:szCs w:val="21"/>
              </w:rPr>
              <w:t>（m）</w:t>
            </w:r>
          </w:p>
        </w:tc>
        <w:tc>
          <w:tcPr>
            <w:tcW w:w="1170" w:type="dxa"/>
            <w:vMerge w:val="restart"/>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设计高程</w:t>
            </w:r>
            <w:r>
              <w:rPr>
                <w:rFonts w:hint="eastAsia" w:ascii="Times New Roman" w:hAnsi="Times New Roman" w:eastAsia="仿宋_GB2312" w:cs="Times New Roman"/>
                <w:b/>
                <w:color w:val="auto"/>
                <w:kern w:val="0"/>
                <w:sz w:val="21"/>
                <w:szCs w:val="21"/>
              </w:rPr>
              <w:t>（m）</w:t>
            </w:r>
          </w:p>
        </w:tc>
        <w:tc>
          <w:tcPr>
            <w:tcW w:w="3012" w:type="dxa"/>
            <w:gridSpan w:val="3"/>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挖方</w:t>
            </w:r>
            <w:r>
              <w:rPr>
                <w:rFonts w:hint="eastAsia" w:ascii="Times New Roman" w:hAnsi="Times New Roman" w:eastAsia="仿宋_GB2312" w:cs="Times New Roman"/>
                <w:b/>
                <w:color w:val="auto"/>
                <w:kern w:val="0"/>
                <w:sz w:val="21"/>
                <w:szCs w:val="21"/>
              </w:rPr>
              <w:t>（万m</w:t>
            </w:r>
            <w:r>
              <w:rPr>
                <w:rFonts w:hint="eastAsia" w:ascii="Times New Roman" w:hAnsi="Times New Roman" w:eastAsia="仿宋_GB2312" w:cs="Times New Roman"/>
                <w:b/>
                <w:color w:val="auto"/>
                <w:kern w:val="0"/>
                <w:sz w:val="21"/>
                <w:szCs w:val="21"/>
                <w:vertAlign w:val="superscript"/>
              </w:rPr>
              <w:t>3</w:t>
            </w:r>
            <w:r>
              <w:rPr>
                <w:rFonts w:hint="eastAsia" w:ascii="Times New Roman" w:hAnsi="Times New Roman" w:eastAsia="仿宋_GB2312" w:cs="Times New Roman"/>
                <w:b/>
                <w:color w:val="auto"/>
                <w:kern w:val="0"/>
                <w:sz w:val="21"/>
                <w:szCs w:val="21"/>
              </w:rPr>
              <w:t>）</w:t>
            </w:r>
          </w:p>
        </w:tc>
        <w:tc>
          <w:tcPr>
            <w:tcW w:w="1015" w:type="dxa"/>
            <w:vMerge w:val="restart"/>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填方</w:t>
            </w:r>
          </w:p>
          <w:p>
            <w:pPr>
              <w:widowControl/>
              <w:jc w:val="center"/>
              <w:rPr>
                <w:rFonts w:ascii="Times New Roman" w:hAnsi="Times New Roman" w:eastAsia="仿宋_GB2312" w:cs="Times New Roman"/>
                <w:b/>
                <w:color w:val="auto"/>
                <w:kern w:val="0"/>
                <w:sz w:val="21"/>
                <w:szCs w:val="21"/>
              </w:rPr>
            </w:pPr>
            <w:r>
              <w:rPr>
                <w:rFonts w:hint="eastAsia" w:ascii="Times New Roman" w:hAnsi="Times New Roman" w:eastAsia="仿宋_GB2312" w:cs="Times New Roman"/>
                <w:b/>
                <w:color w:val="auto"/>
                <w:kern w:val="0"/>
                <w:sz w:val="21"/>
                <w:szCs w:val="21"/>
              </w:rPr>
              <w:t>（万m</w:t>
            </w:r>
            <w:r>
              <w:rPr>
                <w:rFonts w:hint="eastAsia" w:ascii="Times New Roman" w:hAnsi="Times New Roman" w:eastAsia="仿宋_GB2312" w:cs="Times New Roman"/>
                <w:b/>
                <w:color w:val="auto"/>
                <w:kern w:val="0"/>
                <w:sz w:val="21"/>
                <w:szCs w:val="21"/>
                <w:vertAlign w:val="superscript"/>
              </w:rPr>
              <w:t>3</w:t>
            </w:r>
            <w:r>
              <w:rPr>
                <w:rFonts w:hint="eastAsia" w:ascii="Times New Roman" w:hAnsi="Times New Roman" w:eastAsia="仿宋_GB2312" w:cs="Times New Roman"/>
                <w:b/>
                <w:color w:val="auto"/>
                <w:kern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3" w:hRule="atLeast"/>
          <w:jc w:val="center"/>
        </w:trPr>
        <w:tc>
          <w:tcPr>
            <w:tcW w:w="560" w:type="dxa"/>
            <w:vMerge w:val="continue"/>
            <w:vAlign w:val="center"/>
          </w:tcPr>
          <w:p>
            <w:pPr>
              <w:widowControl/>
              <w:jc w:val="center"/>
              <w:rPr>
                <w:rFonts w:ascii="Times New Roman" w:hAnsi="Times New Roman" w:eastAsia="仿宋_GB2312" w:cs="Times New Roman"/>
                <w:b/>
                <w:color w:val="auto"/>
                <w:kern w:val="0"/>
                <w:sz w:val="21"/>
                <w:szCs w:val="21"/>
              </w:rPr>
            </w:pPr>
          </w:p>
        </w:tc>
        <w:tc>
          <w:tcPr>
            <w:tcW w:w="1840" w:type="dxa"/>
            <w:vMerge w:val="continue"/>
            <w:shd w:val="clear" w:color="auto" w:fill="auto"/>
            <w:vAlign w:val="center"/>
          </w:tcPr>
          <w:p>
            <w:pPr>
              <w:widowControl/>
              <w:jc w:val="center"/>
              <w:rPr>
                <w:rFonts w:ascii="Times New Roman" w:hAnsi="Times New Roman" w:eastAsia="仿宋_GB2312" w:cs="Times New Roman"/>
                <w:b/>
                <w:color w:val="auto"/>
                <w:kern w:val="0"/>
                <w:sz w:val="21"/>
                <w:szCs w:val="21"/>
              </w:rPr>
            </w:pPr>
          </w:p>
        </w:tc>
        <w:tc>
          <w:tcPr>
            <w:tcW w:w="1004" w:type="dxa"/>
            <w:vMerge w:val="continue"/>
            <w:vAlign w:val="center"/>
          </w:tcPr>
          <w:p>
            <w:pPr>
              <w:widowControl/>
              <w:jc w:val="center"/>
              <w:rPr>
                <w:rFonts w:ascii="Times New Roman" w:hAnsi="Times New Roman" w:eastAsia="仿宋_GB2312" w:cs="Times New Roman"/>
                <w:b/>
                <w:color w:val="auto"/>
                <w:kern w:val="0"/>
                <w:sz w:val="21"/>
                <w:szCs w:val="21"/>
              </w:rPr>
            </w:pPr>
          </w:p>
        </w:tc>
        <w:tc>
          <w:tcPr>
            <w:tcW w:w="1275" w:type="dxa"/>
            <w:vMerge w:val="continue"/>
            <w:vAlign w:val="center"/>
          </w:tcPr>
          <w:p>
            <w:pPr>
              <w:widowControl/>
              <w:jc w:val="center"/>
              <w:rPr>
                <w:rFonts w:ascii="Times New Roman" w:hAnsi="Times New Roman" w:eastAsia="仿宋_GB2312" w:cs="Times New Roman"/>
                <w:b/>
                <w:color w:val="auto"/>
                <w:kern w:val="0"/>
                <w:sz w:val="21"/>
                <w:szCs w:val="21"/>
              </w:rPr>
            </w:pPr>
          </w:p>
        </w:tc>
        <w:tc>
          <w:tcPr>
            <w:tcW w:w="1170" w:type="dxa"/>
            <w:vMerge w:val="continue"/>
            <w:shd w:val="clear" w:color="auto" w:fill="auto"/>
            <w:noWrap/>
            <w:vAlign w:val="center"/>
          </w:tcPr>
          <w:p>
            <w:pPr>
              <w:widowControl/>
              <w:jc w:val="center"/>
              <w:rPr>
                <w:rFonts w:ascii="Times New Roman" w:hAnsi="Times New Roman" w:eastAsia="仿宋_GB2312" w:cs="Times New Roman"/>
                <w:b/>
                <w:color w:val="auto"/>
                <w:kern w:val="0"/>
                <w:sz w:val="21"/>
                <w:szCs w:val="21"/>
              </w:rPr>
            </w:pPr>
          </w:p>
        </w:tc>
        <w:tc>
          <w:tcPr>
            <w:tcW w:w="1004" w:type="dxa"/>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土方</w:t>
            </w:r>
          </w:p>
        </w:tc>
        <w:tc>
          <w:tcPr>
            <w:tcW w:w="1004" w:type="dxa"/>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淤泥</w:t>
            </w:r>
          </w:p>
        </w:tc>
        <w:tc>
          <w:tcPr>
            <w:tcW w:w="1004" w:type="dxa"/>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小计</w:t>
            </w:r>
          </w:p>
        </w:tc>
        <w:tc>
          <w:tcPr>
            <w:tcW w:w="1015" w:type="dxa"/>
            <w:vMerge w:val="continue"/>
            <w:vAlign w:val="center"/>
          </w:tcPr>
          <w:p>
            <w:pPr>
              <w:widowControl/>
              <w:jc w:val="center"/>
              <w:rPr>
                <w:rFonts w:ascii="Times New Roman" w:hAnsi="Times New Roman" w:eastAsia="仿宋_GB2312" w:cs="Times New Roman"/>
                <w:b/>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9" w:hRule="atLeast"/>
          <w:jc w:val="center"/>
        </w:trPr>
        <w:tc>
          <w:tcPr>
            <w:tcW w:w="560"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w:t>
            </w:r>
          </w:p>
        </w:tc>
        <w:tc>
          <w:tcPr>
            <w:tcW w:w="1840"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尤氨公路</w:t>
            </w:r>
          </w:p>
        </w:tc>
        <w:tc>
          <w:tcPr>
            <w:tcW w:w="100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2.27</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19.64~22.0</w:t>
            </w:r>
          </w:p>
        </w:tc>
        <w:tc>
          <w:tcPr>
            <w:tcW w:w="117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22.0~25.0</w:t>
            </w:r>
          </w:p>
        </w:tc>
        <w:tc>
          <w:tcPr>
            <w:tcW w:w="100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3.36</w:t>
            </w:r>
          </w:p>
        </w:tc>
        <w:tc>
          <w:tcPr>
            <w:tcW w:w="100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0.03</w:t>
            </w:r>
          </w:p>
        </w:tc>
        <w:tc>
          <w:tcPr>
            <w:tcW w:w="100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3.39</w:t>
            </w:r>
          </w:p>
        </w:tc>
        <w:tc>
          <w:tcPr>
            <w:tcW w:w="1015"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7.63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0" w:type="dxa"/>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其中</w:t>
            </w:r>
          </w:p>
        </w:tc>
        <w:tc>
          <w:tcPr>
            <w:tcW w:w="1840"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综合管廊</w:t>
            </w:r>
            <w:r>
              <w:rPr>
                <w:rFonts w:hint="eastAsia" w:ascii="Times New Roman" w:hAnsi="Times New Roman" w:eastAsia="仿宋_GB2312" w:cs="Times New Roman"/>
                <w:color w:val="auto"/>
                <w:kern w:val="0"/>
                <w:sz w:val="21"/>
                <w:szCs w:val="21"/>
              </w:rPr>
              <w:t>（已计入尤氨公路）</w:t>
            </w:r>
          </w:p>
        </w:tc>
        <w:tc>
          <w:tcPr>
            <w:tcW w:w="100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（0.46）</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w:t>
            </w:r>
          </w:p>
        </w:tc>
        <w:tc>
          <w:tcPr>
            <w:tcW w:w="117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w:t>
            </w:r>
          </w:p>
        </w:tc>
        <w:tc>
          <w:tcPr>
            <w:tcW w:w="100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（2.54）</w:t>
            </w:r>
          </w:p>
        </w:tc>
        <w:tc>
          <w:tcPr>
            <w:tcW w:w="100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（0.01）</w:t>
            </w:r>
          </w:p>
        </w:tc>
        <w:tc>
          <w:tcPr>
            <w:tcW w:w="100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（2.55）</w:t>
            </w:r>
          </w:p>
        </w:tc>
        <w:tc>
          <w:tcPr>
            <w:tcW w:w="1015"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（1.13）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2" w:hRule="atLeast"/>
          <w:jc w:val="center"/>
        </w:trPr>
        <w:tc>
          <w:tcPr>
            <w:tcW w:w="560"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w:t>
            </w:r>
          </w:p>
        </w:tc>
        <w:tc>
          <w:tcPr>
            <w:tcW w:w="1840"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经十六路</w:t>
            </w:r>
          </w:p>
        </w:tc>
        <w:tc>
          <w:tcPr>
            <w:tcW w:w="100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0.58</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19.69~21.59</w:t>
            </w:r>
          </w:p>
        </w:tc>
        <w:tc>
          <w:tcPr>
            <w:tcW w:w="117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22.5~22.7</w:t>
            </w:r>
          </w:p>
        </w:tc>
        <w:tc>
          <w:tcPr>
            <w:tcW w:w="100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0.24</w:t>
            </w:r>
          </w:p>
        </w:tc>
        <w:tc>
          <w:tcPr>
            <w:tcW w:w="100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0.12</w:t>
            </w:r>
          </w:p>
        </w:tc>
        <w:tc>
          <w:tcPr>
            <w:tcW w:w="100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0.36</w:t>
            </w:r>
          </w:p>
        </w:tc>
        <w:tc>
          <w:tcPr>
            <w:tcW w:w="1015"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1.63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7" w:hRule="atLeast"/>
          <w:jc w:val="center"/>
        </w:trPr>
        <w:tc>
          <w:tcPr>
            <w:tcW w:w="560"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3</w:t>
            </w:r>
          </w:p>
        </w:tc>
        <w:tc>
          <w:tcPr>
            <w:tcW w:w="1840"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经十七路</w:t>
            </w:r>
          </w:p>
        </w:tc>
        <w:tc>
          <w:tcPr>
            <w:tcW w:w="100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1.18</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19.46~20.84</w:t>
            </w:r>
          </w:p>
        </w:tc>
        <w:tc>
          <w:tcPr>
            <w:tcW w:w="117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20.0~21.7</w:t>
            </w:r>
          </w:p>
        </w:tc>
        <w:tc>
          <w:tcPr>
            <w:tcW w:w="100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0.46</w:t>
            </w:r>
          </w:p>
        </w:tc>
        <w:tc>
          <w:tcPr>
            <w:tcW w:w="100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0.13</w:t>
            </w:r>
          </w:p>
        </w:tc>
        <w:tc>
          <w:tcPr>
            <w:tcW w:w="100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0.59</w:t>
            </w:r>
          </w:p>
        </w:tc>
        <w:tc>
          <w:tcPr>
            <w:tcW w:w="1015"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1.76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0"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4</w:t>
            </w:r>
          </w:p>
        </w:tc>
        <w:tc>
          <w:tcPr>
            <w:tcW w:w="1840"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经十八路</w:t>
            </w:r>
            <w:r>
              <w:rPr>
                <w:rFonts w:hint="eastAsia" w:ascii="Times New Roman" w:hAnsi="Times New Roman" w:eastAsia="仿宋_GB2312" w:cs="Times New Roman"/>
                <w:color w:val="auto"/>
                <w:kern w:val="0"/>
                <w:sz w:val="21"/>
                <w:szCs w:val="21"/>
              </w:rPr>
              <w:t>（杨家山路至王家路段）</w:t>
            </w:r>
          </w:p>
        </w:tc>
        <w:tc>
          <w:tcPr>
            <w:tcW w:w="100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0.29</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19.14~22.4</w:t>
            </w:r>
          </w:p>
        </w:tc>
        <w:tc>
          <w:tcPr>
            <w:tcW w:w="117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20.0~22.4</w:t>
            </w:r>
          </w:p>
        </w:tc>
        <w:tc>
          <w:tcPr>
            <w:tcW w:w="100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0.08</w:t>
            </w:r>
          </w:p>
        </w:tc>
        <w:tc>
          <w:tcPr>
            <w:tcW w:w="1004" w:type="dxa"/>
            <w:vAlign w:val="center"/>
          </w:tcPr>
          <w:p>
            <w:pPr>
              <w:jc w:val="center"/>
              <w:rPr>
                <w:rFonts w:ascii="Times New Roman" w:hAnsi="Times New Roman" w:eastAsia="仿宋_GB2312" w:cs="Times New Roman"/>
                <w:color w:val="auto"/>
                <w:sz w:val="21"/>
                <w:szCs w:val="21"/>
              </w:rPr>
            </w:pPr>
          </w:p>
        </w:tc>
        <w:tc>
          <w:tcPr>
            <w:tcW w:w="100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0.08</w:t>
            </w:r>
          </w:p>
        </w:tc>
        <w:tc>
          <w:tcPr>
            <w:tcW w:w="1015"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0.43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6" w:hRule="atLeast"/>
          <w:jc w:val="center"/>
        </w:trPr>
        <w:tc>
          <w:tcPr>
            <w:tcW w:w="560"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5</w:t>
            </w:r>
          </w:p>
        </w:tc>
        <w:tc>
          <w:tcPr>
            <w:tcW w:w="1840"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经十九路</w:t>
            </w:r>
          </w:p>
        </w:tc>
        <w:tc>
          <w:tcPr>
            <w:tcW w:w="100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0.26</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21.0~21.74</w:t>
            </w:r>
          </w:p>
        </w:tc>
        <w:tc>
          <w:tcPr>
            <w:tcW w:w="117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21.0~22.65</w:t>
            </w:r>
          </w:p>
        </w:tc>
        <w:tc>
          <w:tcPr>
            <w:tcW w:w="100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0.02</w:t>
            </w:r>
          </w:p>
        </w:tc>
        <w:tc>
          <w:tcPr>
            <w:tcW w:w="1004" w:type="dxa"/>
            <w:vAlign w:val="center"/>
          </w:tcPr>
          <w:p>
            <w:pPr>
              <w:jc w:val="center"/>
              <w:rPr>
                <w:rFonts w:ascii="Times New Roman" w:hAnsi="Times New Roman" w:eastAsia="仿宋_GB2312" w:cs="Times New Roman"/>
                <w:color w:val="auto"/>
                <w:sz w:val="21"/>
                <w:szCs w:val="21"/>
              </w:rPr>
            </w:pPr>
          </w:p>
        </w:tc>
        <w:tc>
          <w:tcPr>
            <w:tcW w:w="100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0.02</w:t>
            </w:r>
          </w:p>
        </w:tc>
        <w:tc>
          <w:tcPr>
            <w:tcW w:w="1015"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0.14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4" w:hRule="atLeast"/>
          <w:jc w:val="center"/>
        </w:trPr>
        <w:tc>
          <w:tcPr>
            <w:tcW w:w="560"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6</w:t>
            </w:r>
          </w:p>
        </w:tc>
        <w:tc>
          <w:tcPr>
            <w:tcW w:w="1840"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梧岗南路</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0.95</w:t>
            </w:r>
          </w:p>
        </w:tc>
        <w:tc>
          <w:tcPr>
            <w:tcW w:w="1275"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19.79~21.81</w:t>
            </w:r>
          </w:p>
        </w:tc>
        <w:tc>
          <w:tcPr>
            <w:tcW w:w="1170"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20.0~25.0</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0.21</w:t>
            </w:r>
          </w:p>
        </w:tc>
        <w:tc>
          <w:tcPr>
            <w:tcW w:w="1004" w:type="dxa"/>
            <w:vAlign w:val="center"/>
          </w:tcPr>
          <w:p>
            <w:pPr>
              <w:widowControl/>
              <w:jc w:val="center"/>
              <w:rPr>
                <w:rFonts w:ascii="Times New Roman" w:hAnsi="Times New Roman" w:eastAsia="仿宋_GB2312" w:cs="Times New Roman"/>
                <w:color w:val="auto"/>
                <w:kern w:val="0"/>
                <w:sz w:val="21"/>
                <w:szCs w:val="21"/>
              </w:rPr>
            </w:pP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0.21</w:t>
            </w:r>
          </w:p>
        </w:tc>
        <w:tc>
          <w:tcPr>
            <w:tcW w:w="1015"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1.73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9" w:hRule="atLeast"/>
          <w:jc w:val="center"/>
        </w:trPr>
        <w:tc>
          <w:tcPr>
            <w:tcW w:w="560"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7</w:t>
            </w:r>
          </w:p>
        </w:tc>
        <w:tc>
          <w:tcPr>
            <w:tcW w:w="1840"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嵩氨路</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0.65</w:t>
            </w:r>
          </w:p>
        </w:tc>
        <w:tc>
          <w:tcPr>
            <w:tcW w:w="1275"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21.0~22.05</w:t>
            </w:r>
          </w:p>
        </w:tc>
        <w:tc>
          <w:tcPr>
            <w:tcW w:w="1170"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21.0~22.65</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0.04</w:t>
            </w:r>
          </w:p>
        </w:tc>
        <w:tc>
          <w:tcPr>
            <w:tcW w:w="1004" w:type="dxa"/>
            <w:vAlign w:val="center"/>
          </w:tcPr>
          <w:p>
            <w:pPr>
              <w:widowControl/>
              <w:jc w:val="center"/>
              <w:rPr>
                <w:rFonts w:ascii="Times New Roman" w:hAnsi="Times New Roman" w:eastAsia="仿宋_GB2312" w:cs="Times New Roman"/>
                <w:color w:val="auto"/>
                <w:kern w:val="0"/>
                <w:sz w:val="21"/>
                <w:szCs w:val="21"/>
              </w:rPr>
            </w:pP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0.04</w:t>
            </w:r>
          </w:p>
        </w:tc>
        <w:tc>
          <w:tcPr>
            <w:tcW w:w="1015"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0.17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560"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8</w:t>
            </w:r>
          </w:p>
        </w:tc>
        <w:tc>
          <w:tcPr>
            <w:tcW w:w="1840"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王家路</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1.01</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18.05~19.89</w:t>
            </w:r>
          </w:p>
        </w:tc>
        <w:tc>
          <w:tcPr>
            <w:tcW w:w="1170"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19.68~20.0</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0.37</w:t>
            </w:r>
          </w:p>
        </w:tc>
        <w:tc>
          <w:tcPr>
            <w:tcW w:w="1004" w:type="dxa"/>
            <w:vAlign w:val="center"/>
          </w:tcPr>
          <w:p>
            <w:pPr>
              <w:widowControl/>
              <w:jc w:val="center"/>
              <w:rPr>
                <w:rFonts w:ascii="Times New Roman" w:hAnsi="Times New Roman" w:eastAsia="仿宋_GB2312" w:cs="Times New Roman"/>
                <w:color w:val="auto"/>
                <w:kern w:val="0"/>
                <w:sz w:val="21"/>
                <w:szCs w:val="21"/>
              </w:rPr>
            </w:pP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0.37</w:t>
            </w:r>
          </w:p>
        </w:tc>
        <w:tc>
          <w:tcPr>
            <w:tcW w:w="1015"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1.28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7" w:hRule="atLeast"/>
          <w:jc w:val="center"/>
        </w:trPr>
        <w:tc>
          <w:tcPr>
            <w:tcW w:w="2400" w:type="dxa"/>
            <w:gridSpan w:val="2"/>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合计</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7.19</w:t>
            </w:r>
          </w:p>
        </w:tc>
        <w:tc>
          <w:tcPr>
            <w:tcW w:w="1275" w:type="dxa"/>
            <w:vAlign w:val="center"/>
          </w:tcPr>
          <w:p>
            <w:pPr>
              <w:jc w:val="center"/>
              <w:rPr>
                <w:rFonts w:ascii="Times New Roman" w:hAnsi="Times New Roman" w:cs="Times New Roman"/>
                <w:color w:val="auto"/>
                <w:sz w:val="21"/>
                <w:szCs w:val="21"/>
              </w:rPr>
            </w:pPr>
          </w:p>
        </w:tc>
        <w:tc>
          <w:tcPr>
            <w:tcW w:w="1170" w:type="dxa"/>
            <w:shd w:val="clear" w:color="auto" w:fill="auto"/>
            <w:noWrap/>
            <w:vAlign w:val="center"/>
          </w:tcPr>
          <w:p>
            <w:pPr>
              <w:jc w:val="center"/>
              <w:rPr>
                <w:rFonts w:ascii="Times New Roman" w:hAnsi="Times New Roman" w:cs="Times New Roman"/>
                <w:color w:val="auto"/>
                <w:sz w:val="21"/>
                <w:szCs w:val="21"/>
              </w:rPr>
            </w:pP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4.78</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0.28</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5.06</w:t>
            </w:r>
          </w:p>
        </w:tc>
        <w:tc>
          <w:tcPr>
            <w:tcW w:w="1015"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14.77</w:t>
            </w:r>
          </w:p>
        </w:tc>
      </w:tr>
    </w:tbl>
    <w:p>
      <w:pPr>
        <w:adjustRightInd w:val="0"/>
        <w:snapToGrid w:val="0"/>
        <w:spacing w:line="360" w:lineRule="auto"/>
        <w:ind w:firstLine="420" w:firstLineChars="200"/>
        <w:jc w:val="left"/>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说明：①杨家山路和经十八路（谢佛路至杨家山路段）区域规划前已建设完成，建成面积3.93hm</w:t>
      </w:r>
      <w:r>
        <w:rPr>
          <w:rFonts w:hint="eastAsia" w:ascii="Times New Roman" w:hAnsi="Times New Roman" w:eastAsia="仿宋_GB2312" w:cs="Times New Roman"/>
          <w:color w:val="auto"/>
          <w:sz w:val="21"/>
          <w:szCs w:val="21"/>
          <w:vertAlign w:val="superscript"/>
        </w:rPr>
        <w:t>2</w:t>
      </w:r>
      <w:r>
        <w:rPr>
          <w:rFonts w:hint="eastAsia" w:ascii="Times New Roman" w:hAnsi="Times New Roman" w:eastAsia="仿宋_GB2312" w:cs="Times New Roman"/>
          <w:color w:val="auto"/>
          <w:sz w:val="21"/>
          <w:szCs w:val="21"/>
        </w:rPr>
        <w:t>，建设完成区域土石方不纳入区域评估土方平衡。②规划区域内各道路间交叉口不重复计算。③淤泥晾干后全部运至</w:t>
      </w:r>
      <w:r>
        <w:rPr>
          <w:rFonts w:hint="eastAsia" w:ascii="Times New Roman" w:hAnsi="Times New Roman" w:eastAsia="仿宋_GB2312" w:cs="Times New Roman"/>
          <w:color w:val="auto"/>
          <w:sz w:val="21"/>
          <w:szCs w:val="21"/>
          <w:lang w:eastAsia="zh-CN"/>
        </w:rPr>
        <w:t>淤泥晾干场</w:t>
      </w:r>
      <w:r>
        <w:rPr>
          <w:rFonts w:hint="eastAsia" w:ascii="Times New Roman" w:hAnsi="Times New Roman" w:eastAsia="仿宋_GB2312" w:cs="Times New Roman"/>
          <w:color w:val="auto"/>
          <w:sz w:val="21"/>
          <w:szCs w:val="21"/>
        </w:rPr>
        <w:t>临时堆存用于后期绿地区域抬高地势。④综合管廊开挖土方全部用于周边地块抬高地势。</w:t>
      </w:r>
    </w:p>
    <w:p>
      <w:pPr>
        <w:adjustRightInd w:val="0"/>
        <w:snapToGrid w:val="0"/>
        <w:spacing w:beforeLines="50"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（5）规划区域各地块场地平整及E16地块地下室土石方平衡</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本区域内区域规划功能区以及公共基础设施区中各地块需要进行五通一平。场平土石方量根据路网控制标高结合区域内各地块现状高程进行估算，根据主体设计资料，本区域开挖土方15.94万m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（含普通土方11.49万m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，淤泥4.45万m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），回填土方112.18万m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（含晾干淤泥4.73万m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）。其中4.45万m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淤泥在水塘抽干后就地晾晒，晾干后运至E</w:t>
      </w:r>
      <w:r>
        <w:rPr>
          <w:rFonts w:hint="eastAsia" w:ascii="Times New Roman" w:hAnsi="Times New Roman" w:eastAsia="仿宋_GB2312" w:cs="Times New Roman"/>
          <w:color w:val="auto"/>
          <w:szCs w:val="24"/>
          <w:lang w:val="en-US" w:eastAsia="zh-CN"/>
        </w:rPr>
        <w:t>20</w:t>
      </w:r>
      <w:r>
        <w:rPr>
          <w:rFonts w:hint="eastAsia" w:ascii="Times New Roman" w:hAnsi="Times New Roman" w:eastAsia="仿宋_GB2312" w:cs="Times New Roman"/>
          <w:color w:val="auto"/>
          <w:szCs w:val="24"/>
        </w:rPr>
        <w:t>地块的</w:t>
      </w:r>
      <w:r>
        <w:rPr>
          <w:rFonts w:hint="eastAsia" w:ascii="Times New Roman" w:hAnsi="Times New Roman" w:eastAsia="仿宋_GB2312" w:cs="Times New Roman"/>
          <w:color w:val="auto"/>
          <w:szCs w:val="24"/>
          <w:lang w:eastAsia="zh-CN"/>
        </w:rPr>
        <w:t>淤泥晾干场</w:t>
      </w:r>
      <w:r>
        <w:rPr>
          <w:rFonts w:hint="eastAsia" w:ascii="Times New Roman" w:hAnsi="Times New Roman" w:eastAsia="仿宋_GB2312" w:cs="Times New Roman"/>
          <w:color w:val="auto"/>
          <w:szCs w:val="24"/>
        </w:rPr>
        <w:t>，用于后期绿地区域抬高地势。各地块共计所需借土93.42万m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结合建设工期和后期实际情况，利用南昌市高铁东站周边地区项目的余土进行回填。</w:t>
      </w:r>
    </w:p>
    <w:p>
      <w:pPr>
        <w:adjustRightInd w:val="0"/>
        <w:snapToGrid w:val="0"/>
        <w:spacing w:line="360" w:lineRule="auto"/>
        <w:jc w:val="center"/>
        <w:rPr>
          <w:rFonts w:hint="eastAsia" w:ascii="Times New Roman" w:hAnsi="Times New Roman" w:eastAsia="仿宋_GB2312" w:cs="Times New Roman"/>
          <w:b/>
          <w:color w:val="auto"/>
          <w:szCs w:val="24"/>
        </w:rPr>
      </w:pPr>
    </w:p>
    <w:p>
      <w:pPr>
        <w:adjustRightInd w:val="0"/>
        <w:snapToGrid w:val="0"/>
        <w:spacing w:line="360" w:lineRule="auto"/>
        <w:jc w:val="center"/>
        <w:rPr>
          <w:rFonts w:hint="eastAsia" w:ascii="Times New Roman" w:hAnsi="Times New Roman" w:eastAsia="仿宋_GB2312" w:cs="Times New Roman"/>
          <w:b/>
          <w:color w:val="auto"/>
          <w:szCs w:val="24"/>
        </w:rPr>
      </w:pPr>
    </w:p>
    <w:p>
      <w:pPr>
        <w:adjustRightInd w:val="0"/>
        <w:snapToGrid w:val="0"/>
        <w:spacing w:line="360" w:lineRule="auto"/>
        <w:jc w:val="center"/>
        <w:rPr>
          <w:rFonts w:hint="eastAsia" w:ascii="Times New Roman" w:hAnsi="Times New Roman" w:eastAsia="仿宋_GB2312" w:cs="Times New Roman"/>
          <w:b/>
          <w:color w:val="auto"/>
          <w:szCs w:val="24"/>
        </w:rPr>
      </w:pPr>
    </w:p>
    <w:p>
      <w:pPr>
        <w:adjustRightInd w:val="0"/>
        <w:snapToGrid w:val="0"/>
        <w:spacing w:line="360" w:lineRule="auto"/>
        <w:jc w:val="center"/>
        <w:rPr>
          <w:rFonts w:hint="eastAsia" w:ascii="Times New Roman" w:hAnsi="Times New Roman" w:eastAsia="仿宋_GB2312" w:cs="Times New Roman"/>
          <w:b/>
          <w:color w:val="auto"/>
          <w:szCs w:val="24"/>
        </w:rPr>
      </w:pPr>
    </w:p>
    <w:p>
      <w:pPr>
        <w:adjustRightInd w:val="0"/>
        <w:snapToGrid w:val="0"/>
        <w:spacing w:line="360" w:lineRule="auto"/>
        <w:jc w:val="center"/>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表2.4-3：区域评估范围内各地块土石方挖填一览表</w:t>
      </w:r>
    </w:p>
    <w:tbl>
      <w:tblPr>
        <w:tblStyle w:val="37"/>
        <w:tblW w:w="1049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67"/>
        <w:gridCol w:w="1476"/>
        <w:gridCol w:w="823"/>
        <w:gridCol w:w="1004"/>
        <w:gridCol w:w="1275"/>
        <w:gridCol w:w="1275"/>
        <w:gridCol w:w="977"/>
        <w:gridCol w:w="977"/>
        <w:gridCol w:w="977"/>
        <w:gridCol w:w="114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Merge w:val="restart"/>
            <w:vAlign w:val="center"/>
          </w:tcPr>
          <w:p>
            <w:pPr>
              <w:widowControl/>
              <w:jc w:val="center"/>
              <w:rPr>
                <w:rFonts w:ascii="Times New Roman" w:hAnsi="Times New Roman" w:eastAsia="仿宋_GB2312" w:cs="Times New Roman"/>
                <w:b/>
                <w:color w:val="auto"/>
                <w:kern w:val="0"/>
                <w:sz w:val="21"/>
                <w:szCs w:val="21"/>
              </w:rPr>
            </w:pPr>
            <w:r>
              <w:rPr>
                <w:rFonts w:hint="eastAsia" w:ascii="Times New Roman" w:hAnsi="Times New Roman" w:eastAsia="仿宋_GB2312" w:cs="Times New Roman"/>
                <w:b/>
                <w:color w:val="auto"/>
                <w:kern w:val="0"/>
                <w:sz w:val="21"/>
                <w:szCs w:val="21"/>
              </w:rPr>
              <w:t>序号</w:t>
            </w:r>
          </w:p>
        </w:tc>
        <w:tc>
          <w:tcPr>
            <w:tcW w:w="1476" w:type="dxa"/>
            <w:vMerge w:val="restart"/>
            <w:shd w:val="clear" w:color="auto" w:fill="auto"/>
            <w:vAlign w:val="center"/>
          </w:tcPr>
          <w:p>
            <w:pPr>
              <w:widowControl/>
              <w:jc w:val="center"/>
              <w:rPr>
                <w:rFonts w:ascii="Times New Roman" w:hAnsi="Times New Roman" w:eastAsia="仿宋_GB2312" w:cs="Times New Roman"/>
                <w:b/>
                <w:color w:val="auto"/>
                <w:kern w:val="0"/>
                <w:sz w:val="21"/>
                <w:szCs w:val="21"/>
              </w:rPr>
            </w:pPr>
            <w:r>
              <w:rPr>
                <w:rFonts w:hint="eastAsia" w:ascii="Times New Roman" w:hAnsi="Times New Roman" w:eastAsia="仿宋_GB2312" w:cs="Times New Roman"/>
                <w:b/>
                <w:color w:val="auto"/>
                <w:kern w:val="0"/>
                <w:sz w:val="21"/>
                <w:szCs w:val="21"/>
              </w:rPr>
              <w:t>地块编号</w:t>
            </w:r>
          </w:p>
        </w:tc>
        <w:tc>
          <w:tcPr>
            <w:tcW w:w="823" w:type="dxa"/>
            <w:vMerge w:val="restart"/>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用地类</w:t>
            </w:r>
            <w:r>
              <w:rPr>
                <w:rFonts w:hint="eastAsia" w:ascii="Times New Roman" w:hAnsi="Times New Roman" w:eastAsia="仿宋_GB2312" w:cs="Times New Roman"/>
                <w:b/>
                <w:color w:val="auto"/>
                <w:kern w:val="0"/>
                <w:sz w:val="21"/>
                <w:szCs w:val="21"/>
              </w:rPr>
              <w:t>别</w:t>
            </w:r>
          </w:p>
        </w:tc>
        <w:tc>
          <w:tcPr>
            <w:tcW w:w="1004" w:type="dxa"/>
            <w:vMerge w:val="restart"/>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面积</w:t>
            </w:r>
            <w:r>
              <w:rPr>
                <w:rFonts w:hint="eastAsia" w:ascii="Times New Roman" w:hAnsi="Times New Roman" w:eastAsia="仿宋_GB2312" w:cs="Times New Roman"/>
                <w:b/>
                <w:color w:val="auto"/>
                <w:kern w:val="0"/>
                <w:sz w:val="21"/>
                <w:szCs w:val="21"/>
              </w:rPr>
              <w:t>（hm</w:t>
            </w:r>
            <w:r>
              <w:rPr>
                <w:rFonts w:hint="eastAsia" w:ascii="Times New Roman" w:hAnsi="Times New Roman" w:eastAsia="仿宋_GB2312" w:cs="Times New Roman"/>
                <w:b/>
                <w:color w:val="auto"/>
                <w:kern w:val="0"/>
                <w:sz w:val="21"/>
                <w:szCs w:val="21"/>
                <w:vertAlign w:val="superscript"/>
              </w:rPr>
              <w:t>2</w:t>
            </w:r>
            <w:r>
              <w:rPr>
                <w:rFonts w:hint="eastAsia" w:ascii="Times New Roman" w:hAnsi="Times New Roman" w:eastAsia="仿宋_GB2312" w:cs="Times New Roman"/>
                <w:b/>
                <w:color w:val="auto"/>
                <w:kern w:val="0"/>
                <w:sz w:val="21"/>
                <w:szCs w:val="21"/>
              </w:rPr>
              <w:t>）</w:t>
            </w:r>
          </w:p>
        </w:tc>
        <w:tc>
          <w:tcPr>
            <w:tcW w:w="1275" w:type="dxa"/>
            <w:vMerge w:val="restart"/>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原始高程</w:t>
            </w:r>
            <w:r>
              <w:rPr>
                <w:rFonts w:hint="eastAsia" w:ascii="Times New Roman" w:hAnsi="Times New Roman" w:eastAsia="仿宋_GB2312" w:cs="Times New Roman"/>
                <w:b/>
                <w:color w:val="auto"/>
                <w:kern w:val="0"/>
                <w:sz w:val="21"/>
                <w:szCs w:val="21"/>
              </w:rPr>
              <w:t>（m）</w:t>
            </w:r>
          </w:p>
        </w:tc>
        <w:tc>
          <w:tcPr>
            <w:tcW w:w="1275" w:type="dxa"/>
            <w:vMerge w:val="restart"/>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设计高程</w:t>
            </w:r>
            <w:r>
              <w:rPr>
                <w:rFonts w:hint="eastAsia" w:ascii="Times New Roman" w:hAnsi="Times New Roman" w:eastAsia="仿宋_GB2312" w:cs="Times New Roman"/>
                <w:b/>
                <w:color w:val="auto"/>
                <w:kern w:val="0"/>
                <w:sz w:val="21"/>
                <w:szCs w:val="21"/>
              </w:rPr>
              <w:t>（m）</w:t>
            </w:r>
          </w:p>
        </w:tc>
        <w:tc>
          <w:tcPr>
            <w:tcW w:w="2931" w:type="dxa"/>
            <w:gridSpan w:val="3"/>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挖方</w:t>
            </w:r>
            <w:r>
              <w:rPr>
                <w:rFonts w:hint="eastAsia" w:ascii="Times New Roman" w:hAnsi="Times New Roman" w:eastAsia="仿宋_GB2312" w:cs="Times New Roman"/>
                <w:b/>
                <w:color w:val="auto"/>
                <w:kern w:val="0"/>
                <w:sz w:val="21"/>
                <w:szCs w:val="21"/>
              </w:rPr>
              <w:t>（万m</w:t>
            </w:r>
            <w:r>
              <w:rPr>
                <w:rFonts w:hint="eastAsia" w:ascii="Times New Roman" w:hAnsi="Times New Roman" w:eastAsia="仿宋_GB2312" w:cs="Times New Roman"/>
                <w:b/>
                <w:color w:val="auto"/>
                <w:kern w:val="0"/>
                <w:sz w:val="21"/>
                <w:szCs w:val="21"/>
                <w:vertAlign w:val="superscript"/>
              </w:rPr>
              <w:t>3</w:t>
            </w:r>
            <w:r>
              <w:rPr>
                <w:rFonts w:hint="eastAsia" w:ascii="Times New Roman" w:hAnsi="Times New Roman" w:eastAsia="仿宋_GB2312" w:cs="Times New Roman"/>
                <w:b/>
                <w:color w:val="auto"/>
                <w:kern w:val="0"/>
                <w:sz w:val="21"/>
                <w:szCs w:val="21"/>
              </w:rPr>
              <w:t>）</w:t>
            </w:r>
          </w:p>
        </w:tc>
        <w:tc>
          <w:tcPr>
            <w:tcW w:w="1144" w:type="dxa"/>
            <w:vMerge w:val="restart"/>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填方</w:t>
            </w:r>
          </w:p>
          <w:p>
            <w:pPr>
              <w:widowControl/>
              <w:jc w:val="center"/>
              <w:rPr>
                <w:rFonts w:ascii="Times New Roman" w:hAnsi="Times New Roman" w:eastAsia="仿宋_GB2312" w:cs="Times New Roman"/>
                <w:b/>
                <w:color w:val="auto"/>
                <w:kern w:val="0"/>
                <w:sz w:val="21"/>
                <w:szCs w:val="21"/>
              </w:rPr>
            </w:pPr>
            <w:r>
              <w:rPr>
                <w:rFonts w:hint="eastAsia" w:ascii="Times New Roman" w:hAnsi="Times New Roman" w:eastAsia="仿宋_GB2312" w:cs="Times New Roman"/>
                <w:b/>
                <w:color w:val="auto"/>
                <w:kern w:val="0"/>
                <w:sz w:val="21"/>
                <w:szCs w:val="21"/>
              </w:rPr>
              <w:t>（万m</w:t>
            </w:r>
            <w:r>
              <w:rPr>
                <w:rFonts w:hint="eastAsia" w:ascii="Times New Roman" w:hAnsi="Times New Roman" w:eastAsia="仿宋_GB2312" w:cs="Times New Roman"/>
                <w:b/>
                <w:color w:val="auto"/>
                <w:kern w:val="0"/>
                <w:sz w:val="21"/>
                <w:szCs w:val="21"/>
                <w:vertAlign w:val="superscript"/>
              </w:rPr>
              <w:t>3</w:t>
            </w:r>
            <w:r>
              <w:rPr>
                <w:rFonts w:hint="eastAsia" w:ascii="Times New Roman" w:hAnsi="Times New Roman" w:eastAsia="仿宋_GB2312" w:cs="Times New Roman"/>
                <w:b/>
                <w:color w:val="auto"/>
                <w:kern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Merge w:val="continue"/>
            <w:vAlign w:val="center"/>
          </w:tcPr>
          <w:p>
            <w:pPr>
              <w:widowControl/>
              <w:jc w:val="center"/>
              <w:rPr>
                <w:rFonts w:ascii="Times New Roman" w:hAnsi="Times New Roman" w:eastAsia="仿宋_GB2312" w:cs="Times New Roman"/>
                <w:b/>
                <w:color w:val="auto"/>
                <w:kern w:val="0"/>
                <w:sz w:val="21"/>
                <w:szCs w:val="21"/>
              </w:rPr>
            </w:pPr>
          </w:p>
        </w:tc>
        <w:tc>
          <w:tcPr>
            <w:tcW w:w="1476" w:type="dxa"/>
            <w:vMerge w:val="continue"/>
            <w:shd w:val="clear" w:color="auto" w:fill="auto"/>
            <w:vAlign w:val="center"/>
          </w:tcPr>
          <w:p>
            <w:pPr>
              <w:widowControl/>
              <w:jc w:val="center"/>
              <w:rPr>
                <w:rFonts w:ascii="Times New Roman" w:hAnsi="Times New Roman" w:eastAsia="仿宋_GB2312" w:cs="Times New Roman"/>
                <w:b/>
                <w:color w:val="auto"/>
                <w:kern w:val="0"/>
                <w:sz w:val="21"/>
                <w:szCs w:val="21"/>
              </w:rPr>
            </w:pPr>
          </w:p>
        </w:tc>
        <w:tc>
          <w:tcPr>
            <w:tcW w:w="823" w:type="dxa"/>
            <w:vMerge w:val="continue"/>
            <w:vAlign w:val="center"/>
          </w:tcPr>
          <w:p>
            <w:pPr>
              <w:widowControl/>
              <w:jc w:val="center"/>
              <w:rPr>
                <w:rFonts w:ascii="Times New Roman" w:hAnsi="Times New Roman" w:eastAsia="仿宋_GB2312" w:cs="Times New Roman"/>
                <w:b/>
                <w:color w:val="auto"/>
                <w:kern w:val="0"/>
                <w:sz w:val="21"/>
                <w:szCs w:val="21"/>
              </w:rPr>
            </w:pPr>
          </w:p>
        </w:tc>
        <w:tc>
          <w:tcPr>
            <w:tcW w:w="1004" w:type="dxa"/>
            <w:vMerge w:val="continue"/>
            <w:vAlign w:val="center"/>
          </w:tcPr>
          <w:p>
            <w:pPr>
              <w:widowControl/>
              <w:jc w:val="center"/>
              <w:rPr>
                <w:rFonts w:ascii="Times New Roman" w:hAnsi="Times New Roman" w:eastAsia="仿宋_GB2312" w:cs="Times New Roman"/>
                <w:b/>
                <w:color w:val="auto"/>
                <w:kern w:val="0"/>
                <w:sz w:val="21"/>
                <w:szCs w:val="21"/>
              </w:rPr>
            </w:pPr>
          </w:p>
        </w:tc>
        <w:tc>
          <w:tcPr>
            <w:tcW w:w="1275" w:type="dxa"/>
            <w:vMerge w:val="continue"/>
            <w:vAlign w:val="center"/>
          </w:tcPr>
          <w:p>
            <w:pPr>
              <w:widowControl/>
              <w:jc w:val="center"/>
              <w:rPr>
                <w:rFonts w:ascii="Times New Roman" w:hAnsi="Times New Roman" w:eastAsia="仿宋_GB2312" w:cs="Times New Roman"/>
                <w:b/>
                <w:color w:val="auto"/>
                <w:kern w:val="0"/>
                <w:sz w:val="21"/>
                <w:szCs w:val="21"/>
              </w:rPr>
            </w:pPr>
          </w:p>
        </w:tc>
        <w:tc>
          <w:tcPr>
            <w:tcW w:w="1275" w:type="dxa"/>
            <w:vMerge w:val="continue"/>
            <w:shd w:val="clear" w:color="auto" w:fill="auto"/>
            <w:noWrap/>
            <w:vAlign w:val="center"/>
          </w:tcPr>
          <w:p>
            <w:pPr>
              <w:widowControl/>
              <w:jc w:val="center"/>
              <w:rPr>
                <w:rFonts w:ascii="Times New Roman" w:hAnsi="Times New Roman" w:eastAsia="仿宋_GB2312" w:cs="Times New Roman"/>
                <w:b/>
                <w:color w:val="auto"/>
                <w:kern w:val="0"/>
                <w:sz w:val="21"/>
                <w:szCs w:val="21"/>
              </w:rPr>
            </w:pPr>
          </w:p>
        </w:tc>
        <w:tc>
          <w:tcPr>
            <w:tcW w:w="977" w:type="dxa"/>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土方</w:t>
            </w:r>
          </w:p>
        </w:tc>
        <w:tc>
          <w:tcPr>
            <w:tcW w:w="977" w:type="dxa"/>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淤泥</w:t>
            </w:r>
          </w:p>
        </w:tc>
        <w:tc>
          <w:tcPr>
            <w:tcW w:w="977" w:type="dxa"/>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小计</w:t>
            </w:r>
          </w:p>
        </w:tc>
        <w:tc>
          <w:tcPr>
            <w:tcW w:w="1144" w:type="dxa"/>
            <w:vMerge w:val="continue"/>
            <w:vAlign w:val="center"/>
          </w:tcPr>
          <w:p>
            <w:pPr>
              <w:widowControl/>
              <w:jc w:val="center"/>
              <w:rPr>
                <w:rFonts w:ascii="Times New Roman" w:hAnsi="Times New Roman" w:eastAsia="仿宋_GB2312" w:cs="Times New Roman"/>
                <w:b/>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w:t>
            </w:r>
          </w:p>
        </w:tc>
        <w:tc>
          <w:tcPr>
            <w:tcW w:w="14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E01</w:t>
            </w:r>
          </w:p>
        </w:tc>
        <w:tc>
          <w:tcPr>
            <w:tcW w:w="823"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G</w:t>
            </w:r>
          </w:p>
        </w:tc>
        <w:tc>
          <w:tcPr>
            <w:tcW w:w="100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0.54</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20.05~20.51</w:t>
            </w:r>
          </w:p>
        </w:tc>
        <w:tc>
          <w:tcPr>
            <w:tcW w:w="1275" w:type="dxa"/>
            <w:shd w:val="clear" w:color="auto" w:fill="auto"/>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22.2~22.7</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0.08</w:t>
            </w:r>
          </w:p>
        </w:tc>
        <w:tc>
          <w:tcPr>
            <w:tcW w:w="977" w:type="dxa"/>
            <w:vAlign w:val="center"/>
          </w:tcPr>
          <w:p>
            <w:pPr>
              <w:jc w:val="center"/>
              <w:rPr>
                <w:rFonts w:ascii="Times New Roman" w:hAnsi="Times New Roman" w:cs="Times New Roman"/>
                <w:color w:val="auto"/>
                <w:sz w:val="21"/>
                <w:szCs w:val="21"/>
              </w:rPr>
            </w:pP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0.08</w:t>
            </w:r>
          </w:p>
        </w:tc>
        <w:tc>
          <w:tcPr>
            <w:tcW w:w="11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1.32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w:t>
            </w:r>
          </w:p>
        </w:tc>
        <w:tc>
          <w:tcPr>
            <w:tcW w:w="14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E02</w:t>
            </w:r>
          </w:p>
        </w:tc>
        <w:tc>
          <w:tcPr>
            <w:tcW w:w="823"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M</w:t>
            </w:r>
          </w:p>
        </w:tc>
        <w:tc>
          <w:tcPr>
            <w:tcW w:w="100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3.99</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19.12~21.14</w:t>
            </w:r>
          </w:p>
        </w:tc>
        <w:tc>
          <w:tcPr>
            <w:tcW w:w="1275" w:type="dxa"/>
            <w:shd w:val="clear" w:color="auto" w:fill="auto"/>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22.5~22.9</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0.6</w:t>
            </w:r>
          </w:p>
        </w:tc>
        <w:tc>
          <w:tcPr>
            <w:tcW w:w="977" w:type="dxa"/>
            <w:vAlign w:val="center"/>
          </w:tcPr>
          <w:p>
            <w:pPr>
              <w:jc w:val="center"/>
              <w:rPr>
                <w:rFonts w:ascii="Times New Roman" w:hAnsi="Times New Roman" w:cs="Times New Roman"/>
                <w:color w:val="auto"/>
                <w:sz w:val="21"/>
                <w:szCs w:val="21"/>
              </w:rPr>
            </w:pP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0.6</w:t>
            </w:r>
          </w:p>
        </w:tc>
        <w:tc>
          <w:tcPr>
            <w:tcW w:w="11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11.37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3</w:t>
            </w:r>
          </w:p>
        </w:tc>
        <w:tc>
          <w:tcPr>
            <w:tcW w:w="14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E03</w:t>
            </w:r>
          </w:p>
        </w:tc>
        <w:tc>
          <w:tcPr>
            <w:tcW w:w="823"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G</w:t>
            </w:r>
          </w:p>
        </w:tc>
        <w:tc>
          <w:tcPr>
            <w:tcW w:w="100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0.27</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18.95~20.06</w:t>
            </w:r>
          </w:p>
        </w:tc>
        <w:tc>
          <w:tcPr>
            <w:tcW w:w="1275" w:type="dxa"/>
            <w:shd w:val="clear" w:color="auto" w:fill="auto"/>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22.54~22.78</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0.04</w:t>
            </w:r>
          </w:p>
        </w:tc>
        <w:tc>
          <w:tcPr>
            <w:tcW w:w="977" w:type="dxa"/>
            <w:vAlign w:val="center"/>
          </w:tcPr>
          <w:p>
            <w:pPr>
              <w:jc w:val="center"/>
              <w:rPr>
                <w:rFonts w:ascii="Times New Roman" w:hAnsi="Times New Roman" w:cs="Times New Roman"/>
                <w:color w:val="auto"/>
                <w:sz w:val="21"/>
                <w:szCs w:val="21"/>
              </w:rPr>
            </w:pP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0.04</w:t>
            </w:r>
          </w:p>
        </w:tc>
        <w:tc>
          <w:tcPr>
            <w:tcW w:w="11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0.88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4</w:t>
            </w:r>
          </w:p>
        </w:tc>
        <w:tc>
          <w:tcPr>
            <w:tcW w:w="14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E04</w:t>
            </w:r>
          </w:p>
        </w:tc>
        <w:tc>
          <w:tcPr>
            <w:tcW w:w="823"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U</w:t>
            </w:r>
          </w:p>
        </w:tc>
        <w:tc>
          <w:tcPr>
            <w:tcW w:w="100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1.72</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18.43~19.64</w:t>
            </w:r>
          </w:p>
        </w:tc>
        <w:tc>
          <w:tcPr>
            <w:tcW w:w="1275" w:type="dxa"/>
            <w:shd w:val="clear" w:color="auto" w:fill="auto"/>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22.8~23.2</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0.26</w:t>
            </w:r>
          </w:p>
        </w:tc>
        <w:tc>
          <w:tcPr>
            <w:tcW w:w="977" w:type="dxa"/>
            <w:vAlign w:val="center"/>
          </w:tcPr>
          <w:p>
            <w:pPr>
              <w:jc w:val="center"/>
              <w:rPr>
                <w:rFonts w:ascii="Times New Roman" w:hAnsi="Times New Roman" w:cs="Times New Roman"/>
                <w:color w:val="auto"/>
                <w:sz w:val="21"/>
                <w:szCs w:val="21"/>
              </w:rPr>
            </w:pP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0.26</w:t>
            </w:r>
          </w:p>
        </w:tc>
        <w:tc>
          <w:tcPr>
            <w:tcW w:w="11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6.79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5</w:t>
            </w:r>
          </w:p>
        </w:tc>
        <w:tc>
          <w:tcPr>
            <w:tcW w:w="14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E05</w:t>
            </w:r>
          </w:p>
        </w:tc>
        <w:tc>
          <w:tcPr>
            <w:tcW w:w="823"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G</w:t>
            </w:r>
          </w:p>
        </w:tc>
        <w:tc>
          <w:tcPr>
            <w:tcW w:w="100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0.66</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20.28~20.51</w:t>
            </w:r>
          </w:p>
        </w:tc>
        <w:tc>
          <w:tcPr>
            <w:tcW w:w="1275" w:type="dxa"/>
            <w:shd w:val="clear" w:color="auto" w:fill="auto"/>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20.79~22.75</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0.1</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0.02</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0.12</w:t>
            </w:r>
          </w:p>
        </w:tc>
        <w:tc>
          <w:tcPr>
            <w:tcW w:w="11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0.62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6</w:t>
            </w:r>
          </w:p>
        </w:tc>
        <w:tc>
          <w:tcPr>
            <w:tcW w:w="14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E06</w:t>
            </w:r>
          </w:p>
        </w:tc>
        <w:tc>
          <w:tcPr>
            <w:tcW w:w="823"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M</w:t>
            </w:r>
          </w:p>
        </w:tc>
        <w:tc>
          <w:tcPr>
            <w:tcW w:w="100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7.32</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18.61~21.68</w:t>
            </w:r>
          </w:p>
        </w:tc>
        <w:tc>
          <w:tcPr>
            <w:tcW w:w="1275" w:type="dxa"/>
            <w:shd w:val="clear" w:color="auto" w:fill="auto"/>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22.8~23.2</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1.1</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2.84</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3.94</w:t>
            </w:r>
          </w:p>
        </w:tc>
        <w:tc>
          <w:tcPr>
            <w:tcW w:w="11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22.69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7</w:t>
            </w:r>
          </w:p>
        </w:tc>
        <w:tc>
          <w:tcPr>
            <w:tcW w:w="14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E07</w:t>
            </w:r>
          </w:p>
        </w:tc>
        <w:tc>
          <w:tcPr>
            <w:tcW w:w="823"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G</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0.58</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20.32~20.62</w:t>
            </w:r>
          </w:p>
        </w:tc>
        <w:tc>
          <w:tcPr>
            <w:tcW w:w="1275" w:type="dxa"/>
            <w:shd w:val="clear" w:color="auto" w:fill="auto"/>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20.79~22.1</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0.09</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0.01</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0.1</w:t>
            </w:r>
          </w:p>
        </w:tc>
        <w:tc>
          <w:tcPr>
            <w:tcW w:w="11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0.67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8</w:t>
            </w:r>
          </w:p>
        </w:tc>
        <w:tc>
          <w:tcPr>
            <w:tcW w:w="14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E08</w:t>
            </w:r>
          </w:p>
        </w:tc>
        <w:tc>
          <w:tcPr>
            <w:tcW w:w="823"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M</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2.12</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20.61~22.15</w:t>
            </w:r>
          </w:p>
        </w:tc>
        <w:tc>
          <w:tcPr>
            <w:tcW w:w="1275" w:type="dxa"/>
            <w:shd w:val="clear" w:color="auto" w:fill="auto"/>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21.3~22.6</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0.32</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0.37</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0.69</w:t>
            </w:r>
          </w:p>
        </w:tc>
        <w:tc>
          <w:tcPr>
            <w:tcW w:w="11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9</w:t>
            </w:r>
          </w:p>
        </w:tc>
        <w:tc>
          <w:tcPr>
            <w:tcW w:w="14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E10</w:t>
            </w:r>
          </w:p>
        </w:tc>
        <w:tc>
          <w:tcPr>
            <w:tcW w:w="823"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G</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0.44</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21.2~22.1</w:t>
            </w:r>
          </w:p>
        </w:tc>
        <w:tc>
          <w:tcPr>
            <w:tcW w:w="1275" w:type="dxa"/>
            <w:shd w:val="clear" w:color="auto" w:fill="auto"/>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cs="Times New Roman"/>
                <w:color w:val="auto"/>
                <w:sz w:val="21"/>
                <w:szCs w:val="21"/>
              </w:rPr>
              <w:t>21.2~22.1</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0.07</w:t>
            </w:r>
          </w:p>
        </w:tc>
        <w:tc>
          <w:tcPr>
            <w:tcW w:w="977" w:type="dxa"/>
            <w:vAlign w:val="center"/>
          </w:tcPr>
          <w:p>
            <w:pPr>
              <w:jc w:val="center"/>
              <w:rPr>
                <w:rFonts w:ascii="Times New Roman" w:hAnsi="Times New Roman" w:cs="Times New Roman"/>
                <w:color w:val="auto"/>
                <w:sz w:val="21"/>
                <w:szCs w:val="21"/>
              </w:rPr>
            </w:pP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0.07</w:t>
            </w:r>
          </w:p>
        </w:tc>
        <w:tc>
          <w:tcPr>
            <w:tcW w:w="11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10</w:t>
            </w:r>
          </w:p>
        </w:tc>
        <w:tc>
          <w:tcPr>
            <w:tcW w:w="14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E11（已建成）</w:t>
            </w:r>
          </w:p>
        </w:tc>
        <w:tc>
          <w:tcPr>
            <w:tcW w:w="823"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M</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2.90</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w:t>
            </w:r>
          </w:p>
        </w:tc>
        <w:tc>
          <w:tcPr>
            <w:tcW w:w="1275" w:type="dxa"/>
            <w:shd w:val="clear" w:color="auto" w:fill="auto"/>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3.55</w:t>
            </w:r>
          </w:p>
        </w:tc>
        <w:tc>
          <w:tcPr>
            <w:tcW w:w="977" w:type="dxa"/>
            <w:vAlign w:val="center"/>
          </w:tcPr>
          <w:p>
            <w:pPr>
              <w:jc w:val="center"/>
              <w:rPr>
                <w:rFonts w:ascii="Times New Roman" w:hAnsi="Times New Roman" w:cs="Times New Roman"/>
                <w:color w:val="auto"/>
                <w:sz w:val="21"/>
                <w:szCs w:val="21"/>
              </w:rPr>
            </w:pP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3.55</w:t>
            </w:r>
          </w:p>
        </w:tc>
        <w:tc>
          <w:tcPr>
            <w:tcW w:w="11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11</w:t>
            </w:r>
          </w:p>
        </w:tc>
        <w:tc>
          <w:tcPr>
            <w:tcW w:w="14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E12</w:t>
            </w:r>
          </w:p>
        </w:tc>
        <w:tc>
          <w:tcPr>
            <w:tcW w:w="823"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G</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1.02</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21.3~21.99</w:t>
            </w:r>
          </w:p>
        </w:tc>
        <w:tc>
          <w:tcPr>
            <w:tcW w:w="1275" w:type="dxa"/>
            <w:shd w:val="clear" w:color="auto" w:fill="auto"/>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21.35~22.3</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0.15</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0.09</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0.24</w:t>
            </w:r>
          </w:p>
        </w:tc>
        <w:tc>
          <w:tcPr>
            <w:tcW w:w="11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0.54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12</w:t>
            </w:r>
          </w:p>
        </w:tc>
        <w:tc>
          <w:tcPr>
            <w:tcW w:w="14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E13</w:t>
            </w:r>
          </w:p>
        </w:tc>
        <w:tc>
          <w:tcPr>
            <w:tcW w:w="823"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U</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0.39</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21.8~21.96</w:t>
            </w:r>
          </w:p>
        </w:tc>
        <w:tc>
          <w:tcPr>
            <w:tcW w:w="1275" w:type="dxa"/>
            <w:shd w:val="clear" w:color="auto" w:fill="auto"/>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21.8~22.6</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0.06</w:t>
            </w:r>
          </w:p>
        </w:tc>
        <w:tc>
          <w:tcPr>
            <w:tcW w:w="977" w:type="dxa"/>
            <w:vAlign w:val="center"/>
          </w:tcPr>
          <w:p>
            <w:pPr>
              <w:jc w:val="center"/>
              <w:rPr>
                <w:rFonts w:ascii="Times New Roman" w:hAnsi="Times New Roman" w:cs="Times New Roman"/>
                <w:color w:val="auto"/>
                <w:sz w:val="21"/>
                <w:szCs w:val="21"/>
              </w:rPr>
            </w:pP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0.06</w:t>
            </w:r>
          </w:p>
        </w:tc>
        <w:tc>
          <w:tcPr>
            <w:tcW w:w="11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13</w:t>
            </w:r>
          </w:p>
        </w:tc>
        <w:tc>
          <w:tcPr>
            <w:tcW w:w="14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E14</w:t>
            </w:r>
          </w:p>
        </w:tc>
        <w:tc>
          <w:tcPr>
            <w:tcW w:w="823"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G</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0.21</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21.72~21.86</w:t>
            </w:r>
          </w:p>
        </w:tc>
        <w:tc>
          <w:tcPr>
            <w:tcW w:w="1275" w:type="dxa"/>
            <w:shd w:val="clear" w:color="auto" w:fill="auto"/>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21.42~22.4</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0.03</w:t>
            </w:r>
          </w:p>
        </w:tc>
        <w:tc>
          <w:tcPr>
            <w:tcW w:w="977" w:type="dxa"/>
            <w:vAlign w:val="center"/>
          </w:tcPr>
          <w:p>
            <w:pPr>
              <w:jc w:val="center"/>
              <w:rPr>
                <w:rFonts w:ascii="Times New Roman" w:hAnsi="Times New Roman" w:cs="Times New Roman"/>
                <w:color w:val="auto"/>
                <w:sz w:val="21"/>
                <w:szCs w:val="21"/>
              </w:rPr>
            </w:pP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0.03</w:t>
            </w:r>
          </w:p>
        </w:tc>
        <w:tc>
          <w:tcPr>
            <w:tcW w:w="11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14</w:t>
            </w:r>
          </w:p>
        </w:tc>
        <w:tc>
          <w:tcPr>
            <w:tcW w:w="14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E15</w:t>
            </w:r>
          </w:p>
        </w:tc>
        <w:tc>
          <w:tcPr>
            <w:tcW w:w="823"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S</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0.54</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21.65~21.74</w:t>
            </w:r>
          </w:p>
        </w:tc>
        <w:tc>
          <w:tcPr>
            <w:tcW w:w="1275" w:type="dxa"/>
            <w:shd w:val="clear" w:color="auto" w:fill="auto"/>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23.0~23.5</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0.08</w:t>
            </w:r>
          </w:p>
        </w:tc>
        <w:tc>
          <w:tcPr>
            <w:tcW w:w="977" w:type="dxa"/>
            <w:vAlign w:val="center"/>
          </w:tcPr>
          <w:p>
            <w:pPr>
              <w:jc w:val="center"/>
              <w:rPr>
                <w:rFonts w:ascii="Times New Roman" w:hAnsi="Times New Roman" w:cs="Times New Roman"/>
                <w:color w:val="auto"/>
                <w:sz w:val="21"/>
                <w:szCs w:val="21"/>
              </w:rPr>
            </w:pP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0.08</w:t>
            </w:r>
          </w:p>
        </w:tc>
        <w:tc>
          <w:tcPr>
            <w:tcW w:w="11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0.89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15</w:t>
            </w:r>
          </w:p>
        </w:tc>
        <w:tc>
          <w:tcPr>
            <w:tcW w:w="14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E16</w:t>
            </w:r>
          </w:p>
        </w:tc>
        <w:tc>
          <w:tcPr>
            <w:tcW w:w="823"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B</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1.56</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20.61~21.64</w:t>
            </w:r>
          </w:p>
        </w:tc>
        <w:tc>
          <w:tcPr>
            <w:tcW w:w="1275" w:type="dxa"/>
            <w:shd w:val="clear" w:color="auto" w:fill="auto"/>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22.0~23.2</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0.23</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0.46</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0.69</w:t>
            </w:r>
          </w:p>
        </w:tc>
        <w:tc>
          <w:tcPr>
            <w:tcW w:w="11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2.42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16</w:t>
            </w:r>
          </w:p>
        </w:tc>
        <w:tc>
          <w:tcPr>
            <w:tcW w:w="14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E17剩余部分</w:t>
            </w:r>
          </w:p>
        </w:tc>
        <w:tc>
          <w:tcPr>
            <w:tcW w:w="823"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M</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0.24</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20.92~21.53</w:t>
            </w:r>
          </w:p>
        </w:tc>
        <w:tc>
          <w:tcPr>
            <w:tcW w:w="1275" w:type="dxa"/>
            <w:shd w:val="clear" w:color="auto" w:fill="auto"/>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22</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0.04</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0.01</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0.05</w:t>
            </w:r>
          </w:p>
        </w:tc>
        <w:tc>
          <w:tcPr>
            <w:tcW w:w="11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17</w:t>
            </w:r>
          </w:p>
        </w:tc>
        <w:tc>
          <w:tcPr>
            <w:tcW w:w="14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E18</w:t>
            </w:r>
          </w:p>
        </w:tc>
        <w:tc>
          <w:tcPr>
            <w:tcW w:w="823"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U</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10.75</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18.13~21.77</w:t>
            </w:r>
          </w:p>
        </w:tc>
        <w:tc>
          <w:tcPr>
            <w:tcW w:w="1275" w:type="dxa"/>
            <w:shd w:val="clear" w:color="auto" w:fill="auto"/>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21.0~22.9</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1.61</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0.37</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1.98</w:t>
            </w:r>
          </w:p>
        </w:tc>
        <w:tc>
          <w:tcPr>
            <w:tcW w:w="11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30.64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18</w:t>
            </w:r>
          </w:p>
        </w:tc>
        <w:tc>
          <w:tcPr>
            <w:tcW w:w="14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E20</w:t>
            </w:r>
          </w:p>
        </w:tc>
        <w:tc>
          <w:tcPr>
            <w:tcW w:w="823"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G</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3.62</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18.22~25.94</w:t>
            </w:r>
          </w:p>
        </w:tc>
        <w:tc>
          <w:tcPr>
            <w:tcW w:w="1275" w:type="dxa"/>
            <w:shd w:val="clear" w:color="auto" w:fill="auto"/>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19.8~25.94</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0.54</w:t>
            </w:r>
          </w:p>
        </w:tc>
        <w:tc>
          <w:tcPr>
            <w:tcW w:w="977" w:type="dxa"/>
            <w:vAlign w:val="center"/>
          </w:tcPr>
          <w:p>
            <w:pPr>
              <w:jc w:val="center"/>
              <w:rPr>
                <w:rFonts w:ascii="Times New Roman" w:hAnsi="Times New Roman" w:cs="Times New Roman"/>
                <w:color w:val="auto"/>
                <w:sz w:val="21"/>
                <w:szCs w:val="21"/>
              </w:rPr>
            </w:pP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0.54</w:t>
            </w:r>
          </w:p>
        </w:tc>
        <w:tc>
          <w:tcPr>
            <w:tcW w:w="11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7.06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19</w:t>
            </w:r>
          </w:p>
        </w:tc>
        <w:tc>
          <w:tcPr>
            <w:tcW w:w="14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E21剩余部分</w:t>
            </w:r>
          </w:p>
        </w:tc>
        <w:tc>
          <w:tcPr>
            <w:tcW w:w="823"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M</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2.93</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21.56~21.89</w:t>
            </w:r>
          </w:p>
        </w:tc>
        <w:tc>
          <w:tcPr>
            <w:tcW w:w="1275" w:type="dxa"/>
            <w:shd w:val="clear" w:color="auto" w:fill="auto"/>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21.7</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0.44</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0.19</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0.63</w:t>
            </w:r>
          </w:p>
        </w:tc>
        <w:tc>
          <w:tcPr>
            <w:tcW w:w="11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0.73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20</w:t>
            </w:r>
          </w:p>
        </w:tc>
        <w:tc>
          <w:tcPr>
            <w:tcW w:w="14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E22</w:t>
            </w:r>
          </w:p>
        </w:tc>
        <w:tc>
          <w:tcPr>
            <w:tcW w:w="823"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G</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5.25</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18.67~24.17</w:t>
            </w:r>
          </w:p>
        </w:tc>
        <w:tc>
          <w:tcPr>
            <w:tcW w:w="1275" w:type="dxa"/>
            <w:shd w:val="clear" w:color="auto" w:fill="auto"/>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19.54~24.17</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0.79</w:t>
            </w:r>
          </w:p>
        </w:tc>
        <w:tc>
          <w:tcPr>
            <w:tcW w:w="977" w:type="dxa"/>
            <w:vAlign w:val="center"/>
          </w:tcPr>
          <w:p>
            <w:pPr>
              <w:jc w:val="center"/>
              <w:rPr>
                <w:rFonts w:ascii="Times New Roman" w:hAnsi="Times New Roman" w:cs="Times New Roman"/>
                <w:color w:val="auto"/>
                <w:sz w:val="21"/>
                <w:szCs w:val="21"/>
              </w:rPr>
            </w:pP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0.79</w:t>
            </w:r>
          </w:p>
        </w:tc>
        <w:tc>
          <w:tcPr>
            <w:tcW w:w="11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9.19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21</w:t>
            </w:r>
          </w:p>
        </w:tc>
        <w:tc>
          <w:tcPr>
            <w:tcW w:w="14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F08</w:t>
            </w:r>
          </w:p>
        </w:tc>
        <w:tc>
          <w:tcPr>
            <w:tcW w:w="823"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G</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4.94</w:t>
            </w:r>
          </w:p>
        </w:tc>
        <w:tc>
          <w:tcPr>
            <w:tcW w:w="1275"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19.67~23.40</w:t>
            </w:r>
          </w:p>
        </w:tc>
        <w:tc>
          <w:tcPr>
            <w:tcW w:w="1275"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20.97~22.32</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0.74</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0.09</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0.83</w:t>
            </w:r>
          </w:p>
        </w:tc>
        <w:tc>
          <w:tcPr>
            <w:tcW w:w="11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7.16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22</w:t>
            </w:r>
          </w:p>
        </w:tc>
        <w:tc>
          <w:tcPr>
            <w:tcW w:w="14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F14</w:t>
            </w:r>
          </w:p>
        </w:tc>
        <w:tc>
          <w:tcPr>
            <w:tcW w:w="823"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G</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3.28</w:t>
            </w:r>
          </w:p>
        </w:tc>
        <w:tc>
          <w:tcPr>
            <w:tcW w:w="1275"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20.95~23.08</w:t>
            </w:r>
          </w:p>
        </w:tc>
        <w:tc>
          <w:tcPr>
            <w:tcW w:w="1275"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21.26~22.4</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0.49</w:t>
            </w:r>
          </w:p>
        </w:tc>
        <w:tc>
          <w:tcPr>
            <w:tcW w:w="977" w:type="dxa"/>
            <w:vAlign w:val="center"/>
          </w:tcPr>
          <w:p>
            <w:pPr>
              <w:jc w:val="center"/>
              <w:rPr>
                <w:rFonts w:ascii="Times New Roman" w:hAnsi="Times New Roman" w:cs="Times New Roman"/>
                <w:color w:val="auto"/>
                <w:sz w:val="21"/>
                <w:szCs w:val="21"/>
              </w:rPr>
            </w:pP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0.49</w:t>
            </w:r>
          </w:p>
        </w:tc>
        <w:tc>
          <w:tcPr>
            <w:tcW w:w="11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2.46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23</w:t>
            </w:r>
          </w:p>
        </w:tc>
        <w:tc>
          <w:tcPr>
            <w:tcW w:w="1476"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F18</w:t>
            </w:r>
          </w:p>
        </w:tc>
        <w:tc>
          <w:tcPr>
            <w:tcW w:w="823"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G</w:t>
            </w: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0.51</w:t>
            </w:r>
          </w:p>
        </w:tc>
        <w:tc>
          <w:tcPr>
            <w:tcW w:w="1275"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21.21~22.72</w:t>
            </w:r>
          </w:p>
        </w:tc>
        <w:tc>
          <w:tcPr>
            <w:tcW w:w="1275"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21.54~24.82</w:t>
            </w: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0.08</w:t>
            </w:r>
          </w:p>
        </w:tc>
        <w:tc>
          <w:tcPr>
            <w:tcW w:w="977" w:type="dxa"/>
            <w:vAlign w:val="center"/>
          </w:tcPr>
          <w:p>
            <w:pPr>
              <w:jc w:val="center"/>
              <w:rPr>
                <w:rFonts w:ascii="Times New Roman" w:hAnsi="Times New Roman" w:cs="Times New Roman"/>
                <w:color w:val="auto"/>
                <w:sz w:val="21"/>
                <w:szCs w:val="21"/>
              </w:rPr>
            </w:pPr>
          </w:p>
        </w:tc>
        <w:tc>
          <w:tcPr>
            <w:tcW w:w="977"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0.08</w:t>
            </w:r>
          </w:p>
        </w:tc>
        <w:tc>
          <w:tcPr>
            <w:tcW w:w="11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0.84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043" w:type="dxa"/>
            <w:gridSpan w:val="2"/>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合计</w:t>
            </w:r>
          </w:p>
        </w:tc>
        <w:tc>
          <w:tcPr>
            <w:tcW w:w="823" w:type="dxa"/>
            <w:vAlign w:val="center"/>
          </w:tcPr>
          <w:p>
            <w:pPr>
              <w:widowControl/>
              <w:jc w:val="center"/>
              <w:rPr>
                <w:rFonts w:ascii="Times New Roman" w:hAnsi="Times New Roman" w:eastAsia="仿宋_GB2312" w:cs="Times New Roman"/>
                <w:color w:val="auto"/>
                <w:kern w:val="0"/>
                <w:sz w:val="21"/>
                <w:szCs w:val="21"/>
              </w:rPr>
            </w:pPr>
          </w:p>
        </w:tc>
        <w:tc>
          <w:tcPr>
            <w:tcW w:w="100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55.78</w:t>
            </w:r>
          </w:p>
        </w:tc>
        <w:tc>
          <w:tcPr>
            <w:tcW w:w="1275" w:type="dxa"/>
            <w:vAlign w:val="center"/>
          </w:tcPr>
          <w:p>
            <w:pPr>
              <w:jc w:val="center"/>
              <w:rPr>
                <w:rFonts w:ascii="Times New Roman" w:hAnsi="Times New Roman" w:cs="Times New Roman"/>
                <w:color w:val="auto"/>
                <w:sz w:val="21"/>
                <w:szCs w:val="21"/>
              </w:rPr>
            </w:pPr>
          </w:p>
        </w:tc>
        <w:tc>
          <w:tcPr>
            <w:tcW w:w="1275" w:type="dxa"/>
            <w:shd w:val="clear" w:color="auto" w:fill="auto"/>
            <w:noWrap/>
            <w:vAlign w:val="center"/>
          </w:tcPr>
          <w:p>
            <w:pPr>
              <w:jc w:val="center"/>
              <w:rPr>
                <w:rFonts w:ascii="Times New Roman" w:hAnsi="Times New Roman" w:cs="Times New Roman"/>
                <w:color w:val="auto"/>
                <w:sz w:val="21"/>
                <w:szCs w:val="21"/>
              </w:rPr>
            </w:pPr>
          </w:p>
        </w:tc>
        <w:tc>
          <w:tcPr>
            <w:tcW w:w="97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11.49</w:t>
            </w:r>
          </w:p>
        </w:tc>
        <w:tc>
          <w:tcPr>
            <w:tcW w:w="97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4.45</w:t>
            </w:r>
          </w:p>
        </w:tc>
        <w:tc>
          <w:tcPr>
            <w:tcW w:w="977"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15.94</w:t>
            </w:r>
          </w:p>
        </w:tc>
        <w:tc>
          <w:tcPr>
            <w:tcW w:w="1144" w:type="dxa"/>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112.18</w:t>
            </w:r>
          </w:p>
        </w:tc>
      </w:tr>
    </w:tbl>
    <w:p>
      <w:pPr>
        <w:snapToGrid w:val="0"/>
        <w:spacing w:beforeLines="50"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（三）综合土石方综合平衡</w:t>
      </w:r>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本</w:t>
      </w:r>
      <w:r>
        <w:rPr>
          <w:rFonts w:hint="eastAsia" w:ascii="Times New Roman" w:hAnsi="Times New Roman" w:eastAsia="仿宋_GB2312" w:cs="Times New Roman"/>
          <w:color w:val="auto"/>
          <w:szCs w:val="24"/>
        </w:rPr>
        <w:t>区域</w:t>
      </w:r>
      <w:r>
        <w:rPr>
          <w:rFonts w:ascii="Times New Roman" w:hAnsi="Times New Roman" w:eastAsia="仿宋_GB2312" w:cs="Times New Roman"/>
          <w:color w:val="auto"/>
          <w:szCs w:val="24"/>
        </w:rPr>
        <w:t>挖填土石方总量为</w:t>
      </w:r>
      <w:r>
        <w:rPr>
          <w:rFonts w:hint="eastAsia" w:ascii="Times New Roman" w:hAnsi="Times New Roman" w:eastAsia="仿宋_GB2312" w:cs="Times New Roman"/>
          <w:color w:val="auto"/>
          <w:szCs w:val="24"/>
        </w:rPr>
        <w:t>157.77</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，其中开挖</w:t>
      </w:r>
      <w:r>
        <w:rPr>
          <w:rFonts w:hint="eastAsia" w:ascii="Times New Roman" w:hAnsi="Times New Roman" w:eastAsia="仿宋_GB2312" w:cs="Times New Roman"/>
          <w:color w:val="auto"/>
          <w:szCs w:val="24"/>
          <w:lang w:val="en-US" w:eastAsia="zh-CN"/>
        </w:rPr>
        <w:t>土石方</w:t>
      </w:r>
      <w:r>
        <w:rPr>
          <w:rFonts w:ascii="Times New Roman" w:hAnsi="Times New Roman" w:eastAsia="仿宋_GB2312" w:cs="Times New Roman"/>
          <w:color w:val="auto"/>
          <w:szCs w:val="24"/>
        </w:rPr>
        <w:t>量为</w:t>
      </w:r>
      <w:r>
        <w:rPr>
          <w:rFonts w:hint="eastAsia" w:ascii="Times New Roman" w:hAnsi="Times New Roman" w:eastAsia="仿宋_GB2312" w:cs="Times New Roman"/>
          <w:color w:val="auto"/>
          <w:szCs w:val="24"/>
        </w:rPr>
        <w:t>25.91</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（含剥离表土</w:t>
      </w:r>
      <w:r>
        <w:rPr>
          <w:rFonts w:hint="eastAsia" w:ascii="Times New Roman" w:hAnsi="Times New Roman" w:eastAsia="仿宋_GB2312" w:cs="Times New Roman"/>
          <w:color w:val="auto"/>
          <w:szCs w:val="24"/>
        </w:rPr>
        <w:t>4.91</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，淤泥4.73万m</w:t>
      </w:r>
      <w:r>
        <w:rPr>
          <w:rFonts w:hint="eastAsia"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）；回填</w:t>
      </w:r>
      <w:r>
        <w:rPr>
          <w:rFonts w:hint="eastAsia" w:ascii="Times New Roman" w:hAnsi="Times New Roman" w:eastAsia="仿宋_GB2312" w:cs="Times New Roman"/>
          <w:color w:val="auto"/>
          <w:szCs w:val="24"/>
          <w:lang w:val="en-US" w:eastAsia="zh-CN"/>
        </w:rPr>
        <w:t>土石方量为</w:t>
      </w:r>
      <w:r>
        <w:rPr>
          <w:rFonts w:hint="eastAsia" w:ascii="Times New Roman" w:hAnsi="Times New Roman" w:eastAsia="仿宋_GB2312" w:cs="Times New Roman"/>
          <w:color w:val="auto"/>
          <w:szCs w:val="24"/>
        </w:rPr>
        <w:t>131.86</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（含回覆表土</w:t>
      </w:r>
      <w:r>
        <w:rPr>
          <w:rFonts w:hint="eastAsia" w:ascii="Times New Roman" w:hAnsi="Times New Roman" w:eastAsia="仿宋_GB2312" w:cs="Times New Roman"/>
          <w:color w:val="auto"/>
          <w:szCs w:val="24"/>
        </w:rPr>
        <w:t>4.91</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，淤泥4.73万m</w:t>
      </w:r>
      <w:r>
        <w:rPr>
          <w:rFonts w:hint="eastAsia"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lang w:val="en-US" w:eastAsia="zh-CN"/>
        </w:rPr>
        <w:t>土石方经</w:t>
      </w:r>
      <w:r>
        <w:rPr>
          <w:rFonts w:ascii="Times New Roman" w:hAnsi="Times New Roman" w:eastAsia="仿宋_GB2312" w:cs="Times New Roman"/>
          <w:color w:val="auto"/>
          <w:szCs w:val="24"/>
        </w:rPr>
        <w:t>内部调配平衡后</w:t>
      </w:r>
      <w:r>
        <w:rPr>
          <w:rFonts w:hint="eastAsia" w:ascii="Times New Roman" w:hAnsi="Times New Roman" w:eastAsia="仿宋_GB2312" w:cs="Times New Roman"/>
          <w:color w:val="auto"/>
          <w:szCs w:val="24"/>
          <w:lang w:eastAsia="zh-CN"/>
        </w:rPr>
        <w:t>，</w:t>
      </w:r>
      <w:r>
        <w:rPr>
          <w:rFonts w:hint="eastAsia" w:ascii="Times New Roman" w:hAnsi="Times New Roman" w:eastAsia="仿宋_GB2312" w:cs="Times New Roman"/>
          <w:color w:val="auto"/>
          <w:szCs w:val="24"/>
          <w:lang w:val="en-US" w:eastAsia="zh-CN"/>
        </w:rPr>
        <w:t>不产生</w:t>
      </w:r>
      <w:r>
        <w:rPr>
          <w:rFonts w:hint="eastAsia" w:ascii="Times New Roman" w:hAnsi="Times New Roman" w:eastAsia="仿宋_GB2312" w:cs="Times New Roman"/>
          <w:color w:val="auto"/>
          <w:szCs w:val="24"/>
        </w:rPr>
        <w:t>余方，需借方105.95</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借方结合建设工期和后期实际情况，利用南昌市高铁东站周边地区项目的余土进行回填</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（详见土方承诺函）</w:t>
      </w:r>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本项目土石方调配</w:t>
      </w:r>
      <w:r>
        <w:rPr>
          <w:rFonts w:hint="eastAsia" w:ascii="Times New Roman" w:hAnsi="Times New Roman" w:eastAsia="仿宋_GB2312" w:cs="Times New Roman"/>
          <w:color w:val="auto"/>
          <w:szCs w:val="24"/>
          <w:lang w:val="en-US" w:eastAsia="zh-CN"/>
        </w:rPr>
        <w:t>情况</w:t>
      </w:r>
      <w:r>
        <w:rPr>
          <w:rFonts w:ascii="Times New Roman" w:hAnsi="Times New Roman" w:eastAsia="仿宋_GB2312" w:cs="Times New Roman"/>
          <w:color w:val="auto"/>
          <w:szCs w:val="24"/>
        </w:rPr>
        <w:t>详见表2</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4-</w:t>
      </w:r>
      <w:r>
        <w:rPr>
          <w:rFonts w:hint="eastAsia" w:ascii="Times New Roman" w:hAnsi="Times New Roman" w:eastAsia="仿宋_GB2312" w:cs="Times New Roman"/>
          <w:color w:val="auto"/>
          <w:szCs w:val="24"/>
        </w:rPr>
        <w:t>4</w:t>
      </w:r>
      <w:r>
        <w:rPr>
          <w:rFonts w:ascii="Times New Roman" w:hAnsi="Times New Roman" w:eastAsia="仿宋_GB2312" w:cs="Times New Roman"/>
          <w:color w:val="auto"/>
          <w:szCs w:val="24"/>
        </w:rPr>
        <w:t>，土石方流向详见图2</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4-1。</w:t>
      </w:r>
    </w:p>
    <w:p>
      <w:pPr>
        <w:snapToGrid w:val="0"/>
        <w:spacing w:line="360" w:lineRule="auto"/>
        <w:jc w:val="center"/>
        <w:rPr>
          <w:rFonts w:ascii="Times New Roman" w:hAnsi="Times New Roman" w:eastAsia="仿宋_GB2312" w:cs="Times New Roman"/>
          <w:b/>
          <w:color w:val="auto"/>
          <w:szCs w:val="24"/>
        </w:rPr>
      </w:pPr>
    </w:p>
    <w:p>
      <w:pPr>
        <w:snapToGrid w:val="0"/>
        <w:spacing w:line="360" w:lineRule="auto"/>
        <w:jc w:val="center"/>
        <w:rPr>
          <w:rFonts w:ascii="Times New Roman" w:hAnsi="Times New Roman" w:eastAsia="仿宋_GB2312" w:cs="Times New Roman"/>
          <w:b/>
          <w:color w:val="auto"/>
          <w:szCs w:val="24"/>
        </w:rPr>
      </w:pPr>
    </w:p>
    <w:p>
      <w:pPr>
        <w:snapToGrid w:val="0"/>
        <w:spacing w:line="360" w:lineRule="auto"/>
        <w:jc w:val="center"/>
        <w:rPr>
          <w:rFonts w:ascii="Times New Roman" w:hAnsi="Times New Roman" w:eastAsia="仿宋_GB2312" w:cs="Times New Roman"/>
          <w:b/>
          <w:color w:val="auto"/>
          <w:szCs w:val="24"/>
        </w:rPr>
      </w:pPr>
      <w:r>
        <w:rPr>
          <w:rFonts w:ascii="Times New Roman" w:hAnsi="Times New Roman" w:eastAsia="仿宋_GB2312" w:cs="Times New Roman"/>
          <w:b/>
          <w:color w:val="auto"/>
          <w:szCs w:val="24"/>
        </w:rPr>
        <w:t>表2</w:t>
      </w:r>
      <w:r>
        <w:rPr>
          <w:rFonts w:hint="eastAsia" w:ascii="Times New Roman" w:hAnsi="Times New Roman" w:eastAsia="仿宋_GB2312" w:cs="Times New Roman"/>
          <w:b/>
          <w:color w:val="auto"/>
          <w:szCs w:val="24"/>
        </w:rPr>
        <w:t>.</w:t>
      </w:r>
      <w:r>
        <w:rPr>
          <w:rFonts w:ascii="Times New Roman" w:hAnsi="Times New Roman" w:eastAsia="仿宋_GB2312" w:cs="Times New Roman"/>
          <w:b/>
          <w:color w:val="auto"/>
          <w:szCs w:val="24"/>
        </w:rPr>
        <w:t>4-</w:t>
      </w:r>
      <w:r>
        <w:rPr>
          <w:rFonts w:hint="eastAsia" w:ascii="Times New Roman" w:hAnsi="Times New Roman" w:eastAsia="仿宋_GB2312" w:cs="Times New Roman"/>
          <w:b/>
          <w:color w:val="auto"/>
          <w:szCs w:val="24"/>
        </w:rPr>
        <w:t>4</w:t>
      </w:r>
      <w:r>
        <w:rPr>
          <w:rFonts w:ascii="Times New Roman" w:hAnsi="Times New Roman" w:eastAsia="仿宋_GB2312" w:cs="Times New Roman"/>
          <w:b/>
          <w:color w:val="auto"/>
          <w:szCs w:val="24"/>
        </w:rPr>
        <w:t>：区域综合</w:t>
      </w:r>
      <w:r>
        <w:rPr>
          <w:rFonts w:ascii="Times New Roman" w:hAnsi="Times New Roman" w:eastAsia="仿宋_GB2312" w:cs="Times New Roman"/>
          <w:b/>
          <w:bCs/>
          <w:color w:val="auto"/>
          <w:szCs w:val="24"/>
        </w:rPr>
        <w:t>土石方平衡表（</w:t>
      </w:r>
      <w:r>
        <w:rPr>
          <w:rFonts w:ascii="Times New Roman" w:hAnsi="Times New Roman" w:eastAsia="仿宋_GB2312" w:cs="Times New Roman"/>
          <w:b/>
          <w:color w:val="auto"/>
          <w:szCs w:val="24"/>
        </w:rPr>
        <w:t>单位：万m</w:t>
      </w:r>
      <w:r>
        <w:rPr>
          <w:rFonts w:ascii="Times New Roman" w:hAnsi="Times New Roman" w:eastAsia="仿宋_GB2312" w:cs="Times New Roman"/>
          <w:b/>
          <w:color w:val="auto"/>
          <w:szCs w:val="24"/>
          <w:vertAlign w:val="superscript"/>
        </w:rPr>
        <w:t>3</w:t>
      </w:r>
      <w:r>
        <w:rPr>
          <w:rFonts w:ascii="Times New Roman" w:hAnsi="Times New Roman" w:eastAsia="仿宋_GB2312" w:cs="Times New Roman"/>
          <w:b/>
          <w:color w:val="auto"/>
          <w:szCs w:val="24"/>
        </w:rPr>
        <w:t>）</w:t>
      </w:r>
    </w:p>
    <w:tbl>
      <w:tblPr>
        <w:tblStyle w:val="37"/>
        <w:tblW w:w="993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10"/>
        <w:gridCol w:w="850"/>
        <w:gridCol w:w="850"/>
        <w:gridCol w:w="850"/>
        <w:gridCol w:w="850"/>
        <w:gridCol w:w="757"/>
        <w:gridCol w:w="713"/>
        <w:gridCol w:w="707"/>
        <w:gridCol w:w="711"/>
        <w:gridCol w:w="799"/>
        <w:gridCol w:w="711"/>
        <w:gridCol w:w="763"/>
        <w:gridCol w:w="66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7" w:hRule="atLeast"/>
          <w:jc w:val="center"/>
        </w:trPr>
        <w:tc>
          <w:tcPr>
            <w:tcW w:w="785" w:type="pct"/>
            <w:gridSpan w:val="2"/>
            <w:vMerge w:val="restart"/>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分区</w:t>
            </w:r>
          </w:p>
        </w:tc>
        <w:tc>
          <w:tcPr>
            <w:tcW w:w="428" w:type="pct"/>
            <w:vMerge w:val="restart"/>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分类</w:t>
            </w:r>
          </w:p>
        </w:tc>
        <w:tc>
          <w:tcPr>
            <w:tcW w:w="428" w:type="pct"/>
            <w:vMerge w:val="restart"/>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开挖</w:t>
            </w:r>
          </w:p>
        </w:tc>
        <w:tc>
          <w:tcPr>
            <w:tcW w:w="428" w:type="pct"/>
            <w:vMerge w:val="restart"/>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回填</w:t>
            </w:r>
          </w:p>
        </w:tc>
        <w:tc>
          <w:tcPr>
            <w:tcW w:w="740" w:type="pct"/>
            <w:gridSpan w:val="2"/>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调入</w:t>
            </w:r>
          </w:p>
        </w:tc>
        <w:tc>
          <w:tcPr>
            <w:tcW w:w="714" w:type="pct"/>
            <w:gridSpan w:val="2"/>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调出</w:t>
            </w:r>
          </w:p>
        </w:tc>
        <w:tc>
          <w:tcPr>
            <w:tcW w:w="760" w:type="pct"/>
            <w:gridSpan w:val="2"/>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借方</w:t>
            </w:r>
          </w:p>
        </w:tc>
        <w:tc>
          <w:tcPr>
            <w:tcW w:w="718" w:type="pct"/>
            <w:gridSpan w:val="2"/>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余方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8" w:hRule="atLeast"/>
          <w:jc w:val="center"/>
        </w:trPr>
        <w:tc>
          <w:tcPr>
            <w:tcW w:w="785" w:type="pct"/>
            <w:gridSpan w:val="2"/>
            <w:vMerge w:val="continue"/>
            <w:vAlign w:val="center"/>
          </w:tcPr>
          <w:p>
            <w:pPr>
              <w:widowControl/>
              <w:jc w:val="center"/>
              <w:rPr>
                <w:rFonts w:ascii="Times New Roman" w:hAnsi="Times New Roman" w:eastAsia="仿宋_GB2312" w:cs="Times New Roman"/>
                <w:color w:val="auto"/>
                <w:kern w:val="0"/>
                <w:sz w:val="21"/>
                <w:szCs w:val="21"/>
              </w:rPr>
            </w:pPr>
          </w:p>
        </w:tc>
        <w:tc>
          <w:tcPr>
            <w:tcW w:w="428" w:type="pct"/>
            <w:vMerge w:val="continue"/>
            <w:vAlign w:val="center"/>
          </w:tcPr>
          <w:p>
            <w:pPr>
              <w:widowControl/>
              <w:jc w:val="center"/>
              <w:rPr>
                <w:rFonts w:ascii="Times New Roman" w:hAnsi="Times New Roman" w:eastAsia="仿宋_GB2312" w:cs="Times New Roman"/>
                <w:color w:val="auto"/>
                <w:kern w:val="0"/>
                <w:sz w:val="21"/>
                <w:szCs w:val="21"/>
              </w:rPr>
            </w:pPr>
          </w:p>
        </w:tc>
        <w:tc>
          <w:tcPr>
            <w:tcW w:w="428" w:type="pct"/>
            <w:vMerge w:val="continue"/>
            <w:vAlign w:val="center"/>
          </w:tcPr>
          <w:p>
            <w:pPr>
              <w:widowControl/>
              <w:jc w:val="center"/>
              <w:rPr>
                <w:rFonts w:ascii="Times New Roman" w:hAnsi="Times New Roman" w:eastAsia="仿宋_GB2312" w:cs="Times New Roman"/>
                <w:color w:val="auto"/>
                <w:kern w:val="0"/>
                <w:sz w:val="21"/>
                <w:szCs w:val="21"/>
              </w:rPr>
            </w:pPr>
          </w:p>
        </w:tc>
        <w:tc>
          <w:tcPr>
            <w:tcW w:w="428" w:type="pct"/>
            <w:vMerge w:val="continue"/>
            <w:vAlign w:val="center"/>
          </w:tcPr>
          <w:p>
            <w:pPr>
              <w:widowControl/>
              <w:jc w:val="center"/>
              <w:rPr>
                <w:rFonts w:ascii="Times New Roman" w:hAnsi="Times New Roman" w:eastAsia="仿宋_GB2312" w:cs="Times New Roman"/>
                <w:color w:val="auto"/>
                <w:kern w:val="0"/>
                <w:sz w:val="21"/>
                <w:szCs w:val="21"/>
              </w:rPr>
            </w:pPr>
          </w:p>
        </w:tc>
        <w:tc>
          <w:tcPr>
            <w:tcW w:w="381" w:type="pct"/>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数量</w:t>
            </w:r>
          </w:p>
        </w:tc>
        <w:tc>
          <w:tcPr>
            <w:tcW w:w="358" w:type="pct"/>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来源</w:t>
            </w:r>
          </w:p>
        </w:tc>
        <w:tc>
          <w:tcPr>
            <w:tcW w:w="356" w:type="pct"/>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数量</w:t>
            </w:r>
          </w:p>
        </w:tc>
        <w:tc>
          <w:tcPr>
            <w:tcW w:w="357" w:type="pct"/>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去向</w:t>
            </w:r>
          </w:p>
        </w:tc>
        <w:tc>
          <w:tcPr>
            <w:tcW w:w="402" w:type="pct"/>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数量</w:t>
            </w:r>
          </w:p>
        </w:tc>
        <w:tc>
          <w:tcPr>
            <w:tcW w:w="357" w:type="pct"/>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来源</w:t>
            </w:r>
          </w:p>
        </w:tc>
        <w:tc>
          <w:tcPr>
            <w:tcW w:w="384" w:type="pct"/>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数量</w:t>
            </w:r>
          </w:p>
        </w:tc>
        <w:tc>
          <w:tcPr>
            <w:tcW w:w="334" w:type="pct"/>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去向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357" w:type="pct"/>
            <w:vMerge w:val="restar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公共基础设施区</w:t>
            </w:r>
          </w:p>
        </w:tc>
        <w:tc>
          <w:tcPr>
            <w:tcW w:w="428" w:type="pct"/>
            <w:vMerge w:val="restart"/>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道路与交通设施区</w:t>
            </w:r>
          </w:p>
        </w:tc>
        <w:tc>
          <w:tcPr>
            <w:tcW w:w="428"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土方</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4.86</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15.66</w:t>
            </w:r>
          </w:p>
        </w:tc>
        <w:tc>
          <w:tcPr>
            <w:tcW w:w="381" w:type="pct"/>
            <w:vAlign w:val="center"/>
          </w:tcPr>
          <w:p>
            <w:pPr>
              <w:jc w:val="center"/>
              <w:rPr>
                <w:rFonts w:ascii="Times New Roman" w:hAnsi="Times New Roman" w:cs="Times New Roman"/>
                <w:color w:val="auto"/>
                <w:sz w:val="21"/>
                <w:szCs w:val="21"/>
              </w:rPr>
            </w:pPr>
          </w:p>
        </w:tc>
        <w:tc>
          <w:tcPr>
            <w:tcW w:w="358" w:type="pct"/>
            <w:vAlign w:val="center"/>
          </w:tcPr>
          <w:p>
            <w:pPr>
              <w:jc w:val="center"/>
              <w:rPr>
                <w:rFonts w:ascii="Times New Roman" w:hAnsi="Times New Roman" w:cs="Times New Roman"/>
                <w:color w:val="auto"/>
                <w:sz w:val="21"/>
                <w:szCs w:val="21"/>
              </w:rPr>
            </w:pPr>
          </w:p>
        </w:tc>
        <w:tc>
          <w:tcPr>
            <w:tcW w:w="356"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2.54</w:t>
            </w:r>
          </w:p>
        </w:tc>
        <w:tc>
          <w:tcPr>
            <w:tcW w:w="357" w:type="pct"/>
            <w:vAlign w:val="center"/>
          </w:tcPr>
          <w:p>
            <w:pPr>
              <w:jc w:val="center"/>
              <w:rPr>
                <w:rFonts w:ascii="宋体" w:hAnsi="宋体" w:cs="宋体"/>
                <w:color w:val="auto"/>
                <w:sz w:val="21"/>
                <w:szCs w:val="21"/>
              </w:rPr>
            </w:pPr>
            <w:r>
              <w:rPr>
                <w:rFonts w:hint="eastAsia"/>
                <w:color w:val="auto"/>
                <w:sz w:val="21"/>
                <w:szCs w:val="21"/>
              </w:rPr>
              <w:t>④</w:t>
            </w:r>
          </w:p>
        </w:tc>
        <w:tc>
          <w:tcPr>
            <w:tcW w:w="402"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13.34</w:t>
            </w:r>
          </w:p>
        </w:tc>
        <w:tc>
          <w:tcPr>
            <w:tcW w:w="357" w:type="pct"/>
            <w:vMerge w:val="restart"/>
            <w:vAlign w:val="center"/>
          </w:tcPr>
          <w:p>
            <w:pPr>
              <w:jc w:val="center"/>
              <w:rPr>
                <w:rFonts w:ascii="仿宋_GB2312" w:hAnsi="Times New Roman" w:eastAsia="仿宋_GB2312" w:cs="Times New Roman"/>
                <w:color w:val="auto"/>
                <w:sz w:val="21"/>
                <w:szCs w:val="21"/>
              </w:rPr>
            </w:pPr>
            <w:r>
              <w:rPr>
                <w:rFonts w:hint="eastAsia" w:ascii="仿宋_GB2312" w:hAnsi="Times New Roman" w:eastAsia="仿宋_GB2312" w:cs="Times New Roman"/>
                <w:color w:val="auto"/>
                <w:sz w:val="21"/>
                <w:szCs w:val="21"/>
              </w:rPr>
              <w:t>利用周边区域（南昌市高铁东站周边地区）项目的余土</w:t>
            </w:r>
          </w:p>
        </w:tc>
        <w:tc>
          <w:tcPr>
            <w:tcW w:w="384" w:type="pct"/>
            <w:vAlign w:val="center"/>
          </w:tcPr>
          <w:p>
            <w:pPr>
              <w:jc w:val="center"/>
              <w:rPr>
                <w:rFonts w:ascii="Times New Roman" w:hAnsi="Times New Roman" w:cs="Times New Roman"/>
                <w:color w:val="auto"/>
                <w:sz w:val="21"/>
                <w:szCs w:val="21"/>
              </w:rPr>
            </w:pPr>
          </w:p>
        </w:tc>
        <w:tc>
          <w:tcPr>
            <w:tcW w:w="334" w:type="pct"/>
            <w:vMerge w:val="restart"/>
            <w:vAlign w:val="center"/>
          </w:tcPr>
          <w:p>
            <w:pPr>
              <w:jc w:val="center"/>
              <w:rPr>
                <w:rFonts w:ascii="仿宋_GB2312"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357" w:type="pct"/>
            <w:vMerge w:val="continue"/>
            <w:vAlign w:val="center"/>
          </w:tcPr>
          <w:p>
            <w:pPr>
              <w:jc w:val="center"/>
              <w:rPr>
                <w:rFonts w:ascii="Times New Roman" w:hAnsi="Times New Roman" w:eastAsia="仿宋_GB2312" w:cs="Times New Roman"/>
                <w:color w:val="auto"/>
                <w:kern w:val="0"/>
                <w:sz w:val="21"/>
                <w:szCs w:val="21"/>
              </w:rPr>
            </w:pPr>
          </w:p>
        </w:tc>
        <w:tc>
          <w:tcPr>
            <w:tcW w:w="428" w:type="pct"/>
            <w:vMerge w:val="continue"/>
            <w:vAlign w:val="center"/>
          </w:tcPr>
          <w:p>
            <w:pPr>
              <w:jc w:val="center"/>
              <w:rPr>
                <w:rFonts w:ascii="Times New Roman" w:hAnsi="Times New Roman" w:eastAsia="仿宋_GB2312" w:cs="Times New Roman"/>
                <w:color w:val="auto"/>
                <w:kern w:val="0"/>
                <w:sz w:val="21"/>
                <w:szCs w:val="21"/>
              </w:rPr>
            </w:pPr>
          </w:p>
        </w:tc>
        <w:tc>
          <w:tcPr>
            <w:tcW w:w="428"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淤泥</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0.28</w:t>
            </w:r>
          </w:p>
        </w:tc>
        <w:tc>
          <w:tcPr>
            <w:tcW w:w="428" w:type="pct"/>
            <w:vAlign w:val="center"/>
          </w:tcPr>
          <w:p>
            <w:pPr>
              <w:jc w:val="center"/>
              <w:rPr>
                <w:rFonts w:ascii="Times New Roman" w:hAnsi="Times New Roman" w:cs="Times New Roman"/>
                <w:color w:val="auto"/>
                <w:sz w:val="21"/>
                <w:szCs w:val="21"/>
              </w:rPr>
            </w:pPr>
          </w:p>
        </w:tc>
        <w:tc>
          <w:tcPr>
            <w:tcW w:w="381" w:type="pct"/>
            <w:vAlign w:val="center"/>
          </w:tcPr>
          <w:p>
            <w:pPr>
              <w:jc w:val="center"/>
              <w:rPr>
                <w:rFonts w:ascii="Times New Roman" w:hAnsi="Times New Roman" w:cs="Times New Roman"/>
                <w:color w:val="auto"/>
                <w:sz w:val="21"/>
                <w:szCs w:val="21"/>
              </w:rPr>
            </w:pPr>
          </w:p>
        </w:tc>
        <w:tc>
          <w:tcPr>
            <w:tcW w:w="358" w:type="pct"/>
            <w:vAlign w:val="center"/>
          </w:tcPr>
          <w:p>
            <w:pPr>
              <w:jc w:val="center"/>
              <w:rPr>
                <w:rFonts w:ascii="Times New Roman" w:hAnsi="Times New Roman" w:cs="Times New Roman"/>
                <w:color w:val="auto"/>
                <w:sz w:val="21"/>
                <w:szCs w:val="21"/>
              </w:rPr>
            </w:pPr>
          </w:p>
        </w:tc>
        <w:tc>
          <w:tcPr>
            <w:tcW w:w="356"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0.28</w:t>
            </w:r>
          </w:p>
        </w:tc>
        <w:tc>
          <w:tcPr>
            <w:tcW w:w="357" w:type="pct"/>
            <w:vAlign w:val="center"/>
          </w:tcPr>
          <w:p>
            <w:pPr>
              <w:jc w:val="center"/>
              <w:rPr>
                <w:rFonts w:ascii="宋体" w:hAnsi="宋体" w:cs="宋体"/>
                <w:color w:val="auto"/>
                <w:sz w:val="21"/>
                <w:szCs w:val="21"/>
              </w:rPr>
            </w:pPr>
            <w:r>
              <w:rPr>
                <w:rFonts w:hint="eastAsia"/>
                <w:color w:val="auto"/>
                <w:sz w:val="21"/>
                <w:szCs w:val="21"/>
              </w:rPr>
              <w:t>③</w:t>
            </w:r>
          </w:p>
        </w:tc>
        <w:tc>
          <w:tcPr>
            <w:tcW w:w="402" w:type="pct"/>
            <w:vAlign w:val="center"/>
          </w:tcPr>
          <w:p>
            <w:pPr>
              <w:jc w:val="center"/>
              <w:rPr>
                <w:rFonts w:ascii="Times New Roman" w:hAnsi="Times New Roman" w:cs="Times New Roman"/>
                <w:color w:val="auto"/>
                <w:sz w:val="21"/>
                <w:szCs w:val="21"/>
              </w:rPr>
            </w:pPr>
          </w:p>
        </w:tc>
        <w:tc>
          <w:tcPr>
            <w:tcW w:w="357" w:type="pct"/>
            <w:vMerge w:val="continue"/>
            <w:vAlign w:val="center"/>
          </w:tcPr>
          <w:p>
            <w:pPr>
              <w:jc w:val="center"/>
              <w:rPr>
                <w:rFonts w:ascii="Times New Roman" w:hAnsi="Times New Roman" w:eastAsia="仿宋_GB2312" w:cs="Times New Roman"/>
                <w:color w:val="auto"/>
                <w:sz w:val="21"/>
                <w:szCs w:val="21"/>
              </w:rPr>
            </w:pPr>
          </w:p>
        </w:tc>
        <w:tc>
          <w:tcPr>
            <w:tcW w:w="384" w:type="pct"/>
            <w:vAlign w:val="center"/>
          </w:tcPr>
          <w:p>
            <w:pPr>
              <w:jc w:val="center"/>
              <w:rPr>
                <w:rFonts w:ascii="Times New Roman" w:hAnsi="Times New Roman" w:cs="Times New Roman"/>
                <w:color w:val="auto"/>
                <w:sz w:val="21"/>
                <w:szCs w:val="21"/>
              </w:rPr>
            </w:pPr>
          </w:p>
        </w:tc>
        <w:tc>
          <w:tcPr>
            <w:tcW w:w="334" w:type="pct"/>
            <w:vMerge w:val="continue"/>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357" w:type="pct"/>
            <w:vMerge w:val="continue"/>
            <w:vAlign w:val="center"/>
          </w:tcPr>
          <w:p>
            <w:pPr>
              <w:jc w:val="center"/>
              <w:rPr>
                <w:rFonts w:ascii="Times New Roman" w:hAnsi="Times New Roman" w:eastAsia="仿宋_GB2312" w:cs="Times New Roman"/>
                <w:color w:val="auto"/>
                <w:kern w:val="0"/>
                <w:sz w:val="21"/>
                <w:szCs w:val="21"/>
              </w:rPr>
            </w:pPr>
          </w:p>
        </w:tc>
        <w:tc>
          <w:tcPr>
            <w:tcW w:w="428" w:type="pct"/>
            <w:vMerge w:val="continue"/>
            <w:vAlign w:val="center"/>
          </w:tcPr>
          <w:p>
            <w:pPr>
              <w:jc w:val="center"/>
              <w:rPr>
                <w:rFonts w:ascii="Times New Roman" w:hAnsi="Times New Roman" w:eastAsia="仿宋_GB2312" w:cs="Times New Roman"/>
                <w:color w:val="auto"/>
                <w:kern w:val="0"/>
                <w:sz w:val="21"/>
                <w:szCs w:val="21"/>
              </w:rPr>
            </w:pPr>
          </w:p>
        </w:tc>
        <w:tc>
          <w:tcPr>
            <w:tcW w:w="428"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表土</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0.98</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w:t>
            </w:r>
            <w:r>
              <w:rPr>
                <w:rFonts w:hint="eastAsia" w:ascii="Times New Roman" w:hAnsi="Times New Roman" w:cs="Times New Roman"/>
                <w:color w:val="auto"/>
                <w:sz w:val="21"/>
                <w:szCs w:val="21"/>
              </w:rPr>
              <w:t>8</w:t>
            </w:r>
          </w:p>
        </w:tc>
        <w:tc>
          <w:tcPr>
            <w:tcW w:w="381" w:type="pct"/>
            <w:vAlign w:val="center"/>
          </w:tcPr>
          <w:p>
            <w:pPr>
              <w:jc w:val="center"/>
              <w:rPr>
                <w:rFonts w:ascii="Times New Roman" w:hAnsi="Times New Roman" w:cs="Times New Roman"/>
                <w:color w:val="auto"/>
                <w:sz w:val="21"/>
                <w:szCs w:val="21"/>
              </w:rPr>
            </w:pPr>
          </w:p>
        </w:tc>
        <w:tc>
          <w:tcPr>
            <w:tcW w:w="358" w:type="pct"/>
            <w:vAlign w:val="center"/>
          </w:tcPr>
          <w:p>
            <w:pPr>
              <w:jc w:val="center"/>
              <w:rPr>
                <w:rFonts w:ascii="Times New Roman" w:hAnsi="Times New Roman" w:cs="Times New Roman"/>
                <w:color w:val="auto"/>
                <w:sz w:val="21"/>
                <w:szCs w:val="21"/>
              </w:rPr>
            </w:pPr>
          </w:p>
        </w:tc>
        <w:tc>
          <w:tcPr>
            <w:tcW w:w="356"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0.9</w:t>
            </w:r>
            <w:r>
              <w:rPr>
                <w:rFonts w:hint="eastAsia" w:ascii="Times New Roman" w:hAnsi="Times New Roman" w:cs="Times New Roman"/>
                <w:color w:val="auto"/>
                <w:sz w:val="21"/>
                <w:szCs w:val="21"/>
              </w:rPr>
              <w:t>0</w:t>
            </w:r>
          </w:p>
        </w:tc>
        <w:tc>
          <w:tcPr>
            <w:tcW w:w="357" w:type="pct"/>
            <w:vAlign w:val="center"/>
          </w:tcPr>
          <w:p>
            <w:pPr>
              <w:jc w:val="center"/>
              <w:rPr>
                <w:rFonts w:ascii="宋体" w:hAnsi="宋体" w:cs="宋体"/>
                <w:color w:val="auto"/>
                <w:sz w:val="21"/>
                <w:szCs w:val="21"/>
              </w:rPr>
            </w:pPr>
            <w:r>
              <w:rPr>
                <w:rFonts w:hint="eastAsia"/>
                <w:color w:val="auto"/>
                <w:sz w:val="21"/>
                <w:szCs w:val="21"/>
              </w:rPr>
              <w:t>③</w:t>
            </w:r>
          </w:p>
        </w:tc>
        <w:tc>
          <w:tcPr>
            <w:tcW w:w="402" w:type="pct"/>
            <w:vAlign w:val="center"/>
          </w:tcPr>
          <w:p>
            <w:pPr>
              <w:jc w:val="center"/>
              <w:rPr>
                <w:rFonts w:ascii="Times New Roman" w:hAnsi="Times New Roman" w:cs="Times New Roman"/>
                <w:color w:val="auto"/>
                <w:sz w:val="21"/>
                <w:szCs w:val="21"/>
              </w:rPr>
            </w:pPr>
          </w:p>
        </w:tc>
        <w:tc>
          <w:tcPr>
            <w:tcW w:w="357" w:type="pct"/>
            <w:vMerge w:val="continue"/>
            <w:vAlign w:val="center"/>
          </w:tcPr>
          <w:p>
            <w:pPr>
              <w:jc w:val="center"/>
              <w:rPr>
                <w:rFonts w:ascii="Times New Roman" w:hAnsi="Times New Roman" w:eastAsia="仿宋_GB2312" w:cs="Times New Roman"/>
                <w:color w:val="auto"/>
                <w:sz w:val="21"/>
                <w:szCs w:val="21"/>
              </w:rPr>
            </w:pPr>
          </w:p>
        </w:tc>
        <w:tc>
          <w:tcPr>
            <w:tcW w:w="384" w:type="pct"/>
            <w:vAlign w:val="center"/>
          </w:tcPr>
          <w:p>
            <w:pPr>
              <w:jc w:val="center"/>
              <w:rPr>
                <w:rFonts w:ascii="Times New Roman" w:hAnsi="Times New Roman" w:cs="Times New Roman"/>
                <w:color w:val="auto"/>
                <w:sz w:val="21"/>
                <w:szCs w:val="21"/>
              </w:rPr>
            </w:pPr>
          </w:p>
        </w:tc>
        <w:tc>
          <w:tcPr>
            <w:tcW w:w="334" w:type="pct"/>
            <w:vMerge w:val="continue"/>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357" w:type="pct"/>
            <w:vMerge w:val="continue"/>
            <w:vAlign w:val="center"/>
          </w:tcPr>
          <w:p>
            <w:pPr>
              <w:jc w:val="center"/>
              <w:rPr>
                <w:rFonts w:ascii="Times New Roman" w:hAnsi="Times New Roman" w:eastAsia="仿宋_GB2312" w:cs="Times New Roman"/>
                <w:color w:val="auto"/>
                <w:kern w:val="0"/>
                <w:sz w:val="21"/>
                <w:szCs w:val="21"/>
              </w:rPr>
            </w:pPr>
          </w:p>
        </w:tc>
        <w:tc>
          <w:tcPr>
            <w:tcW w:w="428" w:type="pct"/>
            <w:vMerge w:val="continue"/>
            <w:vAlign w:val="center"/>
          </w:tcPr>
          <w:p>
            <w:pPr>
              <w:jc w:val="center"/>
              <w:rPr>
                <w:rFonts w:ascii="Times New Roman" w:hAnsi="Times New Roman" w:eastAsia="仿宋_GB2312" w:cs="Times New Roman"/>
                <w:color w:val="auto"/>
                <w:kern w:val="0"/>
                <w:sz w:val="21"/>
                <w:szCs w:val="21"/>
              </w:rPr>
            </w:pPr>
          </w:p>
        </w:tc>
        <w:tc>
          <w:tcPr>
            <w:tcW w:w="428"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小计</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6.12</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15.7</w:t>
            </w:r>
            <w:r>
              <w:rPr>
                <w:rFonts w:hint="eastAsia" w:ascii="Times New Roman" w:hAnsi="Times New Roman" w:cs="Times New Roman"/>
                <w:color w:val="auto"/>
                <w:sz w:val="21"/>
                <w:szCs w:val="21"/>
              </w:rPr>
              <w:t>4</w:t>
            </w:r>
          </w:p>
        </w:tc>
        <w:tc>
          <w:tcPr>
            <w:tcW w:w="381"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w:t>
            </w:r>
          </w:p>
        </w:tc>
        <w:tc>
          <w:tcPr>
            <w:tcW w:w="358" w:type="pct"/>
            <w:vAlign w:val="center"/>
          </w:tcPr>
          <w:p>
            <w:pPr>
              <w:jc w:val="center"/>
              <w:rPr>
                <w:rFonts w:ascii="Times New Roman" w:hAnsi="Times New Roman" w:cs="Times New Roman"/>
                <w:color w:val="auto"/>
                <w:sz w:val="21"/>
                <w:szCs w:val="21"/>
              </w:rPr>
            </w:pPr>
          </w:p>
        </w:tc>
        <w:tc>
          <w:tcPr>
            <w:tcW w:w="356"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3.7</w:t>
            </w:r>
            <w:r>
              <w:rPr>
                <w:rFonts w:hint="eastAsia" w:ascii="Times New Roman" w:hAnsi="Times New Roman" w:cs="Times New Roman"/>
                <w:color w:val="auto"/>
                <w:sz w:val="21"/>
                <w:szCs w:val="21"/>
              </w:rPr>
              <w:t>2</w:t>
            </w:r>
          </w:p>
        </w:tc>
        <w:tc>
          <w:tcPr>
            <w:tcW w:w="357" w:type="pct"/>
            <w:vAlign w:val="center"/>
          </w:tcPr>
          <w:p>
            <w:pPr>
              <w:jc w:val="center"/>
              <w:rPr>
                <w:rFonts w:ascii="Times New Roman" w:hAnsi="Times New Roman" w:cs="Times New Roman"/>
                <w:color w:val="auto"/>
                <w:sz w:val="21"/>
                <w:szCs w:val="21"/>
              </w:rPr>
            </w:pPr>
          </w:p>
        </w:tc>
        <w:tc>
          <w:tcPr>
            <w:tcW w:w="402"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13.34</w:t>
            </w:r>
          </w:p>
        </w:tc>
        <w:tc>
          <w:tcPr>
            <w:tcW w:w="357" w:type="pct"/>
            <w:vMerge w:val="continue"/>
            <w:vAlign w:val="center"/>
          </w:tcPr>
          <w:p>
            <w:pPr>
              <w:jc w:val="center"/>
              <w:rPr>
                <w:rFonts w:ascii="Times New Roman" w:hAnsi="Times New Roman" w:eastAsia="仿宋_GB2312" w:cs="Times New Roman"/>
                <w:color w:val="auto"/>
                <w:sz w:val="21"/>
                <w:szCs w:val="21"/>
              </w:rPr>
            </w:pPr>
          </w:p>
        </w:tc>
        <w:tc>
          <w:tcPr>
            <w:tcW w:w="384" w:type="pct"/>
            <w:vAlign w:val="center"/>
          </w:tcPr>
          <w:p>
            <w:pPr>
              <w:jc w:val="center"/>
              <w:rPr>
                <w:rFonts w:ascii="Times New Roman" w:hAnsi="Times New Roman" w:cs="Times New Roman"/>
                <w:color w:val="auto"/>
                <w:sz w:val="21"/>
                <w:szCs w:val="21"/>
              </w:rPr>
            </w:pPr>
          </w:p>
        </w:tc>
        <w:tc>
          <w:tcPr>
            <w:tcW w:w="334" w:type="pct"/>
            <w:vMerge w:val="continue"/>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357" w:type="pct"/>
            <w:vMerge w:val="continue"/>
            <w:vAlign w:val="center"/>
          </w:tcPr>
          <w:p>
            <w:pPr>
              <w:jc w:val="center"/>
              <w:rPr>
                <w:rFonts w:ascii="Times New Roman" w:hAnsi="Times New Roman" w:eastAsia="仿宋_GB2312" w:cs="Times New Roman"/>
                <w:color w:val="auto"/>
                <w:kern w:val="0"/>
                <w:sz w:val="21"/>
                <w:szCs w:val="21"/>
              </w:rPr>
            </w:pPr>
          </w:p>
        </w:tc>
        <w:tc>
          <w:tcPr>
            <w:tcW w:w="428" w:type="pct"/>
            <w:vMerge w:val="restart"/>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公用设施用地区</w:t>
            </w:r>
          </w:p>
        </w:tc>
        <w:tc>
          <w:tcPr>
            <w:tcW w:w="428"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土方</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1.93</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37.68</w:t>
            </w:r>
          </w:p>
        </w:tc>
        <w:tc>
          <w:tcPr>
            <w:tcW w:w="381" w:type="pct"/>
            <w:vAlign w:val="center"/>
          </w:tcPr>
          <w:p>
            <w:pPr>
              <w:jc w:val="center"/>
              <w:rPr>
                <w:rFonts w:ascii="Times New Roman" w:hAnsi="Times New Roman" w:cs="Times New Roman"/>
                <w:color w:val="auto"/>
                <w:sz w:val="21"/>
                <w:szCs w:val="21"/>
              </w:rPr>
            </w:pPr>
          </w:p>
        </w:tc>
        <w:tc>
          <w:tcPr>
            <w:tcW w:w="358" w:type="pct"/>
            <w:vAlign w:val="center"/>
          </w:tcPr>
          <w:p>
            <w:pPr>
              <w:jc w:val="center"/>
              <w:rPr>
                <w:rFonts w:ascii="Times New Roman" w:hAnsi="Times New Roman" w:cs="Times New Roman"/>
                <w:color w:val="auto"/>
                <w:sz w:val="21"/>
                <w:szCs w:val="21"/>
              </w:rPr>
            </w:pPr>
          </w:p>
        </w:tc>
        <w:tc>
          <w:tcPr>
            <w:tcW w:w="356" w:type="pct"/>
            <w:vAlign w:val="center"/>
          </w:tcPr>
          <w:p>
            <w:pPr>
              <w:jc w:val="center"/>
              <w:rPr>
                <w:rFonts w:ascii="Times New Roman" w:hAnsi="Times New Roman" w:cs="Times New Roman"/>
                <w:color w:val="auto"/>
                <w:sz w:val="21"/>
                <w:szCs w:val="21"/>
              </w:rPr>
            </w:pPr>
          </w:p>
        </w:tc>
        <w:tc>
          <w:tcPr>
            <w:tcW w:w="357" w:type="pct"/>
            <w:vAlign w:val="center"/>
          </w:tcPr>
          <w:p>
            <w:pPr>
              <w:jc w:val="center"/>
              <w:rPr>
                <w:rFonts w:ascii="Times New Roman" w:hAnsi="Times New Roman" w:cs="Times New Roman"/>
                <w:color w:val="auto"/>
                <w:sz w:val="21"/>
                <w:szCs w:val="21"/>
              </w:rPr>
            </w:pPr>
          </w:p>
        </w:tc>
        <w:tc>
          <w:tcPr>
            <w:tcW w:w="402"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35.75</w:t>
            </w:r>
          </w:p>
        </w:tc>
        <w:tc>
          <w:tcPr>
            <w:tcW w:w="357" w:type="pct"/>
            <w:vMerge w:val="continue"/>
            <w:vAlign w:val="center"/>
          </w:tcPr>
          <w:p>
            <w:pPr>
              <w:jc w:val="center"/>
              <w:rPr>
                <w:rFonts w:ascii="Times New Roman" w:hAnsi="Times New Roman" w:cs="Times New Roman"/>
                <w:color w:val="auto"/>
                <w:sz w:val="21"/>
                <w:szCs w:val="21"/>
              </w:rPr>
            </w:pPr>
          </w:p>
        </w:tc>
        <w:tc>
          <w:tcPr>
            <w:tcW w:w="384" w:type="pct"/>
            <w:vAlign w:val="center"/>
          </w:tcPr>
          <w:p>
            <w:pPr>
              <w:jc w:val="center"/>
              <w:rPr>
                <w:rFonts w:ascii="Times New Roman" w:hAnsi="Times New Roman" w:cs="Times New Roman"/>
                <w:color w:val="auto"/>
                <w:sz w:val="21"/>
                <w:szCs w:val="21"/>
              </w:rPr>
            </w:pPr>
          </w:p>
        </w:tc>
        <w:tc>
          <w:tcPr>
            <w:tcW w:w="334" w:type="pct"/>
            <w:vMerge w:val="continue"/>
            <w:vAlign w:val="center"/>
          </w:tcPr>
          <w:p>
            <w:pPr>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357" w:type="pct"/>
            <w:vMerge w:val="continue"/>
            <w:vAlign w:val="center"/>
          </w:tcPr>
          <w:p>
            <w:pPr>
              <w:jc w:val="center"/>
              <w:rPr>
                <w:rFonts w:ascii="Times New Roman" w:hAnsi="Times New Roman" w:eastAsia="仿宋_GB2312" w:cs="Times New Roman"/>
                <w:color w:val="auto"/>
                <w:kern w:val="0"/>
                <w:sz w:val="21"/>
                <w:szCs w:val="21"/>
              </w:rPr>
            </w:pPr>
          </w:p>
        </w:tc>
        <w:tc>
          <w:tcPr>
            <w:tcW w:w="428" w:type="pct"/>
            <w:vMerge w:val="continue"/>
            <w:vAlign w:val="center"/>
          </w:tcPr>
          <w:p>
            <w:pPr>
              <w:jc w:val="center"/>
              <w:rPr>
                <w:rFonts w:ascii="Times New Roman" w:hAnsi="Times New Roman" w:eastAsia="仿宋_GB2312" w:cs="Times New Roman"/>
                <w:color w:val="auto"/>
                <w:kern w:val="0"/>
                <w:sz w:val="21"/>
                <w:szCs w:val="21"/>
              </w:rPr>
            </w:pPr>
          </w:p>
        </w:tc>
        <w:tc>
          <w:tcPr>
            <w:tcW w:w="428"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淤泥</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0.37</w:t>
            </w:r>
          </w:p>
        </w:tc>
        <w:tc>
          <w:tcPr>
            <w:tcW w:w="428" w:type="pct"/>
            <w:vAlign w:val="center"/>
          </w:tcPr>
          <w:p>
            <w:pPr>
              <w:jc w:val="center"/>
              <w:rPr>
                <w:rFonts w:ascii="Times New Roman" w:hAnsi="Times New Roman" w:cs="Times New Roman"/>
                <w:color w:val="auto"/>
                <w:sz w:val="21"/>
                <w:szCs w:val="21"/>
              </w:rPr>
            </w:pPr>
          </w:p>
        </w:tc>
        <w:tc>
          <w:tcPr>
            <w:tcW w:w="381" w:type="pct"/>
            <w:vAlign w:val="center"/>
          </w:tcPr>
          <w:p>
            <w:pPr>
              <w:jc w:val="center"/>
              <w:rPr>
                <w:rFonts w:ascii="Times New Roman" w:hAnsi="Times New Roman" w:cs="Times New Roman"/>
                <w:color w:val="auto"/>
                <w:sz w:val="21"/>
                <w:szCs w:val="21"/>
              </w:rPr>
            </w:pPr>
          </w:p>
        </w:tc>
        <w:tc>
          <w:tcPr>
            <w:tcW w:w="358" w:type="pct"/>
            <w:vAlign w:val="center"/>
          </w:tcPr>
          <w:p>
            <w:pPr>
              <w:jc w:val="center"/>
              <w:rPr>
                <w:rFonts w:ascii="Times New Roman" w:hAnsi="Times New Roman" w:cs="Times New Roman"/>
                <w:color w:val="auto"/>
                <w:sz w:val="21"/>
                <w:szCs w:val="21"/>
              </w:rPr>
            </w:pPr>
          </w:p>
        </w:tc>
        <w:tc>
          <w:tcPr>
            <w:tcW w:w="356"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0.37</w:t>
            </w:r>
          </w:p>
        </w:tc>
        <w:tc>
          <w:tcPr>
            <w:tcW w:w="357" w:type="pct"/>
            <w:vAlign w:val="center"/>
          </w:tcPr>
          <w:p>
            <w:pPr>
              <w:jc w:val="center"/>
              <w:rPr>
                <w:rFonts w:ascii="宋体" w:hAnsi="宋体" w:cs="宋体"/>
                <w:color w:val="auto"/>
                <w:sz w:val="21"/>
                <w:szCs w:val="21"/>
              </w:rPr>
            </w:pPr>
            <w:r>
              <w:rPr>
                <w:rFonts w:hint="eastAsia"/>
                <w:color w:val="auto"/>
                <w:sz w:val="21"/>
                <w:szCs w:val="21"/>
              </w:rPr>
              <w:t>③</w:t>
            </w:r>
          </w:p>
        </w:tc>
        <w:tc>
          <w:tcPr>
            <w:tcW w:w="402" w:type="pct"/>
            <w:vAlign w:val="center"/>
          </w:tcPr>
          <w:p>
            <w:pPr>
              <w:jc w:val="center"/>
              <w:rPr>
                <w:rFonts w:ascii="Times New Roman" w:hAnsi="Times New Roman" w:cs="Times New Roman"/>
                <w:color w:val="auto"/>
                <w:sz w:val="21"/>
                <w:szCs w:val="21"/>
              </w:rPr>
            </w:pPr>
          </w:p>
        </w:tc>
        <w:tc>
          <w:tcPr>
            <w:tcW w:w="357" w:type="pct"/>
            <w:vMerge w:val="continue"/>
            <w:vAlign w:val="center"/>
          </w:tcPr>
          <w:p>
            <w:pPr>
              <w:jc w:val="center"/>
              <w:rPr>
                <w:rFonts w:ascii="Times New Roman" w:hAnsi="Times New Roman" w:cs="Times New Roman"/>
                <w:color w:val="auto"/>
                <w:sz w:val="21"/>
                <w:szCs w:val="21"/>
              </w:rPr>
            </w:pPr>
          </w:p>
        </w:tc>
        <w:tc>
          <w:tcPr>
            <w:tcW w:w="384" w:type="pct"/>
            <w:vAlign w:val="center"/>
          </w:tcPr>
          <w:p>
            <w:pPr>
              <w:jc w:val="center"/>
              <w:rPr>
                <w:rFonts w:ascii="Times New Roman" w:hAnsi="Times New Roman" w:cs="Times New Roman"/>
                <w:color w:val="auto"/>
                <w:sz w:val="21"/>
                <w:szCs w:val="21"/>
              </w:rPr>
            </w:pPr>
          </w:p>
        </w:tc>
        <w:tc>
          <w:tcPr>
            <w:tcW w:w="334" w:type="pct"/>
            <w:vMerge w:val="continue"/>
            <w:vAlign w:val="center"/>
          </w:tcPr>
          <w:p>
            <w:pPr>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357" w:type="pct"/>
            <w:vMerge w:val="continue"/>
            <w:vAlign w:val="center"/>
          </w:tcPr>
          <w:p>
            <w:pPr>
              <w:jc w:val="center"/>
              <w:rPr>
                <w:rFonts w:ascii="Times New Roman" w:hAnsi="Times New Roman" w:eastAsia="仿宋_GB2312" w:cs="Times New Roman"/>
                <w:color w:val="auto"/>
                <w:kern w:val="0"/>
                <w:sz w:val="21"/>
                <w:szCs w:val="21"/>
              </w:rPr>
            </w:pPr>
          </w:p>
        </w:tc>
        <w:tc>
          <w:tcPr>
            <w:tcW w:w="428" w:type="pct"/>
            <w:vMerge w:val="continue"/>
            <w:vAlign w:val="center"/>
          </w:tcPr>
          <w:p>
            <w:pPr>
              <w:widowControl/>
              <w:jc w:val="center"/>
              <w:rPr>
                <w:rFonts w:ascii="Times New Roman" w:hAnsi="Times New Roman" w:eastAsia="仿宋_GB2312" w:cs="Times New Roman"/>
                <w:color w:val="auto"/>
                <w:kern w:val="0"/>
                <w:sz w:val="21"/>
                <w:szCs w:val="21"/>
              </w:rPr>
            </w:pPr>
          </w:p>
        </w:tc>
        <w:tc>
          <w:tcPr>
            <w:tcW w:w="428"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表土</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1.86</w:t>
            </w:r>
          </w:p>
        </w:tc>
        <w:tc>
          <w:tcPr>
            <w:tcW w:w="428" w:type="pct"/>
            <w:vAlign w:val="center"/>
          </w:tcPr>
          <w:p>
            <w:pPr>
              <w:jc w:val="center"/>
              <w:rPr>
                <w:rFonts w:ascii="Times New Roman" w:hAnsi="Times New Roman" w:cs="Times New Roman"/>
                <w:color w:val="auto"/>
                <w:sz w:val="21"/>
                <w:szCs w:val="21"/>
              </w:rPr>
            </w:pPr>
          </w:p>
        </w:tc>
        <w:tc>
          <w:tcPr>
            <w:tcW w:w="381" w:type="pct"/>
            <w:vAlign w:val="center"/>
          </w:tcPr>
          <w:p>
            <w:pPr>
              <w:jc w:val="center"/>
              <w:rPr>
                <w:rFonts w:ascii="Times New Roman" w:hAnsi="Times New Roman" w:cs="Times New Roman"/>
                <w:color w:val="auto"/>
                <w:sz w:val="21"/>
                <w:szCs w:val="21"/>
              </w:rPr>
            </w:pPr>
          </w:p>
        </w:tc>
        <w:tc>
          <w:tcPr>
            <w:tcW w:w="358" w:type="pct"/>
            <w:vAlign w:val="center"/>
          </w:tcPr>
          <w:p>
            <w:pPr>
              <w:jc w:val="center"/>
              <w:rPr>
                <w:rFonts w:ascii="Times New Roman" w:hAnsi="Times New Roman" w:cs="Times New Roman"/>
                <w:color w:val="auto"/>
                <w:sz w:val="21"/>
                <w:szCs w:val="21"/>
              </w:rPr>
            </w:pPr>
          </w:p>
        </w:tc>
        <w:tc>
          <w:tcPr>
            <w:tcW w:w="356"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1.86</w:t>
            </w:r>
          </w:p>
        </w:tc>
        <w:tc>
          <w:tcPr>
            <w:tcW w:w="357" w:type="pct"/>
            <w:vAlign w:val="center"/>
          </w:tcPr>
          <w:p>
            <w:pPr>
              <w:jc w:val="center"/>
              <w:rPr>
                <w:rFonts w:ascii="宋体" w:hAnsi="宋体" w:cs="宋体"/>
                <w:color w:val="auto"/>
                <w:sz w:val="21"/>
                <w:szCs w:val="21"/>
              </w:rPr>
            </w:pPr>
            <w:r>
              <w:rPr>
                <w:rFonts w:hint="eastAsia"/>
                <w:color w:val="auto"/>
                <w:sz w:val="21"/>
                <w:szCs w:val="21"/>
              </w:rPr>
              <w:t>③</w:t>
            </w:r>
          </w:p>
        </w:tc>
        <w:tc>
          <w:tcPr>
            <w:tcW w:w="402" w:type="pct"/>
            <w:vAlign w:val="center"/>
          </w:tcPr>
          <w:p>
            <w:pPr>
              <w:jc w:val="center"/>
              <w:rPr>
                <w:rFonts w:ascii="Times New Roman" w:hAnsi="Times New Roman" w:cs="Times New Roman"/>
                <w:color w:val="auto"/>
                <w:sz w:val="21"/>
                <w:szCs w:val="21"/>
              </w:rPr>
            </w:pPr>
          </w:p>
        </w:tc>
        <w:tc>
          <w:tcPr>
            <w:tcW w:w="357" w:type="pct"/>
            <w:vMerge w:val="continue"/>
            <w:vAlign w:val="center"/>
          </w:tcPr>
          <w:p>
            <w:pPr>
              <w:jc w:val="center"/>
              <w:rPr>
                <w:rFonts w:ascii="Times New Roman" w:hAnsi="Times New Roman" w:cs="Times New Roman"/>
                <w:color w:val="auto"/>
                <w:sz w:val="21"/>
                <w:szCs w:val="21"/>
              </w:rPr>
            </w:pPr>
          </w:p>
        </w:tc>
        <w:tc>
          <w:tcPr>
            <w:tcW w:w="384" w:type="pct"/>
            <w:vAlign w:val="center"/>
          </w:tcPr>
          <w:p>
            <w:pPr>
              <w:jc w:val="center"/>
              <w:rPr>
                <w:rFonts w:ascii="Times New Roman" w:hAnsi="Times New Roman" w:cs="Times New Roman"/>
                <w:color w:val="auto"/>
                <w:sz w:val="21"/>
                <w:szCs w:val="21"/>
              </w:rPr>
            </w:pPr>
          </w:p>
        </w:tc>
        <w:tc>
          <w:tcPr>
            <w:tcW w:w="334" w:type="pct"/>
            <w:vMerge w:val="continue"/>
            <w:vAlign w:val="center"/>
          </w:tcPr>
          <w:p>
            <w:pPr>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357" w:type="pct"/>
            <w:vMerge w:val="continue"/>
            <w:vAlign w:val="center"/>
          </w:tcPr>
          <w:p>
            <w:pPr>
              <w:jc w:val="center"/>
              <w:rPr>
                <w:rFonts w:ascii="Times New Roman" w:hAnsi="Times New Roman" w:eastAsia="仿宋_GB2312" w:cs="Times New Roman"/>
                <w:color w:val="auto"/>
                <w:kern w:val="0"/>
                <w:sz w:val="21"/>
                <w:szCs w:val="21"/>
              </w:rPr>
            </w:pPr>
          </w:p>
        </w:tc>
        <w:tc>
          <w:tcPr>
            <w:tcW w:w="428" w:type="pct"/>
            <w:vMerge w:val="continue"/>
            <w:vAlign w:val="center"/>
          </w:tcPr>
          <w:p>
            <w:pPr>
              <w:jc w:val="center"/>
              <w:rPr>
                <w:rFonts w:ascii="Times New Roman" w:hAnsi="Times New Roman" w:eastAsia="仿宋_GB2312" w:cs="Times New Roman"/>
                <w:color w:val="auto"/>
                <w:kern w:val="0"/>
                <w:sz w:val="21"/>
                <w:szCs w:val="21"/>
              </w:rPr>
            </w:pPr>
          </w:p>
        </w:tc>
        <w:tc>
          <w:tcPr>
            <w:tcW w:w="428"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小计</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4.16</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37.68</w:t>
            </w:r>
          </w:p>
        </w:tc>
        <w:tc>
          <w:tcPr>
            <w:tcW w:w="381"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w:t>
            </w:r>
          </w:p>
        </w:tc>
        <w:tc>
          <w:tcPr>
            <w:tcW w:w="358" w:type="pct"/>
            <w:vAlign w:val="center"/>
          </w:tcPr>
          <w:p>
            <w:pPr>
              <w:jc w:val="center"/>
              <w:rPr>
                <w:rFonts w:ascii="Times New Roman" w:hAnsi="Times New Roman" w:cs="Times New Roman"/>
                <w:color w:val="auto"/>
                <w:sz w:val="21"/>
                <w:szCs w:val="21"/>
              </w:rPr>
            </w:pPr>
          </w:p>
        </w:tc>
        <w:tc>
          <w:tcPr>
            <w:tcW w:w="356"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2.23</w:t>
            </w:r>
          </w:p>
        </w:tc>
        <w:tc>
          <w:tcPr>
            <w:tcW w:w="357" w:type="pct"/>
            <w:vAlign w:val="center"/>
          </w:tcPr>
          <w:p>
            <w:pPr>
              <w:jc w:val="center"/>
              <w:rPr>
                <w:rFonts w:ascii="Times New Roman" w:hAnsi="Times New Roman" w:cs="Times New Roman"/>
                <w:color w:val="auto"/>
                <w:sz w:val="21"/>
                <w:szCs w:val="21"/>
              </w:rPr>
            </w:pPr>
          </w:p>
        </w:tc>
        <w:tc>
          <w:tcPr>
            <w:tcW w:w="402"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35.75</w:t>
            </w:r>
          </w:p>
        </w:tc>
        <w:tc>
          <w:tcPr>
            <w:tcW w:w="357" w:type="pct"/>
            <w:vMerge w:val="continue"/>
            <w:vAlign w:val="center"/>
          </w:tcPr>
          <w:p>
            <w:pPr>
              <w:jc w:val="center"/>
              <w:rPr>
                <w:rFonts w:ascii="Times New Roman" w:hAnsi="Times New Roman" w:cs="Times New Roman"/>
                <w:color w:val="auto"/>
                <w:sz w:val="21"/>
                <w:szCs w:val="21"/>
              </w:rPr>
            </w:pPr>
          </w:p>
        </w:tc>
        <w:tc>
          <w:tcPr>
            <w:tcW w:w="384" w:type="pct"/>
            <w:vAlign w:val="center"/>
          </w:tcPr>
          <w:p>
            <w:pPr>
              <w:jc w:val="center"/>
              <w:rPr>
                <w:rFonts w:ascii="Times New Roman" w:hAnsi="Times New Roman" w:cs="Times New Roman"/>
                <w:color w:val="auto"/>
                <w:sz w:val="21"/>
                <w:szCs w:val="21"/>
              </w:rPr>
            </w:pPr>
          </w:p>
        </w:tc>
        <w:tc>
          <w:tcPr>
            <w:tcW w:w="334" w:type="pct"/>
            <w:vMerge w:val="continue"/>
            <w:vAlign w:val="center"/>
          </w:tcPr>
          <w:p>
            <w:pPr>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357" w:type="pct"/>
            <w:vMerge w:val="continue"/>
            <w:vAlign w:val="center"/>
          </w:tcPr>
          <w:p>
            <w:pPr>
              <w:jc w:val="center"/>
              <w:rPr>
                <w:rFonts w:ascii="Times New Roman" w:hAnsi="Times New Roman" w:eastAsia="仿宋_GB2312" w:cs="Times New Roman"/>
                <w:color w:val="auto"/>
                <w:kern w:val="0"/>
                <w:sz w:val="21"/>
                <w:szCs w:val="21"/>
              </w:rPr>
            </w:pPr>
          </w:p>
        </w:tc>
        <w:tc>
          <w:tcPr>
            <w:tcW w:w="428" w:type="pct"/>
            <w:vMerge w:val="restart"/>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绿地区</w:t>
            </w:r>
          </w:p>
        </w:tc>
        <w:tc>
          <w:tcPr>
            <w:tcW w:w="428"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土方</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3.2</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26.19</w:t>
            </w:r>
          </w:p>
        </w:tc>
        <w:tc>
          <w:tcPr>
            <w:tcW w:w="381" w:type="pct"/>
            <w:vAlign w:val="center"/>
          </w:tcPr>
          <w:p>
            <w:pPr>
              <w:jc w:val="center"/>
              <w:rPr>
                <w:rFonts w:ascii="Times New Roman" w:hAnsi="Times New Roman" w:cs="Times New Roman"/>
                <w:color w:val="auto"/>
                <w:sz w:val="21"/>
                <w:szCs w:val="21"/>
              </w:rPr>
            </w:pPr>
          </w:p>
        </w:tc>
        <w:tc>
          <w:tcPr>
            <w:tcW w:w="358" w:type="pct"/>
            <w:vAlign w:val="center"/>
          </w:tcPr>
          <w:p>
            <w:pPr>
              <w:jc w:val="center"/>
              <w:rPr>
                <w:rFonts w:ascii="Times New Roman" w:hAnsi="Times New Roman" w:cs="Times New Roman"/>
                <w:color w:val="auto"/>
                <w:sz w:val="21"/>
                <w:szCs w:val="21"/>
              </w:rPr>
            </w:pPr>
          </w:p>
        </w:tc>
        <w:tc>
          <w:tcPr>
            <w:tcW w:w="356" w:type="pct"/>
            <w:vAlign w:val="center"/>
          </w:tcPr>
          <w:p>
            <w:pPr>
              <w:jc w:val="center"/>
              <w:rPr>
                <w:rFonts w:ascii="Times New Roman" w:hAnsi="Times New Roman" w:cs="Times New Roman"/>
                <w:color w:val="auto"/>
                <w:sz w:val="21"/>
                <w:szCs w:val="21"/>
              </w:rPr>
            </w:pPr>
          </w:p>
        </w:tc>
        <w:tc>
          <w:tcPr>
            <w:tcW w:w="357" w:type="pct"/>
            <w:vAlign w:val="center"/>
          </w:tcPr>
          <w:p>
            <w:pPr>
              <w:jc w:val="center"/>
              <w:rPr>
                <w:rFonts w:ascii="Times New Roman" w:hAnsi="Times New Roman" w:cs="Times New Roman"/>
                <w:color w:val="auto"/>
                <w:sz w:val="21"/>
                <w:szCs w:val="21"/>
              </w:rPr>
            </w:pPr>
          </w:p>
        </w:tc>
        <w:tc>
          <w:tcPr>
            <w:tcW w:w="402"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22.99</w:t>
            </w:r>
          </w:p>
        </w:tc>
        <w:tc>
          <w:tcPr>
            <w:tcW w:w="357" w:type="pct"/>
            <w:vMerge w:val="continue"/>
            <w:vAlign w:val="center"/>
          </w:tcPr>
          <w:p>
            <w:pPr>
              <w:jc w:val="center"/>
              <w:rPr>
                <w:rFonts w:ascii="Times New Roman" w:hAnsi="Times New Roman" w:cs="Times New Roman"/>
                <w:color w:val="auto"/>
                <w:sz w:val="21"/>
                <w:szCs w:val="21"/>
              </w:rPr>
            </w:pPr>
          </w:p>
        </w:tc>
        <w:tc>
          <w:tcPr>
            <w:tcW w:w="384" w:type="pct"/>
            <w:vAlign w:val="center"/>
          </w:tcPr>
          <w:p>
            <w:pPr>
              <w:jc w:val="center"/>
              <w:rPr>
                <w:rFonts w:ascii="Times New Roman" w:hAnsi="Times New Roman" w:cs="Times New Roman"/>
                <w:color w:val="auto"/>
                <w:sz w:val="21"/>
                <w:szCs w:val="21"/>
              </w:rPr>
            </w:pPr>
          </w:p>
        </w:tc>
        <w:tc>
          <w:tcPr>
            <w:tcW w:w="334" w:type="pct"/>
            <w:vMerge w:val="continue"/>
            <w:vAlign w:val="center"/>
          </w:tcPr>
          <w:p>
            <w:pPr>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357" w:type="pct"/>
            <w:vMerge w:val="continue"/>
            <w:vAlign w:val="center"/>
          </w:tcPr>
          <w:p>
            <w:pPr>
              <w:jc w:val="center"/>
              <w:rPr>
                <w:rFonts w:ascii="Times New Roman" w:hAnsi="Times New Roman" w:eastAsia="仿宋_GB2312" w:cs="Times New Roman"/>
                <w:color w:val="auto"/>
                <w:kern w:val="0"/>
                <w:sz w:val="21"/>
                <w:szCs w:val="21"/>
              </w:rPr>
            </w:pPr>
          </w:p>
        </w:tc>
        <w:tc>
          <w:tcPr>
            <w:tcW w:w="428" w:type="pct"/>
            <w:vMerge w:val="continue"/>
            <w:vAlign w:val="center"/>
          </w:tcPr>
          <w:p>
            <w:pPr>
              <w:jc w:val="center"/>
              <w:rPr>
                <w:rFonts w:ascii="Times New Roman" w:hAnsi="Times New Roman" w:eastAsia="仿宋_GB2312" w:cs="Times New Roman"/>
                <w:color w:val="auto"/>
                <w:kern w:val="0"/>
                <w:sz w:val="21"/>
                <w:szCs w:val="21"/>
              </w:rPr>
            </w:pPr>
          </w:p>
        </w:tc>
        <w:tc>
          <w:tcPr>
            <w:tcW w:w="428"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淤泥</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0.21</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4.73</w:t>
            </w:r>
          </w:p>
        </w:tc>
        <w:tc>
          <w:tcPr>
            <w:tcW w:w="381"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4.52</w:t>
            </w:r>
          </w:p>
        </w:tc>
        <w:tc>
          <w:tcPr>
            <w:tcW w:w="358"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①②④⑤</w:t>
            </w:r>
          </w:p>
        </w:tc>
        <w:tc>
          <w:tcPr>
            <w:tcW w:w="356" w:type="pct"/>
            <w:vAlign w:val="center"/>
          </w:tcPr>
          <w:p>
            <w:pPr>
              <w:jc w:val="center"/>
              <w:rPr>
                <w:rFonts w:ascii="Times New Roman" w:hAnsi="Times New Roman" w:cs="Times New Roman"/>
                <w:color w:val="auto"/>
                <w:sz w:val="21"/>
                <w:szCs w:val="21"/>
              </w:rPr>
            </w:pPr>
          </w:p>
        </w:tc>
        <w:tc>
          <w:tcPr>
            <w:tcW w:w="357" w:type="pct"/>
            <w:vAlign w:val="center"/>
          </w:tcPr>
          <w:p>
            <w:pPr>
              <w:jc w:val="center"/>
              <w:rPr>
                <w:rFonts w:ascii="Times New Roman" w:hAnsi="Times New Roman" w:cs="Times New Roman"/>
                <w:color w:val="auto"/>
                <w:sz w:val="21"/>
                <w:szCs w:val="21"/>
              </w:rPr>
            </w:pPr>
          </w:p>
        </w:tc>
        <w:tc>
          <w:tcPr>
            <w:tcW w:w="402" w:type="pct"/>
            <w:vAlign w:val="center"/>
          </w:tcPr>
          <w:p>
            <w:pPr>
              <w:jc w:val="center"/>
              <w:rPr>
                <w:rFonts w:ascii="Times New Roman" w:hAnsi="Times New Roman" w:cs="Times New Roman"/>
                <w:color w:val="auto"/>
                <w:sz w:val="21"/>
                <w:szCs w:val="21"/>
              </w:rPr>
            </w:pPr>
          </w:p>
        </w:tc>
        <w:tc>
          <w:tcPr>
            <w:tcW w:w="357" w:type="pct"/>
            <w:vMerge w:val="continue"/>
            <w:vAlign w:val="center"/>
          </w:tcPr>
          <w:p>
            <w:pPr>
              <w:jc w:val="center"/>
              <w:rPr>
                <w:rFonts w:ascii="Times New Roman" w:hAnsi="Times New Roman" w:cs="Times New Roman"/>
                <w:color w:val="auto"/>
                <w:sz w:val="21"/>
                <w:szCs w:val="21"/>
              </w:rPr>
            </w:pPr>
          </w:p>
        </w:tc>
        <w:tc>
          <w:tcPr>
            <w:tcW w:w="384" w:type="pct"/>
            <w:vAlign w:val="center"/>
          </w:tcPr>
          <w:p>
            <w:pPr>
              <w:jc w:val="center"/>
              <w:rPr>
                <w:rFonts w:ascii="Times New Roman" w:hAnsi="Times New Roman" w:cs="Times New Roman"/>
                <w:color w:val="auto"/>
                <w:sz w:val="21"/>
                <w:szCs w:val="21"/>
              </w:rPr>
            </w:pPr>
          </w:p>
        </w:tc>
        <w:tc>
          <w:tcPr>
            <w:tcW w:w="334" w:type="pct"/>
            <w:vMerge w:val="continue"/>
            <w:vAlign w:val="center"/>
          </w:tcPr>
          <w:p>
            <w:pPr>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357" w:type="pct"/>
            <w:vMerge w:val="continue"/>
            <w:vAlign w:val="center"/>
          </w:tcPr>
          <w:p>
            <w:pPr>
              <w:jc w:val="center"/>
              <w:rPr>
                <w:rFonts w:ascii="Times New Roman" w:hAnsi="Times New Roman" w:eastAsia="仿宋_GB2312" w:cs="Times New Roman"/>
                <w:color w:val="auto"/>
                <w:kern w:val="0"/>
                <w:sz w:val="21"/>
                <w:szCs w:val="21"/>
              </w:rPr>
            </w:pPr>
          </w:p>
        </w:tc>
        <w:tc>
          <w:tcPr>
            <w:tcW w:w="428" w:type="pct"/>
            <w:vMerge w:val="continue"/>
            <w:vAlign w:val="center"/>
          </w:tcPr>
          <w:p>
            <w:pPr>
              <w:widowControl/>
              <w:jc w:val="center"/>
              <w:rPr>
                <w:rFonts w:ascii="Times New Roman" w:hAnsi="Times New Roman" w:eastAsia="仿宋_GB2312" w:cs="Times New Roman"/>
                <w:color w:val="auto"/>
                <w:kern w:val="0"/>
                <w:sz w:val="21"/>
                <w:szCs w:val="21"/>
              </w:rPr>
            </w:pPr>
          </w:p>
        </w:tc>
        <w:tc>
          <w:tcPr>
            <w:tcW w:w="428"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表土</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1.79</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4.8</w:t>
            </w:r>
            <w:r>
              <w:rPr>
                <w:rFonts w:hint="eastAsia" w:ascii="Times New Roman" w:hAnsi="Times New Roman" w:cs="Times New Roman"/>
                <w:color w:val="auto"/>
                <w:sz w:val="21"/>
                <w:szCs w:val="21"/>
              </w:rPr>
              <w:t>3</w:t>
            </w:r>
          </w:p>
        </w:tc>
        <w:tc>
          <w:tcPr>
            <w:tcW w:w="381"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3.0</w:t>
            </w:r>
            <w:r>
              <w:rPr>
                <w:rFonts w:hint="eastAsia" w:ascii="Times New Roman" w:hAnsi="Times New Roman" w:cs="Times New Roman"/>
                <w:color w:val="auto"/>
                <w:sz w:val="21"/>
                <w:szCs w:val="21"/>
              </w:rPr>
              <w:t>4</w:t>
            </w:r>
          </w:p>
        </w:tc>
        <w:tc>
          <w:tcPr>
            <w:tcW w:w="358"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①②④⑤</w:t>
            </w:r>
          </w:p>
        </w:tc>
        <w:tc>
          <w:tcPr>
            <w:tcW w:w="356" w:type="pct"/>
            <w:vAlign w:val="center"/>
          </w:tcPr>
          <w:p>
            <w:pPr>
              <w:jc w:val="center"/>
              <w:rPr>
                <w:rFonts w:ascii="Times New Roman" w:hAnsi="Times New Roman" w:cs="Times New Roman"/>
                <w:color w:val="auto"/>
                <w:sz w:val="21"/>
                <w:szCs w:val="21"/>
              </w:rPr>
            </w:pPr>
          </w:p>
        </w:tc>
        <w:tc>
          <w:tcPr>
            <w:tcW w:w="357" w:type="pct"/>
            <w:vAlign w:val="center"/>
          </w:tcPr>
          <w:p>
            <w:pPr>
              <w:jc w:val="center"/>
              <w:rPr>
                <w:rFonts w:ascii="Times New Roman" w:hAnsi="Times New Roman" w:cs="Times New Roman"/>
                <w:color w:val="auto"/>
                <w:sz w:val="21"/>
                <w:szCs w:val="21"/>
              </w:rPr>
            </w:pPr>
          </w:p>
        </w:tc>
        <w:tc>
          <w:tcPr>
            <w:tcW w:w="402" w:type="pct"/>
            <w:vAlign w:val="center"/>
          </w:tcPr>
          <w:p>
            <w:pPr>
              <w:jc w:val="center"/>
              <w:rPr>
                <w:rFonts w:ascii="Times New Roman" w:hAnsi="Times New Roman" w:cs="Times New Roman"/>
                <w:color w:val="auto"/>
                <w:sz w:val="21"/>
                <w:szCs w:val="21"/>
              </w:rPr>
            </w:pPr>
          </w:p>
        </w:tc>
        <w:tc>
          <w:tcPr>
            <w:tcW w:w="357" w:type="pct"/>
            <w:vMerge w:val="continue"/>
            <w:vAlign w:val="center"/>
          </w:tcPr>
          <w:p>
            <w:pPr>
              <w:jc w:val="center"/>
              <w:rPr>
                <w:rFonts w:ascii="Times New Roman" w:hAnsi="Times New Roman" w:cs="Times New Roman"/>
                <w:color w:val="auto"/>
                <w:sz w:val="21"/>
                <w:szCs w:val="21"/>
              </w:rPr>
            </w:pPr>
          </w:p>
        </w:tc>
        <w:tc>
          <w:tcPr>
            <w:tcW w:w="384" w:type="pct"/>
            <w:vAlign w:val="center"/>
          </w:tcPr>
          <w:p>
            <w:pPr>
              <w:jc w:val="center"/>
              <w:rPr>
                <w:rFonts w:ascii="Times New Roman" w:hAnsi="Times New Roman" w:cs="Times New Roman"/>
                <w:color w:val="auto"/>
                <w:sz w:val="21"/>
                <w:szCs w:val="21"/>
              </w:rPr>
            </w:pPr>
          </w:p>
        </w:tc>
        <w:tc>
          <w:tcPr>
            <w:tcW w:w="334" w:type="pct"/>
            <w:vMerge w:val="continue"/>
            <w:vAlign w:val="center"/>
          </w:tcPr>
          <w:p>
            <w:pPr>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357" w:type="pct"/>
            <w:vMerge w:val="continue"/>
            <w:vAlign w:val="center"/>
          </w:tcPr>
          <w:p>
            <w:pPr>
              <w:jc w:val="center"/>
              <w:rPr>
                <w:rFonts w:ascii="Times New Roman" w:hAnsi="Times New Roman" w:eastAsia="仿宋_GB2312" w:cs="Times New Roman"/>
                <w:color w:val="auto"/>
                <w:kern w:val="0"/>
                <w:sz w:val="21"/>
                <w:szCs w:val="21"/>
              </w:rPr>
            </w:pPr>
          </w:p>
        </w:tc>
        <w:tc>
          <w:tcPr>
            <w:tcW w:w="428" w:type="pct"/>
            <w:vMerge w:val="continue"/>
            <w:vAlign w:val="center"/>
          </w:tcPr>
          <w:p>
            <w:pPr>
              <w:jc w:val="center"/>
              <w:rPr>
                <w:rFonts w:ascii="Times New Roman" w:hAnsi="Times New Roman" w:eastAsia="仿宋_GB2312" w:cs="Times New Roman"/>
                <w:color w:val="auto"/>
                <w:kern w:val="0"/>
                <w:sz w:val="21"/>
                <w:szCs w:val="21"/>
              </w:rPr>
            </w:pPr>
          </w:p>
        </w:tc>
        <w:tc>
          <w:tcPr>
            <w:tcW w:w="428"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小计</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5.2</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35.7</w:t>
            </w:r>
            <w:r>
              <w:rPr>
                <w:rFonts w:hint="eastAsia" w:ascii="Times New Roman" w:hAnsi="Times New Roman" w:cs="Times New Roman"/>
                <w:color w:val="auto"/>
                <w:sz w:val="21"/>
                <w:szCs w:val="21"/>
              </w:rPr>
              <w:t>5</w:t>
            </w:r>
          </w:p>
        </w:tc>
        <w:tc>
          <w:tcPr>
            <w:tcW w:w="381"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7.5</w:t>
            </w:r>
            <w:r>
              <w:rPr>
                <w:rFonts w:hint="eastAsia" w:ascii="Times New Roman" w:hAnsi="Times New Roman" w:cs="Times New Roman"/>
                <w:color w:val="auto"/>
                <w:sz w:val="21"/>
                <w:szCs w:val="21"/>
              </w:rPr>
              <w:t>6</w:t>
            </w:r>
          </w:p>
        </w:tc>
        <w:tc>
          <w:tcPr>
            <w:tcW w:w="358" w:type="pct"/>
            <w:vAlign w:val="center"/>
          </w:tcPr>
          <w:p>
            <w:pPr>
              <w:jc w:val="center"/>
              <w:rPr>
                <w:rFonts w:ascii="Times New Roman" w:hAnsi="Times New Roman" w:cs="Times New Roman"/>
                <w:color w:val="auto"/>
                <w:sz w:val="21"/>
                <w:szCs w:val="21"/>
              </w:rPr>
            </w:pPr>
          </w:p>
        </w:tc>
        <w:tc>
          <w:tcPr>
            <w:tcW w:w="356"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w:t>
            </w:r>
          </w:p>
        </w:tc>
        <w:tc>
          <w:tcPr>
            <w:tcW w:w="357" w:type="pct"/>
            <w:vAlign w:val="center"/>
          </w:tcPr>
          <w:p>
            <w:pPr>
              <w:jc w:val="center"/>
              <w:rPr>
                <w:rFonts w:ascii="Times New Roman" w:hAnsi="Times New Roman" w:cs="Times New Roman"/>
                <w:color w:val="auto"/>
                <w:sz w:val="21"/>
                <w:szCs w:val="21"/>
              </w:rPr>
            </w:pPr>
          </w:p>
        </w:tc>
        <w:tc>
          <w:tcPr>
            <w:tcW w:w="402"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22.99</w:t>
            </w:r>
          </w:p>
        </w:tc>
        <w:tc>
          <w:tcPr>
            <w:tcW w:w="357" w:type="pct"/>
            <w:vMerge w:val="continue"/>
            <w:vAlign w:val="center"/>
          </w:tcPr>
          <w:p>
            <w:pPr>
              <w:jc w:val="center"/>
              <w:rPr>
                <w:rFonts w:ascii="Times New Roman" w:hAnsi="Times New Roman" w:cs="Times New Roman"/>
                <w:color w:val="auto"/>
                <w:sz w:val="21"/>
                <w:szCs w:val="21"/>
              </w:rPr>
            </w:pPr>
          </w:p>
        </w:tc>
        <w:tc>
          <w:tcPr>
            <w:tcW w:w="384" w:type="pct"/>
            <w:vAlign w:val="center"/>
          </w:tcPr>
          <w:p>
            <w:pPr>
              <w:jc w:val="center"/>
              <w:rPr>
                <w:rFonts w:ascii="Times New Roman" w:hAnsi="Times New Roman" w:cs="Times New Roman"/>
                <w:color w:val="auto"/>
                <w:sz w:val="21"/>
                <w:szCs w:val="21"/>
              </w:rPr>
            </w:pPr>
          </w:p>
        </w:tc>
        <w:tc>
          <w:tcPr>
            <w:tcW w:w="334" w:type="pct"/>
            <w:vMerge w:val="continue"/>
            <w:vAlign w:val="center"/>
          </w:tcPr>
          <w:p>
            <w:pPr>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357" w:type="pct"/>
            <w:vMerge w:val="restar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区域规划</w:t>
            </w:r>
            <w:r>
              <w:rPr>
                <w:rFonts w:hint="eastAsia" w:ascii="Times New Roman" w:hAnsi="Times New Roman" w:eastAsia="仿宋_GB2312" w:cs="Times New Roman"/>
                <w:color w:val="auto"/>
                <w:kern w:val="0"/>
                <w:sz w:val="21"/>
                <w:szCs w:val="21"/>
              </w:rPr>
              <w:t>功能</w:t>
            </w:r>
            <w:r>
              <w:rPr>
                <w:rFonts w:ascii="Times New Roman" w:hAnsi="Times New Roman" w:eastAsia="仿宋_GB2312" w:cs="Times New Roman"/>
                <w:color w:val="auto"/>
                <w:kern w:val="0"/>
                <w:sz w:val="21"/>
                <w:szCs w:val="21"/>
              </w:rPr>
              <w:t>区</w:t>
            </w:r>
          </w:p>
        </w:tc>
        <w:tc>
          <w:tcPr>
            <w:tcW w:w="428" w:type="pct"/>
            <w:vMerge w:val="restar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工业用地区</w:t>
            </w:r>
          </w:p>
        </w:tc>
        <w:tc>
          <w:tcPr>
            <w:tcW w:w="428"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土方</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6.05</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40.27</w:t>
            </w:r>
          </w:p>
        </w:tc>
        <w:tc>
          <w:tcPr>
            <w:tcW w:w="381"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2.54</w:t>
            </w:r>
          </w:p>
        </w:tc>
        <w:tc>
          <w:tcPr>
            <w:tcW w:w="358"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①</w:t>
            </w:r>
          </w:p>
        </w:tc>
        <w:tc>
          <w:tcPr>
            <w:tcW w:w="356" w:type="pct"/>
            <w:vAlign w:val="center"/>
          </w:tcPr>
          <w:p>
            <w:pPr>
              <w:jc w:val="center"/>
              <w:rPr>
                <w:rFonts w:ascii="Times New Roman" w:hAnsi="Times New Roman" w:cs="Times New Roman"/>
                <w:color w:val="auto"/>
                <w:sz w:val="21"/>
                <w:szCs w:val="21"/>
              </w:rPr>
            </w:pPr>
          </w:p>
        </w:tc>
        <w:tc>
          <w:tcPr>
            <w:tcW w:w="357" w:type="pct"/>
            <w:vAlign w:val="center"/>
          </w:tcPr>
          <w:p>
            <w:pPr>
              <w:jc w:val="center"/>
              <w:rPr>
                <w:rFonts w:ascii="Times New Roman" w:hAnsi="Times New Roman" w:cs="Times New Roman"/>
                <w:color w:val="auto"/>
                <w:sz w:val="21"/>
                <w:szCs w:val="21"/>
              </w:rPr>
            </w:pPr>
          </w:p>
        </w:tc>
        <w:tc>
          <w:tcPr>
            <w:tcW w:w="402"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31.68</w:t>
            </w:r>
          </w:p>
        </w:tc>
        <w:tc>
          <w:tcPr>
            <w:tcW w:w="357" w:type="pct"/>
            <w:vMerge w:val="continue"/>
            <w:vAlign w:val="center"/>
          </w:tcPr>
          <w:p>
            <w:pPr>
              <w:jc w:val="center"/>
              <w:rPr>
                <w:rFonts w:ascii="Times New Roman" w:hAnsi="Times New Roman" w:cs="Times New Roman"/>
                <w:color w:val="auto"/>
                <w:sz w:val="21"/>
                <w:szCs w:val="21"/>
              </w:rPr>
            </w:pPr>
          </w:p>
        </w:tc>
        <w:tc>
          <w:tcPr>
            <w:tcW w:w="384" w:type="pct"/>
            <w:vAlign w:val="center"/>
          </w:tcPr>
          <w:p>
            <w:pPr>
              <w:jc w:val="center"/>
              <w:rPr>
                <w:rFonts w:ascii="Times New Roman" w:hAnsi="Times New Roman" w:cs="Times New Roman"/>
                <w:color w:val="auto"/>
                <w:sz w:val="21"/>
                <w:szCs w:val="21"/>
              </w:rPr>
            </w:pPr>
          </w:p>
        </w:tc>
        <w:tc>
          <w:tcPr>
            <w:tcW w:w="334" w:type="pct"/>
            <w:vMerge w:val="continue"/>
            <w:vAlign w:val="center"/>
          </w:tcPr>
          <w:p>
            <w:pPr>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357" w:type="pct"/>
            <w:vMerge w:val="continue"/>
            <w:vAlign w:val="center"/>
          </w:tcPr>
          <w:p>
            <w:pPr>
              <w:jc w:val="center"/>
              <w:rPr>
                <w:rFonts w:ascii="Times New Roman" w:hAnsi="Times New Roman" w:eastAsia="仿宋_GB2312" w:cs="Times New Roman"/>
                <w:color w:val="auto"/>
                <w:kern w:val="0"/>
                <w:sz w:val="21"/>
                <w:szCs w:val="21"/>
              </w:rPr>
            </w:pPr>
          </w:p>
        </w:tc>
        <w:tc>
          <w:tcPr>
            <w:tcW w:w="428" w:type="pct"/>
            <w:vMerge w:val="continue"/>
            <w:vAlign w:val="center"/>
          </w:tcPr>
          <w:p>
            <w:pPr>
              <w:jc w:val="center"/>
              <w:rPr>
                <w:rFonts w:ascii="Times New Roman" w:hAnsi="Times New Roman" w:eastAsia="仿宋_GB2312" w:cs="Times New Roman"/>
                <w:color w:val="auto"/>
                <w:kern w:val="0"/>
                <w:sz w:val="21"/>
                <w:szCs w:val="21"/>
              </w:rPr>
            </w:pPr>
          </w:p>
        </w:tc>
        <w:tc>
          <w:tcPr>
            <w:tcW w:w="428"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淤泥</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3.41</w:t>
            </w:r>
          </w:p>
        </w:tc>
        <w:tc>
          <w:tcPr>
            <w:tcW w:w="428" w:type="pct"/>
            <w:vAlign w:val="center"/>
          </w:tcPr>
          <w:p>
            <w:pPr>
              <w:jc w:val="center"/>
              <w:rPr>
                <w:rFonts w:ascii="Times New Roman" w:hAnsi="Times New Roman" w:cs="Times New Roman"/>
                <w:color w:val="auto"/>
                <w:sz w:val="21"/>
                <w:szCs w:val="21"/>
              </w:rPr>
            </w:pPr>
          </w:p>
        </w:tc>
        <w:tc>
          <w:tcPr>
            <w:tcW w:w="381" w:type="pct"/>
            <w:vAlign w:val="center"/>
          </w:tcPr>
          <w:p>
            <w:pPr>
              <w:jc w:val="center"/>
              <w:rPr>
                <w:rFonts w:ascii="Times New Roman" w:hAnsi="Times New Roman" w:cs="Times New Roman"/>
                <w:color w:val="auto"/>
                <w:sz w:val="21"/>
                <w:szCs w:val="21"/>
              </w:rPr>
            </w:pPr>
          </w:p>
        </w:tc>
        <w:tc>
          <w:tcPr>
            <w:tcW w:w="358" w:type="pct"/>
            <w:vAlign w:val="center"/>
          </w:tcPr>
          <w:p>
            <w:pPr>
              <w:jc w:val="center"/>
              <w:rPr>
                <w:rFonts w:ascii="Times New Roman" w:hAnsi="Times New Roman" w:cs="Times New Roman"/>
                <w:color w:val="auto"/>
                <w:sz w:val="21"/>
                <w:szCs w:val="21"/>
              </w:rPr>
            </w:pPr>
          </w:p>
        </w:tc>
        <w:tc>
          <w:tcPr>
            <w:tcW w:w="356"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3.41</w:t>
            </w:r>
          </w:p>
        </w:tc>
        <w:tc>
          <w:tcPr>
            <w:tcW w:w="357"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③</w:t>
            </w:r>
          </w:p>
        </w:tc>
        <w:tc>
          <w:tcPr>
            <w:tcW w:w="402" w:type="pct"/>
            <w:vAlign w:val="center"/>
          </w:tcPr>
          <w:p>
            <w:pPr>
              <w:jc w:val="center"/>
              <w:rPr>
                <w:rFonts w:ascii="Times New Roman" w:hAnsi="Times New Roman" w:cs="Times New Roman"/>
                <w:color w:val="auto"/>
                <w:sz w:val="21"/>
                <w:szCs w:val="21"/>
              </w:rPr>
            </w:pPr>
          </w:p>
        </w:tc>
        <w:tc>
          <w:tcPr>
            <w:tcW w:w="357" w:type="pct"/>
            <w:vMerge w:val="continue"/>
            <w:vAlign w:val="center"/>
          </w:tcPr>
          <w:p>
            <w:pPr>
              <w:jc w:val="center"/>
              <w:rPr>
                <w:rFonts w:ascii="Times New Roman" w:hAnsi="Times New Roman" w:cs="Times New Roman"/>
                <w:color w:val="auto"/>
                <w:sz w:val="21"/>
                <w:szCs w:val="21"/>
              </w:rPr>
            </w:pPr>
          </w:p>
        </w:tc>
        <w:tc>
          <w:tcPr>
            <w:tcW w:w="384" w:type="pct"/>
            <w:vAlign w:val="center"/>
          </w:tcPr>
          <w:p>
            <w:pPr>
              <w:jc w:val="center"/>
              <w:rPr>
                <w:rFonts w:ascii="Times New Roman" w:hAnsi="Times New Roman" w:cs="Times New Roman"/>
                <w:color w:val="auto"/>
                <w:sz w:val="21"/>
                <w:szCs w:val="21"/>
              </w:rPr>
            </w:pPr>
          </w:p>
        </w:tc>
        <w:tc>
          <w:tcPr>
            <w:tcW w:w="334" w:type="pct"/>
            <w:vMerge w:val="continue"/>
            <w:vAlign w:val="center"/>
          </w:tcPr>
          <w:p>
            <w:pPr>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357" w:type="pct"/>
            <w:vMerge w:val="continue"/>
            <w:vAlign w:val="center"/>
          </w:tcPr>
          <w:p>
            <w:pPr>
              <w:jc w:val="center"/>
              <w:rPr>
                <w:rFonts w:ascii="Times New Roman" w:hAnsi="Times New Roman" w:eastAsia="仿宋_GB2312" w:cs="Times New Roman"/>
                <w:color w:val="auto"/>
                <w:kern w:val="0"/>
                <w:sz w:val="21"/>
                <w:szCs w:val="21"/>
              </w:rPr>
            </w:pPr>
          </w:p>
        </w:tc>
        <w:tc>
          <w:tcPr>
            <w:tcW w:w="428" w:type="pct"/>
            <w:vMerge w:val="continue"/>
            <w:vAlign w:val="center"/>
          </w:tcPr>
          <w:p>
            <w:pPr>
              <w:jc w:val="center"/>
              <w:rPr>
                <w:rFonts w:ascii="Times New Roman" w:hAnsi="Times New Roman" w:eastAsia="仿宋_GB2312" w:cs="Times New Roman"/>
                <w:color w:val="auto"/>
                <w:kern w:val="0"/>
                <w:sz w:val="21"/>
                <w:szCs w:val="21"/>
              </w:rPr>
            </w:pPr>
          </w:p>
        </w:tc>
        <w:tc>
          <w:tcPr>
            <w:tcW w:w="428"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表土</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0.27</w:t>
            </w:r>
          </w:p>
        </w:tc>
        <w:tc>
          <w:tcPr>
            <w:tcW w:w="428" w:type="pct"/>
            <w:vAlign w:val="center"/>
          </w:tcPr>
          <w:p>
            <w:pPr>
              <w:jc w:val="center"/>
              <w:rPr>
                <w:rFonts w:ascii="Times New Roman" w:hAnsi="Times New Roman" w:cs="Times New Roman"/>
                <w:color w:val="auto"/>
                <w:sz w:val="21"/>
                <w:szCs w:val="21"/>
              </w:rPr>
            </w:pPr>
          </w:p>
        </w:tc>
        <w:tc>
          <w:tcPr>
            <w:tcW w:w="381" w:type="pct"/>
            <w:vAlign w:val="center"/>
          </w:tcPr>
          <w:p>
            <w:pPr>
              <w:jc w:val="center"/>
              <w:rPr>
                <w:rFonts w:ascii="Times New Roman" w:hAnsi="Times New Roman" w:cs="Times New Roman"/>
                <w:color w:val="auto"/>
                <w:sz w:val="21"/>
                <w:szCs w:val="21"/>
              </w:rPr>
            </w:pPr>
          </w:p>
        </w:tc>
        <w:tc>
          <w:tcPr>
            <w:tcW w:w="358" w:type="pct"/>
            <w:vAlign w:val="center"/>
          </w:tcPr>
          <w:p>
            <w:pPr>
              <w:jc w:val="center"/>
              <w:rPr>
                <w:rFonts w:ascii="Times New Roman" w:hAnsi="Times New Roman" w:cs="Times New Roman"/>
                <w:color w:val="auto"/>
                <w:sz w:val="21"/>
                <w:szCs w:val="21"/>
              </w:rPr>
            </w:pPr>
          </w:p>
        </w:tc>
        <w:tc>
          <w:tcPr>
            <w:tcW w:w="356"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0.27</w:t>
            </w:r>
          </w:p>
        </w:tc>
        <w:tc>
          <w:tcPr>
            <w:tcW w:w="357"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③</w:t>
            </w:r>
          </w:p>
        </w:tc>
        <w:tc>
          <w:tcPr>
            <w:tcW w:w="402" w:type="pct"/>
            <w:vAlign w:val="center"/>
          </w:tcPr>
          <w:p>
            <w:pPr>
              <w:jc w:val="center"/>
              <w:rPr>
                <w:rFonts w:ascii="Times New Roman" w:hAnsi="Times New Roman" w:cs="Times New Roman"/>
                <w:color w:val="auto"/>
                <w:sz w:val="21"/>
                <w:szCs w:val="21"/>
              </w:rPr>
            </w:pPr>
          </w:p>
        </w:tc>
        <w:tc>
          <w:tcPr>
            <w:tcW w:w="357" w:type="pct"/>
            <w:vMerge w:val="continue"/>
            <w:vAlign w:val="center"/>
          </w:tcPr>
          <w:p>
            <w:pPr>
              <w:jc w:val="center"/>
              <w:rPr>
                <w:rFonts w:ascii="Times New Roman" w:hAnsi="Times New Roman" w:cs="Times New Roman"/>
                <w:color w:val="auto"/>
                <w:sz w:val="21"/>
                <w:szCs w:val="21"/>
              </w:rPr>
            </w:pPr>
          </w:p>
        </w:tc>
        <w:tc>
          <w:tcPr>
            <w:tcW w:w="384" w:type="pct"/>
            <w:vAlign w:val="center"/>
          </w:tcPr>
          <w:p>
            <w:pPr>
              <w:jc w:val="center"/>
              <w:rPr>
                <w:rFonts w:ascii="Times New Roman" w:hAnsi="Times New Roman" w:cs="Times New Roman"/>
                <w:color w:val="auto"/>
                <w:sz w:val="21"/>
                <w:szCs w:val="21"/>
              </w:rPr>
            </w:pPr>
          </w:p>
        </w:tc>
        <w:tc>
          <w:tcPr>
            <w:tcW w:w="334" w:type="pct"/>
            <w:vMerge w:val="continue"/>
            <w:vAlign w:val="center"/>
          </w:tcPr>
          <w:p>
            <w:pPr>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357" w:type="pct"/>
            <w:vMerge w:val="continue"/>
            <w:vAlign w:val="center"/>
          </w:tcPr>
          <w:p>
            <w:pPr>
              <w:jc w:val="center"/>
              <w:rPr>
                <w:rFonts w:ascii="Times New Roman" w:hAnsi="Times New Roman" w:eastAsia="仿宋_GB2312" w:cs="Times New Roman"/>
                <w:color w:val="auto"/>
                <w:kern w:val="0"/>
                <w:sz w:val="21"/>
                <w:szCs w:val="21"/>
              </w:rPr>
            </w:pPr>
          </w:p>
        </w:tc>
        <w:tc>
          <w:tcPr>
            <w:tcW w:w="428" w:type="pct"/>
            <w:vMerge w:val="continue"/>
            <w:vAlign w:val="center"/>
          </w:tcPr>
          <w:p>
            <w:pPr>
              <w:jc w:val="center"/>
              <w:rPr>
                <w:rFonts w:ascii="Times New Roman" w:hAnsi="Times New Roman" w:eastAsia="仿宋_GB2312" w:cs="Times New Roman"/>
                <w:color w:val="auto"/>
                <w:kern w:val="0"/>
                <w:sz w:val="21"/>
                <w:szCs w:val="21"/>
              </w:rPr>
            </w:pPr>
          </w:p>
        </w:tc>
        <w:tc>
          <w:tcPr>
            <w:tcW w:w="428"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小计</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9.73</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40.27</w:t>
            </w:r>
          </w:p>
        </w:tc>
        <w:tc>
          <w:tcPr>
            <w:tcW w:w="381"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2.54</w:t>
            </w:r>
          </w:p>
        </w:tc>
        <w:tc>
          <w:tcPr>
            <w:tcW w:w="358" w:type="pct"/>
            <w:vAlign w:val="center"/>
          </w:tcPr>
          <w:p>
            <w:pPr>
              <w:jc w:val="center"/>
              <w:rPr>
                <w:rFonts w:ascii="Times New Roman" w:hAnsi="Times New Roman" w:cs="Times New Roman"/>
                <w:color w:val="auto"/>
                <w:sz w:val="21"/>
                <w:szCs w:val="21"/>
              </w:rPr>
            </w:pPr>
          </w:p>
        </w:tc>
        <w:tc>
          <w:tcPr>
            <w:tcW w:w="356"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3.68</w:t>
            </w:r>
          </w:p>
        </w:tc>
        <w:tc>
          <w:tcPr>
            <w:tcW w:w="357" w:type="pct"/>
            <w:vAlign w:val="center"/>
          </w:tcPr>
          <w:p>
            <w:pPr>
              <w:jc w:val="center"/>
              <w:rPr>
                <w:rFonts w:ascii="Times New Roman" w:hAnsi="Times New Roman" w:cs="Times New Roman"/>
                <w:color w:val="auto"/>
                <w:sz w:val="21"/>
                <w:szCs w:val="21"/>
              </w:rPr>
            </w:pPr>
          </w:p>
        </w:tc>
        <w:tc>
          <w:tcPr>
            <w:tcW w:w="402"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31.68</w:t>
            </w:r>
          </w:p>
        </w:tc>
        <w:tc>
          <w:tcPr>
            <w:tcW w:w="357" w:type="pct"/>
            <w:vMerge w:val="continue"/>
            <w:vAlign w:val="center"/>
          </w:tcPr>
          <w:p>
            <w:pPr>
              <w:jc w:val="center"/>
              <w:rPr>
                <w:rFonts w:ascii="Times New Roman" w:hAnsi="Times New Roman" w:cs="Times New Roman"/>
                <w:color w:val="auto"/>
                <w:sz w:val="21"/>
                <w:szCs w:val="21"/>
              </w:rPr>
            </w:pPr>
          </w:p>
        </w:tc>
        <w:tc>
          <w:tcPr>
            <w:tcW w:w="384" w:type="pct"/>
            <w:vAlign w:val="center"/>
          </w:tcPr>
          <w:p>
            <w:pPr>
              <w:jc w:val="center"/>
              <w:rPr>
                <w:rFonts w:ascii="Times New Roman" w:hAnsi="Times New Roman" w:cs="Times New Roman"/>
                <w:color w:val="auto"/>
                <w:sz w:val="21"/>
                <w:szCs w:val="21"/>
              </w:rPr>
            </w:pPr>
          </w:p>
        </w:tc>
        <w:tc>
          <w:tcPr>
            <w:tcW w:w="334" w:type="pct"/>
            <w:vMerge w:val="continue"/>
            <w:vAlign w:val="center"/>
          </w:tcPr>
          <w:p>
            <w:pPr>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357" w:type="pct"/>
            <w:vMerge w:val="continue"/>
            <w:vAlign w:val="center"/>
          </w:tcPr>
          <w:p>
            <w:pPr>
              <w:jc w:val="center"/>
              <w:rPr>
                <w:rFonts w:ascii="Times New Roman" w:hAnsi="Times New Roman" w:eastAsia="仿宋_GB2312" w:cs="Times New Roman"/>
                <w:color w:val="auto"/>
                <w:kern w:val="0"/>
                <w:sz w:val="21"/>
                <w:szCs w:val="21"/>
              </w:rPr>
            </w:pPr>
          </w:p>
        </w:tc>
        <w:tc>
          <w:tcPr>
            <w:tcW w:w="428" w:type="pct"/>
            <w:vMerge w:val="restar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商业用地区</w:t>
            </w:r>
          </w:p>
        </w:tc>
        <w:tc>
          <w:tcPr>
            <w:tcW w:w="428"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土方</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0.23</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2.42</w:t>
            </w:r>
          </w:p>
        </w:tc>
        <w:tc>
          <w:tcPr>
            <w:tcW w:w="381" w:type="pct"/>
            <w:vAlign w:val="center"/>
          </w:tcPr>
          <w:p>
            <w:pPr>
              <w:jc w:val="center"/>
              <w:rPr>
                <w:rFonts w:ascii="Times New Roman" w:hAnsi="Times New Roman" w:cs="Times New Roman"/>
                <w:color w:val="auto"/>
                <w:sz w:val="21"/>
                <w:szCs w:val="21"/>
              </w:rPr>
            </w:pPr>
          </w:p>
        </w:tc>
        <w:tc>
          <w:tcPr>
            <w:tcW w:w="358" w:type="pct"/>
            <w:vAlign w:val="center"/>
          </w:tcPr>
          <w:p>
            <w:pPr>
              <w:jc w:val="center"/>
              <w:rPr>
                <w:rFonts w:ascii="Times New Roman" w:hAnsi="Times New Roman" w:cs="Times New Roman"/>
                <w:color w:val="auto"/>
                <w:sz w:val="21"/>
                <w:szCs w:val="21"/>
              </w:rPr>
            </w:pPr>
          </w:p>
        </w:tc>
        <w:tc>
          <w:tcPr>
            <w:tcW w:w="356" w:type="pct"/>
            <w:vAlign w:val="center"/>
          </w:tcPr>
          <w:p>
            <w:pPr>
              <w:jc w:val="center"/>
              <w:rPr>
                <w:rFonts w:ascii="Times New Roman" w:hAnsi="Times New Roman" w:cs="Times New Roman"/>
                <w:color w:val="auto"/>
                <w:sz w:val="21"/>
                <w:szCs w:val="21"/>
              </w:rPr>
            </w:pPr>
          </w:p>
        </w:tc>
        <w:tc>
          <w:tcPr>
            <w:tcW w:w="357" w:type="pct"/>
            <w:vAlign w:val="center"/>
          </w:tcPr>
          <w:p>
            <w:pPr>
              <w:jc w:val="center"/>
              <w:rPr>
                <w:rFonts w:ascii="Times New Roman" w:hAnsi="Times New Roman" w:cs="Times New Roman"/>
                <w:color w:val="auto"/>
                <w:sz w:val="21"/>
                <w:szCs w:val="21"/>
              </w:rPr>
            </w:pPr>
          </w:p>
        </w:tc>
        <w:tc>
          <w:tcPr>
            <w:tcW w:w="402"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2.19</w:t>
            </w:r>
          </w:p>
        </w:tc>
        <w:tc>
          <w:tcPr>
            <w:tcW w:w="357" w:type="pct"/>
            <w:vMerge w:val="continue"/>
            <w:vAlign w:val="center"/>
          </w:tcPr>
          <w:p>
            <w:pPr>
              <w:jc w:val="center"/>
              <w:rPr>
                <w:rFonts w:ascii="Times New Roman" w:hAnsi="Times New Roman" w:cs="Times New Roman"/>
                <w:color w:val="auto"/>
                <w:sz w:val="21"/>
                <w:szCs w:val="21"/>
              </w:rPr>
            </w:pPr>
          </w:p>
        </w:tc>
        <w:tc>
          <w:tcPr>
            <w:tcW w:w="384" w:type="pct"/>
            <w:vAlign w:val="center"/>
          </w:tcPr>
          <w:p>
            <w:pPr>
              <w:jc w:val="center"/>
              <w:rPr>
                <w:rFonts w:ascii="Times New Roman" w:hAnsi="Times New Roman" w:cs="Times New Roman"/>
                <w:color w:val="auto"/>
                <w:sz w:val="21"/>
                <w:szCs w:val="21"/>
              </w:rPr>
            </w:pPr>
          </w:p>
        </w:tc>
        <w:tc>
          <w:tcPr>
            <w:tcW w:w="334" w:type="pct"/>
            <w:vMerge w:val="continue"/>
            <w:vAlign w:val="center"/>
          </w:tcPr>
          <w:p>
            <w:pPr>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357" w:type="pct"/>
            <w:vMerge w:val="continue"/>
            <w:vAlign w:val="center"/>
          </w:tcPr>
          <w:p>
            <w:pPr>
              <w:jc w:val="center"/>
              <w:rPr>
                <w:rFonts w:ascii="Times New Roman" w:hAnsi="Times New Roman" w:eastAsia="仿宋_GB2312" w:cs="Times New Roman"/>
                <w:color w:val="auto"/>
                <w:kern w:val="0"/>
                <w:sz w:val="21"/>
                <w:szCs w:val="21"/>
              </w:rPr>
            </w:pPr>
          </w:p>
        </w:tc>
        <w:tc>
          <w:tcPr>
            <w:tcW w:w="428" w:type="pct"/>
            <w:vMerge w:val="continue"/>
            <w:vAlign w:val="center"/>
          </w:tcPr>
          <w:p>
            <w:pPr>
              <w:jc w:val="center"/>
              <w:rPr>
                <w:rFonts w:ascii="Times New Roman" w:hAnsi="Times New Roman" w:eastAsia="仿宋_GB2312" w:cs="Times New Roman"/>
                <w:color w:val="auto"/>
                <w:kern w:val="0"/>
                <w:sz w:val="21"/>
                <w:szCs w:val="21"/>
              </w:rPr>
            </w:pPr>
          </w:p>
        </w:tc>
        <w:tc>
          <w:tcPr>
            <w:tcW w:w="428"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淤泥</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0.46</w:t>
            </w:r>
          </w:p>
        </w:tc>
        <w:tc>
          <w:tcPr>
            <w:tcW w:w="428" w:type="pct"/>
            <w:vAlign w:val="center"/>
          </w:tcPr>
          <w:p>
            <w:pPr>
              <w:jc w:val="center"/>
              <w:rPr>
                <w:rFonts w:ascii="Times New Roman" w:hAnsi="Times New Roman" w:cs="Times New Roman"/>
                <w:color w:val="auto"/>
                <w:sz w:val="21"/>
                <w:szCs w:val="21"/>
              </w:rPr>
            </w:pPr>
          </w:p>
        </w:tc>
        <w:tc>
          <w:tcPr>
            <w:tcW w:w="381" w:type="pct"/>
            <w:vAlign w:val="center"/>
          </w:tcPr>
          <w:p>
            <w:pPr>
              <w:jc w:val="center"/>
              <w:rPr>
                <w:rFonts w:ascii="Times New Roman" w:hAnsi="Times New Roman" w:cs="Times New Roman"/>
                <w:color w:val="auto"/>
                <w:sz w:val="21"/>
                <w:szCs w:val="21"/>
              </w:rPr>
            </w:pPr>
          </w:p>
        </w:tc>
        <w:tc>
          <w:tcPr>
            <w:tcW w:w="358" w:type="pct"/>
            <w:vAlign w:val="center"/>
          </w:tcPr>
          <w:p>
            <w:pPr>
              <w:jc w:val="center"/>
              <w:rPr>
                <w:rFonts w:ascii="Times New Roman" w:hAnsi="Times New Roman" w:cs="Times New Roman"/>
                <w:color w:val="auto"/>
                <w:sz w:val="21"/>
                <w:szCs w:val="21"/>
              </w:rPr>
            </w:pPr>
          </w:p>
        </w:tc>
        <w:tc>
          <w:tcPr>
            <w:tcW w:w="356"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0.46</w:t>
            </w:r>
          </w:p>
        </w:tc>
        <w:tc>
          <w:tcPr>
            <w:tcW w:w="357"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③</w:t>
            </w:r>
          </w:p>
        </w:tc>
        <w:tc>
          <w:tcPr>
            <w:tcW w:w="402" w:type="pct"/>
            <w:vAlign w:val="center"/>
          </w:tcPr>
          <w:p>
            <w:pPr>
              <w:jc w:val="center"/>
              <w:rPr>
                <w:rFonts w:ascii="Times New Roman" w:hAnsi="Times New Roman" w:cs="Times New Roman"/>
                <w:color w:val="auto"/>
                <w:sz w:val="21"/>
                <w:szCs w:val="21"/>
              </w:rPr>
            </w:pPr>
          </w:p>
        </w:tc>
        <w:tc>
          <w:tcPr>
            <w:tcW w:w="357" w:type="pct"/>
            <w:vMerge w:val="continue"/>
            <w:vAlign w:val="center"/>
          </w:tcPr>
          <w:p>
            <w:pPr>
              <w:jc w:val="center"/>
              <w:rPr>
                <w:rFonts w:ascii="Times New Roman" w:hAnsi="Times New Roman" w:cs="Times New Roman"/>
                <w:color w:val="auto"/>
                <w:sz w:val="21"/>
                <w:szCs w:val="21"/>
              </w:rPr>
            </w:pPr>
          </w:p>
        </w:tc>
        <w:tc>
          <w:tcPr>
            <w:tcW w:w="384" w:type="pct"/>
            <w:vAlign w:val="center"/>
          </w:tcPr>
          <w:p>
            <w:pPr>
              <w:jc w:val="center"/>
              <w:rPr>
                <w:rFonts w:ascii="Times New Roman" w:hAnsi="Times New Roman" w:cs="Times New Roman"/>
                <w:color w:val="auto"/>
                <w:sz w:val="21"/>
                <w:szCs w:val="21"/>
              </w:rPr>
            </w:pPr>
          </w:p>
        </w:tc>
        <w:tc>
          <w:tcPr>
            <w:tcW w:w="334" w:type="pct"/>
            <w:vMerge w:val="continue"/>
            <w:vAlign w:val="center"/>
          </w:tcPr>
          <w:p>
            <w:pPr>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357" w:type="pct"/>
            <w:vMerge w:val="continue"/>
            <w:vAlign w:val="center"/>
          </w:tcPr>
          <w:p>
            <w:pPr>
              <w:jc w:val="center"/>
              <w:rPr>
                <w:rFonts w:ascii="Times New Roman" w:hAnsi="Times New Roman" w:eastAsia="仿宋_GB2312" w:cs="Times New Roman"/>
                <w:color w:val="auto"/>
                <w:kern w:val="0"/>
                <w:sz w:val="21"/>
                <w:szCs w:val="21"/>
              </w:rPr>
            </w:pPr>
          </w:p>
        </w:tc>
        <w:tc>
          <w:tcPr>
            <w:tcW w:w="428" w:type="pct"/>
            <w:vMerge w:val="continue"/>
            <w:vAlign w:val="center"/>
          </w:tcPr>
          <w:p>
            <w:pPr>
              <w:jc w:val="center"/>
              <w:rPr>
                <w:rFonts w:ascii="Times New Roman" w:hAnsi="Times New Roman" w:eastAsia="仿宋_GB2312" w:cs="Times New Roman"/>
                <w:color w:val="auto"/>
                <w:kern w:val="0"/>
                <w:sz w:val="21"/>
                <w:szCs w:val="21"/>
              </w:rPr>
            </w:pPr>
          </w:p>
        </w:tc>
        <w:tc>
          <w:tcPr>
            <w:tcW w:w="428"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表土</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0.01</w:t>
            </w:r>
          </w:p>
        </w:tc>
        <w:tc>
          <w:tcPr>
            <w:tcW w:w="428" w:type="pct"/>
            <w:vAlign w:val="center"/>
          </w:tcPr>
          <w:p>
            <w:pPr>
              <w:jc w:val="center"/>
              <w:rPr>
                <w:rFonts w:ascii="Times New Roman" w:hAnsi="Times New Roman" w:cs="Times New Roman"/>
                <w:color w:val="auto"/>
                <w:sz w:val="21"/>
                <w:szCs w:val="21"/>
              </w:rPr>
            </w:pPr>
          </w:p>
        </w:tc>
        <w:tc>
          <w:tcPr>
            <w:tcW w:w="381" w:type="pct"/>
            <w:vAlign w:val="center"/>
          </w:tcPr>
          <w:p>
            <w:pPr>
              <w:jc w:val="center"/>
              <w:rPr>
                <w:rFonts w:ascii="Times New Roman" w:hAnsi="Times New Roman" w:cs="Times New Roman"/>
                <w:color w:val="auto"/>
                <w:sz w:val="21"/>
                <w:szCs w:val="21"/>
              </w:rPr>
            </w:pPr>
          </w:p>
        </w:tc>
        <w:tc>
          <w:tcPr>
            <w:tcW w:w="358" w:type="pct"/>
            <w:vAlign w:val="center"/>
          </w:tcPr>
          <w:p>
            <w:pPr>
              <w:jc w:val="center"/>
              <w:rPr>
                <w:rFonts w:ascii="Times New Roman" w:hAnsi="Times New Roman" w:cs="Times New Roman"/>
                <w:color w:val="auto"/>
                <w:sz w:val="21"/>
                <w:szCs w:val="21"/>
              </w:rPr>
            </w:pPr>
          </w:p>
        </w:tc>
        <w:tc>
          <w:tcPr>
            <w:tcW w:w="356"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0.01</w:t>
            </w:r>
          </w:p>
        </w:tc>
        <w:tc>
          <w:tcPr>
            <w:tcW w:w="357"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③</w:t>
            </w:r>
          </w:p>
        </w:tc>
        <w:tc>
          <w:tcPr>
            <w:tcW w:w="402" w:type="pct"/>
            <w:vAlign w:val="center"/>
          </w:tcPr>
          <w:p>
            <w:pPr>
              <w:jc w:val="center"/>
              <w:rPr>
                <w:rFonts w:ascii="Times New Roman" w:hAnsi="Times New Roman" w:cs="Times New Roman"/>
                <w:color w:val="auto"/>
                <w:sz w:val="21"/>
                <w:szCs w:val="21"/>
              </w:rPr>
            </w:pPr>
          </w:p>
        </w:tc>
        <w:tc>
          <w:tcPr>
            <w:tcW w:w="357" w:type="pct"/>
            <w:vMerge w:val="continue"/>
            <w:vAlign w:val="center"/>
          </w:tcPr>
          <w:p>
            <w:pPr>
              <w:jc w:val="center"/>
              <w:rPr>
                <w:rFonts w:ascii="Times New Roman" w:hAnsi="Times New Roman" w:cs="Times New Roman"/>
                <w:color w:val="auto"/>
                <w:sz w:val="21"/>
                <w:szCs w:val="21"/>
              </w:rPr>
            </w:pPr>
          </w:p>
        </w:tc>
        <w:tc>
          <w:tcPr>
            <w:tcW w:w="384" w:type="pct"/>
            <w:vAlign w:val="center"/>
          </w:tcPr>
          <w:p>
            <w:pPr>
              <w:jc w:val="center"/>
              <w:rPr>
                <w:rFonts w:ascii="Times New Roman" w:hAnsi="Times New Roman" w:cs="Times New Roman"/>
                <w:color w:val="auto"/>
                <w:sz w:val="21"/>
                <w:szCs w:val="21"/>
              </w:rPr>
            </w:pPr>
          </w:p>
        </w:tc>
        <w:tc>
          <w:tcPr>
            <w:tcW w:w="334" w:type="pct"/>
            <w:vMerge w:val="continue"/>
            <w:vAlign w:val="center"/>
          </w:tcPr>
          <w:p>
            <w:pPr>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357" w:type="pct"/>
            <w:vMerge w:val="continue"/>
            <w:vAlign w:val="center"/>
          </w:tcPr>
          <w:p>
            <w:pPr>
              <w:jc w:val="center"/>
              <w:rPr>
                <w:rFonts w:ascii="Times New Roman" w:hAnsi="Times New Roman" w:eastAsia="仿宋_GB2312" w:cs="Times New Roman"/>
                <w:color w:val="auto"/>
                <w:kern w:val="0"/>
                <w:sz w:val="21"/>
                <w:szCs w:val="21"/>
              </w:rPr>
            </w:pPr>
          </w:p>
        </w:tc>
        <w:tc>
          <w:tcPr>
            <w:tcW w:w="428" w:type="pct"/>
            <w:vMerge w:val="continue"/>
            <w:vAlign w:val="center"/>
          </w:tcPr>
          <w:p>
            <w:pPr>
              <w:jc w:val="center"/>
              <w:rPr>
                <w:rFonts w:ascii="Times New Roman" w:hAnsi="Times New Roman" w:eastAsia="仿宋_GB2312" w:cs="Times New Roman"/>
                <w:color w:val="auto"/>
                <w:kern w:val="0"/>
                <w:sz w:val="21"/>
                <w:szCs w:val="21"/>
              </w:rPr>
            </w:pPr>
          </w:p>
        </w:tc>
        <w:tc>
          <w:tcPr>
            <w:tcW w:w="428"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小计</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0.7</w:t>
            </w:r>
          </w:p>
        </w:tc>
        <w:tc>
          <w:tcPr>
            <w:tcW w:w="428"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2.42</w:t>
            </w:r>
          </w:p>
        </w:tc>
        <w:tc>
          <w:tcPr>
            <w:tcW w:w="381" w:type="pct"/>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w:t>
            </w:r>
          </w:p>
        </w:tc>
        <w:tc>
          <w:tcPr>
            <w:tcW w:w="358" w:type="pct"/>
            <w:vAlign w:val="center"/>
          </w:tcPr>
          <w:p>
            <w:pPr>
              <w:jc w:val="center"/>
              <w:rPr>
                <w:rFonts w:ascii="Times New Roman" w:hAnsi="Times New Roman" w:cs="Times New Roman"/>
                <w:color w:val="auto"/>
                <w:sz w:val="21"/>
                <w:szCs w:val="21"/>
              </w:rPr>
            </w:pPr>
          </w:p>
        </w:tc>
        <w:tc>
          <w:tcPr>
            <w:tcW w:w="356"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0.47</w:t>
            </w:r>
          </w:p>
        </w:tc>
        <w:tc>
          <w:tcPr>
            <w:tcW w:w="357" w:type="pct"/>
            <w:vAlign w:val="center"/>
          </w:tcPr>
          <w:p>
            <w:pPr>
              <w:jc w:val="center"/>
              <w:rPr>
                <w:rFonts w:ascii="Times New Roman" w:hAnsi="Times New Roman" w:cs="Times New Roman"/>
                <w:color w:val="auto"/>
                <w:sz w:val="21"/>
                <w:szCs w:val="21"/>
              </w:rPr>
            </w:pPr>
          </w:p>
        </w:tc>
        <w:tc>
          <w:tcPr>
            <w:tcW w:w="402" w:type="pct"/>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2.19</w:t>
            </w:r>
          </w:p>
        </w:tc>
        <w:tc>
          <w:tcPr>
            <w:tcW w:w="357" w:type="pct"/>
            <w:vMerge w:val="continue"/>
            <w:vAlign w:val="center"/>
          </w:tcPr>
          <w:p>
            <w:pPr>
              <w:jc w:val="center"/>
              <w:rPr>
                <w:rFonts w:ascii="Times New Roman" w:hAnsi="Times New Roman" w:cs="Times New Roman"/>
                <w:color w:val="auto"/>
                <w:sz w:val="21"/>
                <w:szCs w:val="21"/>
              </w:rPr>
            </w:pPr>
          </w:p>
        </w:tc>
        <w:tc>
          <w:tcPr>
            <w:tcW w:w="384" w:type="pct"/>
            <w:vAlign w:val="center"/>
          </w:tcPr>
          <w:p>
            <w:pPr>
              <w:jc w:val="center"/>
              <w:rPr>
                <w:rFonts w:ascii="Times New Roman" w:hAnsi="Times New Roman" w:cs="Times New Roman"/>
                <w:color w:val="auto"/>
                <w:sz w:val="21"/>
                <w:szCs w:val="21"/>
              </w:rPr>
            </w:pPr>
          </w:p>
        </w:tc>
        <w:tc>
          <w:tcPr>
            <w:tcW w:w="334" w:type="pct"/>
            <w:vMerge w:val="continue"/>
            <w:vAlign w:val="center"/>
          </w:tcPr>
          <w:p>
            <w:pPr>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85" w:type="pct"/>
            <w:gridSpan w:val="2"/>
            <w:vMerge w:val="restart"/>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小计</w:t>
            </w:r>
          </w:p>
        </w:tc>
        <w:tc>
          <w:tcPr>
            <w:tcW w:w="428"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土方</w:t>
            </w:r>
          </w:p>
        </w:tc>
        <w:tc>
          <w:tcPr>
            <w:tcW w:w="428" w:type="pct"/>
            <w:vAlign w:val="center"/>
          </w:tcPr>
          <w:p>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16.27</w:t>
            </w:r>
          </w:p>
        </w:tc>
        <w:tc>
          <w:tcPr>
            <w:tcW w:w="428" w:type="pct"/>
            <w:vAlign w:val="center"/>
          </w:tcPr>
          <w:p>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122.22</w:t>
            </w:r>
          </w:p>
        </w:tc>
        <w:tc>
          <w:tcPr>
            <w:tcW w:w="381" w:type="pct"/>
            <w:vAlign w:val="center"/>
          </w:tcPr>
          <w:p>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2.54</w:t>
            </w:r>
          </w:p>
        </w:tc>
        <w:tc>
          <w:tcPr>
            <w:tcW w:w="358" w:type="pct"/>
            <w:vAlign w:val="center"/>
          </w:tcPr>
          <w:p>
            <w:pPr>
              <w:jc w:val="center"/>
              <w:rPr>
                <w:rFonts w:ascii="Times New Roman" w:hAnsi="Times New Roman" w:cs="Times New Roman"/>
                <w:b/>
                <w:bCs/>
                <w:color w:val="auto"/>
                <w:sz w:val="21"/>
                <w:szCs w:val="21"/>
              </w:rPr>
            </w:pPr>
          </w:p>
        </w:tc>
        <w:tc>
          <w:tcPr>
            <w:tcW w:w="356" w:type="pct"/>
            <w:vAlign w:val="center"/>
          </w:tcPr>
          <w:p>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2.54</w:t>
            </w:r>
          </w:p>
        </w:tc>
        <w:tc>
          <w:tcPr>
            <w:tcW w:w="357" w:type="pct"/>
            <w:vAlign w:val="center"/>
          </w:tcPr>
          <w:p>
            <w:pPr>
              <w:jc w:val="center"/>
              <w:rPr>
                <w:rFonts w:ascii="Times New Roman" w:hAnsi="Times New Roman" w:cs="Times New Roman"/>
                <w:b/>
                <w:bCs/>
                <w:color w:val="auto"/>
                <w:sz w:val="21"/>
                <w:szCs w:val="21"/>
              </w:rPr>
            </w:pPr>
          </w:p>
        </w:tc>
        <w:tc>
          <w:tcPr>
            <w:tcW w:w="402" w:type="pct"/>
            <w:vAlign w:val="center"/>
          </w:tcPr>
          <w:p>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105.95</w:t>
            </w:r>
          </w:p>
        </w:tc>
        <w:tc>
          <w:tcPr>
            <w:tcW w:w="357" w:type="pct"/>
            <w:vAlign w:val="center"/>
          </w:tcPr>
          <w:p>
            <w:pPr>
              <w:jc w:val="center"/>
              <w:rPr>
                <w:rFonts w:ascii="Times New Roman" w:hAnsi="Times New Roman" w:cs="Times New Roman"/>
                <w:b/>
                <w:bCs/>
                <w:color w:val="auto"/>
                <w:sz w:val="21"/>
                <w:szCs w:val="21"/>
              </w:rPr>
            </w:pPr>
          </w:p>
        </w:tc>
        <w:tc>
          <w:tcPr>
            <w:tcW w:w="384" w:type="pct"/>
            <w:vAlign w:val="center"/>
          </w:tcPr>
          <w:p>
            <w:pPr>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0</w:t>
            </w:r>
          </w:p>
        </w:tc>
        <w:tc>
          <w:tcPr>
            <w:tcW w:w="334" w:type="pct"/>
            <w:vAlign w:val="center"/>
          </w:tcPr>
          <w:p>
            <w:pPr>
              <w:jc w:val="center"/>
              <w:rPr>
                <w:rFonts w:ascii="Times New Roman" w:hAnsi="Times New Roman" w:cs="Times New Roman"/>
                <w:b/>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85" w:type="pct"/>
            <w:gridSpan w:val="2"/>
            <w:vMerge w:val="continue"/>
            <w:vAlign w:val="center"/>
          </w:tcPr>
          <w:p>
            <w:pPr>
              <w:widowControl/>
              <w:jc w:val="center"/>
              <w:rPr>
                <w:rFonts w:ascii="Times New Roman" w:hAnsi="Times New Roman" w:eastAsia="仿宋_GB2312" w:cs="Times New Roman"/>
                <w:color w:val="auto"/>
                <w:kern w:val="0"/>
                <w:sz w:val="21"/>
                <w:szCs w:val="21"/>
              </w:rPr>
            </w:pPr>
          </w:p>
        </w:tc>
        <w:tc>
          <w:tcPr>
            <w:tcW w:w="428"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淤泥</w:t>
            </w:r>
          </w:p>
        </w:tc>
        <w:tc>
          <w:tcPr>
            <w:tcW w:w="428" w:type="pct"/>
            <w:vAlign w:val="center"/>
          </w:tcPr>
          <w:p>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4.73</w:t>
            </w:r>
          </w:p>
        </w:tc>
        <w:tc>
          <w:tcPr>
            <w:tcW w:w="428" w:type="pct"/>
            <w:vAlign w:val="center"/>
          </w:tcPr>
          <w:p>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4.73</w:t>
            </w:r>
          </w:p>
        </w:tc>
        <w:tc>
          <w:tcPr>
            <w:tcW w:w="381" w:type="pct"/>
            <w:vAlign w:val="center"/>
          </w:tcPr>
          <w:p>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4.52</w:t>
            </w:r>
          </w:p>
        </w:tc>
        <w:tc>
          <w:tcPr>
            <w:tcW w:w="358" w:type="pct"/>
            <w:vAlign w:val="center"/>
          </w:tcPr>
          <w:p>
            <w:pPr>
              <w:jc w:val="center"/>
              <w:rPr>
                <w:rFonts w:ascii="Times New Roman" w:hAnsi="Times New Roman" w:cs="Times New Roman"/>
                <w:b/>
                <w:bCs/>
                <w:color w:val="auto"/>
                <w:sz w:val="21"/>
                <w:szCs w:val="21"/>
              </w:rPr>
            </w:pPr>
          </w:p>
        </w:tc>
        <w:tc>
          <w:tcPr>
            <w:tcW w:w="356" w:type="pct"/>
            <w:vAlign w:val="center"/>
          </w:tcPr>
          <w:p>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4.52</w:t>
            </w:r>
          </w:p>
        </w:tc>
        <w:tc>
          <w:tcPr>
            <w:tcW w:w="357" w:type="pct"/>
            <w:vAlign w:val="center"/>
          </w:tcPr>
          <w:p>
            <w:pPr>
              <w:jc w:val="center"/>
              <w:rPr>
                <w:rFonts w:ascii="Times New Roman" w:hAnsi="Times New Roman" w:cs="Times New Roman"/>
                <w:b/>
                <w:bCs/>
                <w:color w:val="auto"/>
                <w:sz w:val="21"/>
                <w:szCs w:val="21"/>
              </w:rPr>
            </w:pPr>
          </w:p>
        </w:tc>
        <w:tc>
          <w:tcPr>
            <w:tcW w:w="402" w:type="pct"/>
            <w:vAlign w:val="center"/>
          </w:tcPr>
          <w:p>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0</w:t>
            </w:r>
          </w:p>
        </w:tc>
        <w:tc>
          <w:tcPr>
            <w:tcW w:w="357" w:type="pct"/>
            <w:vAlign w:val="center"/>
          </w:tcPr>
          <w:p>
            <w:pPr>
              <w:jc w:val="center"/>
              <w:rPr>
                <w:rFonts w:ascii="Times New Roman" w:hAnsi="Times New Roman" w:cs="Times New Roman"/>
                <w:b/>
                <w:bCs/>
                <w:color w:val="auto"/>
                <w:sz w:val="21"/>
                <w:szCs w:val="21"/>
              </w:rPr>
            </w:pPr>
          </w:p>
        </w:tc>
        <w:tc>
          <w:tcPr>
            <w:tcW w:w="384" w:type="pct"/>
            <w:vAlign w:val="center"/>
          </w:tcPr>
          <w:p>
            <w:pPr>
              <w:jc w:val="center"/>
              <w:rPr>
                <w:rFonts w:ascii="Times New Roman" w:hAnsi="Times New Roman" w:cs="Times New Roman"/>
                <w:b/>
                <w:bCs/>
                <w:color w:val="auto"/>
                <w:sz w:val="21"/>
                <w:szCs w:val="21"/>
              </w:rPr>
            </w:pPr>
          </w:p>
        </w:tc>
        <w:tc>
          <w:tcPr>
            <w:tcW w:w="334" w:type="pct"/>
            <w:vAlign w:val="center"/>
          </w:tcPr>
          <w:p>
            <w:pPr>
              <w:jc w:val="center"/>
              <w:rPr>
                <w:rFonts w:ascii="Times New Roman" w:hAnsi="Times New Roman" w:cs="Times New Roman"/>
                <w:b/>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85" w:type="pct"/>
            <w:gridSpan w:val="2"/>
            <w:vMerge w:val="continue"/>
            <w:vAlign w:val="center"/>
          </w:tcPr>
          <w:p>
            <w:pPr>
              <w:widowControl/>
              <w:jc w:val="center"/>
              <w:rPr>
                <w:rFonts w:ascii="Times New Roman" w:hAnsi="Times New Roman" w:eastAsia="仿宋_GB2312" w:cs="Times New Roman"/>
                <w:color w:val="auto"/>
                <w:kern w:val="0"/>
                <w:sz w:val="21"/>
                <w:szCs w:val="21"/>
              </w:rPr>
            </w:pPr>
          </w:p>
        </w:tc>
        <w:tc>
          <w:tcPr>
            <w:tcW w:w="428"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表土</w:t>
            </w:r>
          </w:p>
        </w:tc>
        <w:tc>
          <w:tcPr>
            <w:tcW w:w="428" w:type="pct"/>
            <w:vAlign w:val="center"/>
          </w:tcPr>
          <w:p>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4.91</w:t>
            </w:r>
          </w:p>
        </w:tc>
        <w:tc>
          <w:tcPr>
            <w:tcW w:w="428" w:type="pct"/>
            <w:vAlign w:val="center"/>
          </w:tcPr>
          <w:p>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4.91</w:t>
            </w:r>
          </w:p>
        </w:tc>
        <w:tc>
          <w:tcPr>
            <w:tcW w:w="381" w:type="pct"/>
            <w:vAlign w:val="center"/>
          </w:tcPr>
          <w:p>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3.05</w:t>
            </w:r>
          </w:p>
        </w:tc>
        <w:tc>
          <w:tcPr>
            <w:tcW w:w="358" w:type="pct"/>
            <w:vAlign w:val="center"/>
          </w:tcPr>
          <w:p>
            <w:pPr>
              <w:jc w:val="center"/>
              <w:rPr>
                <w:rFonts w:ascii="Times New Roman" w:hAnsi="Times New Roman" w:cs="Times New Roman"/>
                <w:b/>
                <w:bCs/>
                <w:color w:val="auto"/>
                <w:sz w:val="21"/>
                <w:szCs w:val="21"/>
              </w:rPr>
            </w:pPr>
          </w:p>
        </w:tc>
        <w:tc>
          <w:tcPr>
            <w:tcW w:w="356" w:type="pct"/>
            <w:vAlign w:val="center"/>
          </w:tcPr>
          <w:p>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3.05</w:t>
            </w:r>
          </w:p>
        </w:tc>
        <w:tc>
          <w:tcPr>
            <w:tcW w:w="357" w:type="pct"/>
            <w:vAlign w:val="center"/>
          </w:tcPr>
          <w:p>
            <w:pPr>
              <w:jc w:val="center"/>
              <w:rPr>
                <w:rFonts w:ascii="Times New Roman" w:hAnsi="Times New Roman" w:cs="Times New Roman"/>
                <w:b/>
                <w:bCs/>
                <w:color w:val="auto"/>
                <w:sz w:val="21"/>
                <w:szCs w:val="21"/>
              </w:rPr>
            </w:pPr>
          </w:p>
        </w:tc>
        <w:tc>
          <w:tcPr>
            <w:tcW w:w="402" w:type="pct"/>
            <w:vAlign w:val="center"/>
          </w:tcPr>
          <w:p>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0</w:t>
            </w:r>
          </w:p>
        </w:tc>
        <w:tc>
          <w:tcPr>
            <w:tcW w:w="357" w:type="pct"/>
            <w:vAlign w:val="center"/>
          </w:tcPr>
          <w:p>
            <w:pPr>
              <w:jc w:val="center"/>
              <w:rPr>
                <w:rFonts w:ascii="Times New Roman" w:hAnsi="Times New Roman" w:cs="Times New Roman"/>
                <w:b/>
                <w:bCs/>
                <w:color w:val="auto"/>
                <w:sz w:val="21"/>
                <w:szCs w:val="21"/>
              </w:rPr>
            </w:pPr>
          </w:p>
        </w:tc>
        <w:tc>
          <w:tcPr>
            <w:tcW w:w="384" w:type="pct"/>
            <w:vAlign w:val="center"/>
          </w:tcPr>
          <w:p>
            <w:pPr>
              <w:jc w:val="center"/>
              <w:rPr>
                <w:rFonts w:ascii="Times New Roman" w:hAnsi="Times New Roman" w:cs="Times New Roman"/>
                <w:b/>
                <w:bCs/>
                <w:color w:val="auto"/>
                <w:sz w:val="21"/>
                <w:szCs w:val="21"/>
              </w:rPr>
            </w:pPr>
          </w:p>
        </w:tc>
        <w:tc>
          <w:tcPr>
            <w:tcW w:w="334" w:type="pct"/>
            <w:vAlign w:val="center"/>
          </w:tcPr>
          <w:p>
            <w:pPr>
              <w:jc w:val="center"/>
              <w:rPr>
                <w:rFonts w:ascii="Times New Roman" w:hAnsi="Times New Roman" w:cs="Times New Roman"/>
                <w:b/>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4" w:hRule="atLeast"/>
          <w:jc w:val="center"/>
        </w:trPr>
        <w:tc>
          <w:tcPr>
            <w:tcW w:w="1213" w:type="pct"/>
            <w:gridSpan w:val="3"/>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合计</w:t>
            </w:r>
          </w:p>
        </w:tc>
        <w:tc>
          <w:tcPr>
            <w:tcW w:w="428" w:type="pct"/>
            <w:vAlign w:val="center"/>
          </w:tcPr>
          <w:p>
            <w:pPr>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25.91</w:t>
            </w:r>
          </w:p>
        </w:tc>
        <w:tc>
          <w:tcPr>
            <w:tcW w:w="428" w:type="pct"/>
            <w:vAlign w:val="center"/>
          </w:tcPr>
          <w:p>
            <w:pPr>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131.86</w:t>
            </w:r>
          </w:p>
        </w:tc>
        <w:tc>
          <w:tcPr>
            <w:tcW w:w="381" w:type="pct"/>
            <w:vAlign w:val="center"/>
          </w:tcPr>
          <w:p>
            <w:pPr>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10.11</w:t>
            </w:r>
          </w:p>
        </w:tc>
        <w:tc>
          <w:tcPr>
            <w:tcW w:w="358" w:type="pct"/>
            <w:vAlign w:val="center"/>
          </w:tcPr>
          <w:p>
            <w:pPr>
              <w:jc w:val="center"/>
              <w:rPr>
                <w:rFonts w:ascii="Times New Roman" w:hAnsi="Times New Roman" w:cs="Times New Roman"/>
                <w:b/>
                <w:bCs/>
                <w:color w:val="auto"/>
                <w:sz w:val="21"/>
                <w:szCs w:val="21"/>
              </w:rPr>
            </w:pPr>
          </w:p>
        </w:tc>
        <w:tc>
          <w:tcPr>
            <w:tcW w:w="356" w:type="pct"/>
            <w:vAlign w:val="center"/>
          </w:tcPr>
          <w:p>
            <w:pPr>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10.11</w:t>
            </w:r>
          </w:p>
        </w:tc>
        <w:tc>
          <w:tcPr>
            <w:tcW w:w="357" w:type="pct"/>
            <w:vAlign w:val="center"/>
          </w:tcPr>
          <w:p>
            <w:pPr>
              <w:jc w:val="center"/>
              <w:rPr>
                <w:rFonts w:ascii="Times New Roman" w:hAnsi="Times New Roman" w:cs="Times New Roman"/>
                <w:b/>
                <w:bCs/>
                <w:color w:val="auto"/>
                <w:sz w:val="21"/>
                <w:szCs w:val="21"/>
              </w:rPr>
            </w:pPr>
          </w:p>
        </w:tc>
        <w:tc>
          <w:tcPr>
            <w:tcW w:w="402" w:type="pct"/>
            <w:vAlign w:val="center"/>
          </w:tcPr>
          <w:p>
            <w:pPr>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105.95</w:t>
            </w:r>
          </w:p>
        </w:tc>
        <w:tc>
          <w:tcPr>
            <w:tcW w:w="357" w:type="pct"/>
            <w:vAlign w:val="center"/>
          </w:tcPr>
          <w:p>
            <w:pPr>
              <w:jc w:val="center"/>
              <w:rPr>
                <w:rFonts w:ascii="Times New Roman" w:hAnsi="Times New Roman" w:cs="Times New Roman"/>
                <w:b/>
                <w:bCs/>
                <w:color w:val="auto"/>
                <w:sz w:val="21"/>
                <w:szCs w:val="21"/>
              </w:rPr>
            </w:pPr>
          </w:p>
        </w:tc>
        <w:tc>
          <w:tcPr>
            <w:tcW w:w="384" w:type="pct"/>
            <w:vAlign w:val="center"/>
          </w:tcPr>
          <w:p>
            <w:pPr>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0</w:t>
            </w:r>
          </w:p>
        </w:tc>
        <w:tc>
          <w:tcPr>
            <w:tcW w:w="334" w:type="pct"/>
            <w:vAlign w:val="center"/>
          </w:tcPr>
          <w:p>
            <w:pPr>
              <w:jc w:val="center"/>
              <w:rPr>
                <w:rFonts w:ascii="Times New Roman" w:hAnsi="Times New Roman" w:cs="Times New Roman"/>
                <w:b/>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3" w:hRule="atLeast"/>
          <w:jc w:val="center"/>
        </w:trPr>
        <w:tc>
          <w:tcPr>
            <w:tcW w:w="5000" w:type="pct"/>
            <w:gridSpan w:val="13"/>
            <w:vAlign w:val="center"/>
          </w:tcPr>
          <w:p>
            <w:pPr>
              <w:jc w:val="left"/>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注：1、挖方+借方=填方+余方</w:t>
            </w:r>
          </w:p>
          <w:p>
            <w:pPr>
              <w:ind w:firstLine="420" w:firstLineChars="200"/>
              <w:jc w:val="left"/>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2、调入土石方量=调出土石方量</w:t>
            </w:r>
          </w:p>
        </w:tc>
      </w:tr>
    </w:tbl>
    <w:p>
      <w:pPr>
        <w:snapToGrid w:val="0"/>
        <w:spacing w:beforeLines="50" w:line="360" w:lineRule="auto"/>
        <w:ind w:firstLine="482" w:firstLineChars="200"/>
        <w:jc w:val="center"/>
        <w:rPr>
          <w:rFonts w:ascii="Times New Roman" w:hAnsi="Times New Roman" w:eastAsia="仿宋_GB2312" w:cs="Times New Roman"/>
          <w:b/>
          <w:color w:val="auto"/>
          <w:szCs w:val="24"/>
        </w:rPr>
      </w:pPr>
    </w:p>
    <w:p>
      <w:pPr>
        <w:snapToGrid w:val="0"/>
        <w:spacing w:line="360" w:lineRule="auto"/>
        <w:ind w:firstLine="480" w:firstLineChars="200"/>
        <w:rPr>
          <w:rFonts w:ascii="Times New Roman" w:hAnsi="Times New Roman" w:eastAsia="仿宋_GB2312" w:cs="Times New Roman"/>
          <w:color w:val="auto"/>
          <w:szCs w:val="24"/>
        </w:rPr>
      </w:pPr>
    </w:p>
    <w:p>
      <w:pPr>
        <w:snapToGrid w:val="0"/>
        <w:spacing w:line="360" w:lineRule="auto"/>
        <w:ind w:firstLine="480" w:firstLineChars="200"/>
        <w:rPr>
          <w:rFonts w:ascii="Times New Roman" w:hAnsi="Times New Roman" w:eastAsia="仿宋_GB2312" w:cs="Times New Roman"/>
          <w:color w:val="auto"/>
          <w:szCs w:val="24"/>
        </w:rPr>
        <w:sectPr>
          <w:footerReference r:id="rId21" w:type="default"/>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32" w:charSpace="0"/>
        </w:sectPr>
      </w:pPr>
    </w:p>
    <w:p>
      <w:pPr>
        <w:spacing w:line="360" w:lineRule="auto"/>
        <w:jc w:val="center"/>
        <w:rPr>
          <w:rFonts w:ascii="Times New Roman" w:hAnsi="Times New Roman" w:cs="Times New Roman"/>
          <w:color w:val="auto"/>
          <w:sz w:val="20"/>
        </w:rPr>
      </w:pPr>
      <w:r>
        <w:rPr>
          <w:rFonts w:ascii="Times New Roman" w:hAnsi="Times New Roman" w:cs="Times New Roman"/>
          <w:color w:val="auto"/>
          <w:sz w:val="20"/>
        </w:rPr>
        <w:drawing>
          <wp:inline distT="0" distB="0" distL="0" distR="0">
            <wp:extent cx="8609330" cy="4773930"/>
            <wp:effectExtent l="19050" t="0" r="783" b="0"/>
            <wp:docPr id="24" name="图片 11" descr="C:\Users\Administrator\AppData\Local\Microsoft\Windows\INetCache\Content.Word\土方平衡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 descr="C:\Users\Administrator\AppData\Local\Microsoft\Windows\INetCache\Content.Word\土方平衡图.jpg"/>
                    <pic:cNvPicPr>
                      <a:picLocks noChangeAspect="1" noChangeArrowheads="1"/>
                    </pic:cNvPicPr>
                  </pic:nvPicPr>
                  <pic:blipFill>
                    <a:blip r:embed="rId82" cstate="print"/>
                    <a:srcRect/>
                    <a:stretch>
                      <a:fillRect/>
                    </a:stretch>
                  </pic:blipFill>
                  <pic:spPr>
                    <a:xfrm>
                      <a:off x="0" y="0"/>
                      <a:ext cx="8617752" cy="4778418"/>
                    </a:xfrm>
                    <a:prstGeom prst="rect">
                      <a:avLst/>
                    </a:prstGeom>
                    <a:noFill/>
                    <a:ln w="9525">
                      <a:noFill/>
                      <a:miter lim="800000"/>
                      <a:headEnd/>
                      <a:tailEnd/>
                    </a:ln>
                  </pic:spPr>
                </pic:pic>
              </a:graphicData>
            </a:graphic>
          </wp:inline>
        </w:drawing>
      </w:r>
    </w:p>
    <w:p>
      <w:pPr>
        <w:spacing w:line="360" w:lineRule="auto"/>
        <w:jc w:val="center"/>
        <w:rPr>
          <w:rFonts w:ascii="Times New Roman" w:hAnsi="Times New Roman" w:eastAsia="仿宋_GB2312" w:cs="Times New Roman"/>
          <w:b/>
          <w:bCs/>
          <w:color w:val="auto"/>
          <w:szCs w:val="24"/>
        </w:rPr>
      </w:pPr>
      <w:r>
        <w:rPr>
          <w:rFonts w:ascii="Times New Roman" w:hAnsi="Times New Roman" w:eastAsia="仿宋_GB2312" w:cs="Times New Roman"/>
          <w:b/>
          <w:bCs/>
          <w:color w:val="auto"/>
          <w:szCs w:val="24"/>
        </w:rPr>
        <w:t>图2</w:t>
      </w:r>
      <w:r>
        <w:rPr>
          <w:rFonts w:hint="eastAsia" w:ascii="Times New Roman" w:hAnsi="Times New Roman" w:eastAsia="仿宋_GB2312" w:cs="Times New Roman"/>
          <w:b/>
          <w:bCs/>
          <w:color w:val="auto"/>
          <w:szCs w:val="24"/>
        </w:rPr>
        <w:t>.</w:t>
      </w:r>
      <w:r>
        <w:rPr>
          <w:rFonts w:ascii="Times New Roman" w:hAnsi="Times New Roman" w:eastAsia="仿宋_GB2312" w:cs="Times New Roman"/>
          <w:b/>
          <w:bCs/>
          <w:color w:val="auto"/>
          <w:szCs w:val="24"/>
        </w:rPr>
        <w:t>4-1：土石方平衡流向总图</w:t>
      </w:r>
    </w:p>
    <w:p>
      <w:pPr>
        <w:jc w:val="center"/>
        <w:rPr>
          <w:rFonts w:ascii="Times New Roman" w:hAnsi="Times New Roman" w:eastAsia="仿宋_GB2312" w:cs="Times New Roman"/>
          <w:b/>
          <w:bCs/>
          <w:color w:val="auto"/>
          <w:szCs w:val="24"/>
        </w:rPr>
        <w:sectPr>
          <w:footerReference r:id="rId22" w:type="default"/>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32" w:charSpace="0"/>
        </w:sectPr>
      </w:pPr>
    </w:p>
    <w:p>
      <w:pPr>
        <w:pStyle w:val="5"/>
        <w:rPr>
          <w:color w:val="auto"/>
        </w:rPr>
      </w:pPr>
      <w:bookmarkStart w:id="195" w:name="_Toc499039868"/>
      <w:bookmarkStart w:id="196" w:name="_Toc514431450"/>
      <w:bookmarkStart w:id="197" w:name="_Toc439243903"/>
      <w:bookmarkStart w:id="198" w:name="_Toc514430840"/>
      <w:bookmarkStart w:id="199" w:name="_Toc396674017"/>
      <w:bookmarkStart w:id="200" w:name="_Toc514432594"/>
      <w:bookmarkStart w:id="201" w:name="_Toc4710"/>
      <w:bookmarkStart w:id="202" w:name="_Toc451799206"/>
      <w:bookmarkStart w:id="203" w:name="_Toc22788"/>
      <w:bookmarkStart w:id="204" w:name="_Toc31969"/>
      <w:bookmarkStart w:id="205" w:name="_Toc32701"/>
      <w:bookmarkStart w:id="206" w:name="_Toc24588"/>
      <w:bookmarkStart w:id="207" w:name="_Toc21213"/>
      <w:bookmarkStart w:id="208" w:name="_Toc9429"/>
      <w:r>
        <w:rPr>
          <w:color w:val="auto"/>
        </w:rPr>
        <w:t xml:space="preserve">2.5 </w:t>
      </w:r>
      <w:r>
        <w:rPr>
          <w:rFonts w:eastAsia="仿宋_GB2312"/>
          <w:color w:val="auto"/>
        </w:rPr>
        <w:t>拆迁安置</w:t>
      </w:r>
      <w:bookmarkEnd w:id="195"/>
      <w:bookmarkEnd w:id="196"/>
      <w:bookmarkEnd w:id="197"/>
      <w:bookmarkEnd w:id="198"/>
      <w:bookmarkEnd w:id="199"/>
      <w:bookmarkEnd w:id="200"/>
      <w:bookmarkEnd w:id="201"/>
      <w:bookmarkEnd w:id="202"/>
      <w:r>
        <w:rPr>
          <w:rFonts w:eastAsia="仿宋_GB2312"/>
          <w:color w:val="auto"/>
        </w:rPr>
        <w:t>与专项设施改</w:t>
      </w:r>
      <w:r>
        <w:rPr>
          <w:rFonts w:hint="eastAsia" w:eastAsia="仿宋_GB2312"/>
          <w:color w:val="auto"/>
          <w:lang w:eastAsia="zh-CN"/>
        </w:rPr>
        <w:t>（</w:t>
      </w:r>
      <w:r>
        <w:rPr>
          <w:rFonts w:hint="eastAsia" w:eastAsia="仿宋_GB2312"/>
          <w:color w:val="auto"/>
          <w:lang w:val="en-US" w:eastAsia="zh-CN"/>
        </w:rPr>
        <w:t>迁</w:t>
      </w:r>
      <w:r>
        <w:rPr>
          <w:rFonts w:hint="eastAsia" w:eastAsia="仿宋_GB2312"/>
          <w:color w:val="auto"/>
          <w:lang w:eastAsia="zh-CN"/>
        </w:rPr>
        <w:t>）</w:t>
      </w:r>
      <w:r>
        <w:rPr>
          <w:rFonts w:eastAsia="仿宋_GB2312"/>
          <w:color w:val="auto"/>
        </w:rPr>
        <w:t>建</w:t>
      </w:r>
      <w:bookmarkEnd w:id="203"/>
    </w:p>
    <w:p>
      <w:pPr>
        <w:tabs>
          <w:tab w:val="left" w:pos="3375"/>
        </w:tabs>
        <w:autoSpaceDE w:val="0"/>
        <w:autoSpaceDN w:val="0"/>
        <w:snapToGrid w:val="0"/>
        <w:spacing w:line="360" w:lineRule="auto"/>
        <w:ind w:firstLine="482"/>
        <w:rPr>
          <w:rFonts w:ascii="Times New Roman" w:hAnsi="Times New Roman" w:eastAsia="仿宋_GB2312" w:cs="Times New Roman"/>
          <w:color w:val="auto"/>
          <w:szCs w:val="24"/>
          <w:lang w:val="zh-CN"/>
        </w:rPr>
      </w:pPr>
      <w:bookmarkStart w:id="209" w:name="_Toc451799207"/>
      <w:bookmarkStart w:id="210" w:name="_Toc29933"/>
      <w:bookmarkStart w:id="211" w:name="_Toc439243904"/>
      <w:r>
        <w:rPr>
          <w:rFonts w:hint="eastAsia" w:ascii="Times New Roman" w:hAnsi="Times New Roman" w:eastAsia="仿宋_GB2312" w:cs="Times New Roman"/>
          <w:color w:val="auto"/>
          <w:szCs w:val="24"/>
          <w:lang w:val="zh-CN"/>
        </w:rPr>
        <w:t>规划</w:t>
      </w:r>
      <w:r>
        <w:rPr>
          <w:rFonts w:ascii="Times New Roman" w:hAnsi="Times New Roman" w:eastAsia="仿宋_GB2312" w:cs="Times New Roman"/>
          <w:color w:val="auto"/>
          <w:szCs w:val="24"/>
          <w:lang w:val="zh-CN"/>
        </w:rPr>
        <w:t>区域内场地内存在拆迁</w:t>
      </w:r>
      <w:r>
        <w:rPr>
          <w:rFonts w:hint="eastAsia" w:ascii="Times New Roman" w:hAnsi="Times New Roman" w:eastAsia="仿宋_GB2312" w:cs="Times New Roman"/>
          <w:color w:val="auto"/>
          <w:szCs w:val="24"/>
          <w:lang w:val="zh-CN"/>
        </w:rPr>
        <w:t>情况，拆迁内容主要为区域内村庄（杨家山村庄和王家庄）及原有工矿仓储用地少量房屋，</w:t>
      </w:r>
      <w:r>
        <w:rPr>
          <w:rFonts w:hint="eastAsia" w:ascii="Times New Roman" w:hAnsi="Times New Roman" w:eastAsia="仿宋_GB2312" w:cs="Times New Roman"/>
          <w:color w:val="auto"/>
          <w:szCs w:val="24"/>
        </w:rPr>
        <w:t>拆迁总面积5.55hm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，拆迁产生建筑垃圾约1.5万m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。拆迁工作由青山湖区罗家镇拆迁部门实施，按工期要求在工程正式开工前完成此项工作，为工程顺利施工创造条件。因区域需大量填土，为充分利用场地土石方，拆迁产生的约1.5万m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建筑垃圾在场地内机械破碎后用于区域内低洼区域回填。</w:t>
      </w:r>
    </w:p>
    <w:p>
      <w:pPr>
        <w:tabs>
          <w:tab w:val="left" w:pos="3375"/>
        </w:tabs>
        <w:autoSpaceDE w:val="0"/>
        <w:autoSpaceDN w:val="0"/>
        <w:snapToGrid w:val="0"/>
        <w:spacing w:line="360" w:lineRule="auto"/>
        <w:ind w:firstLine="482"/>
        <w:rPr>
          <w:rFonts w:ascii="Times New Roman" w:hAnsi="Times New Roman" w:eastAsia="仿宋_GB2312" w:cs="Times New Roman"/>
          <w:color w:val="auto"/>
          <w:szCs w:val="24"/>
          <w:lang w:val="zh-CN"/>
        </w:rPr>
      </w:pPr>
      <w:r>
        <w:rPr>
          <w:rFonts w:hint="eastAsia" w:ascii="Times New Roman" w:hAnsi="Times New Roman" w:eastAsia="仿宋_GB2312" w:cs="Times New Roman"/>
          <w:color w:val="auto"/>
          <w:szCs w:val="24"/>
          <w:lang w:val="zh-CN"/>
        </w:rPr>
        <w:t>规划区域内无专项设施改迁建工作。</w:t>
      </w:r>
    </w:p>
    <w:bookmarkEnd w:id="204"/>
    <w:bookmarkEnd w:id="205"/>
    <w:bookmarkEnd w:id="206"/>
    <w:bookmarkEnd w:id="207"/>
    <w:bookmarkEnd w:id="208"/>
    <w:bookmarkEnd w:id="209"/>
    <w:bookmarkEnd w:id="210"/>
    <w:bookmarkEnd w:id="211"/>
    <w:p>
      <w:pPr>
        <w:pStyle w:val="5"/>
        <w:rPr>
          <w:color w:val="auto"/>
        </w:rPr>
      </w:pPr>
      <w:bookmarkStart w:id="212" w:name="_Toc514432596"/>
      <w:bookmarkStart w:id="213" w:name="_Toc1754"/>
      <w:bookmarkStart w:id="214" w:name="_Toc4304"/>
      <w:bookmarkStart w:id="215" w:name="_Toc514431452"/>
      <w:bookmarkStart w:id="216" w:name="_Toc439243905"/>
      <w:bookmarkStart w:id="217" w:name="_Toc21040"/>
      <w:bookmarkStart w:id="218" w:name="_Toc22887"/>
      <w:bookmarkStart w:id="219" w:name="_Toc8294"/>
      <w:bookmarkStart w:id="220" w:name="_Toc514430842"/>
      <w:bookmarkStart w:id="221" w:name="_Toc499039870"/>
      <w:bookmarkStart w:id="222" w:name="_Toc451799208"/>
      <w:bookmarkStart w:id="223" w:name="_Toc5750"/>
      <w:bookmarkStart w:id="224" w:name="_Toc18588"/>
      <w:r>
        <w:rPr>
          <w:color w:val="auto"/>
        </w:rPr>
        <w:t xml:space="preserve">2.6 </w:t>
      </w:r>
      <w:r>
        <w:rPr>
          <w:rFonts w:eastAsia="仿宋_GB2312"/>
          <w:color w:val="auto"/>
        </w:rPr>
        <w:t>区域开发建设进度</w:t>
      </w:r>
      <w:bookmarkEnd w:id="212"/>
      <w:bookmarkEnd w:id="213"/>
      <w:bookmarkEnd w:id="214"/>
      <w:bookmarkEnd w:id="215"/>
      <w:bookmarkEnd w:id="216"/>
      <w:bookmarkEnd w:id="217"/>
      <w:bookmarkEnd w:id="218"/>
      <w:bookmarkEnd w:id="219"/>
      <w:bookmarkEnd w:id="220"/>
      <w:bookmarkEnd w:id="221"/>
      <w:bookmarkEnd w:id="222"/>
      <w:bookmarkEnd w:id="223"/>
      <w:bookmarkEnd w:id="224"/>
    </w:p>
    <w:p>
      <w:pPr>
        <w:pStyle w:val="6"/>
        <w:snapToGrid w:val="0"/>
        <w:spacing w:line="300" w:lineRule="auto"/>
        <w:rPr>
          <w:rFonts w:eastAsia="仿宋_GB2312"/>
          <w:bCs w:val="0"/>
          <w:color w:val="auto"/>
          <w:szCs w:val="30"/>
        </w:rPr>
      </w:pPr>
      <w:r>
        <w:rPr>
          <w:rFonts w:hint="eastAsia" w:eastAsia="仿宋_GB2312"/>
          <w:bCs w:val="0"/>
          <w:color w:val="auto"/>
          <w:szCs w:val="30"/>
        </w:rPr>
        <w:t>2.6.1 区域开发建设进度规划</w:t>
      </w:r>
    </w:p>
    <w:p>
      <w:pPr>
        <w:pStyle w:val="143"/>
        <w:adjustRightInd/>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规划</w:t>
      </w:r>
      <w:r>
        <w:rPr>
          <w:rFonts w:ascii="Times New Roman" w:hAnsi="Times New Roman" w:eastAsia="仿宋_GB2312" w:cs="Times New Roman"/>
          <w:color w:val="auto"/>
          <w:szCs w:val="24"/>
        </w:rPr>
        <w:t>区域于20</w:t>
      </w:r>
      <w:r>
        <w:rPr>
          <w:rFonts w:hint="eastAsia" w:ascii="Times New Roman" w:hAnsi="Times New Roman" w:eastAsia="仿宋_GB2312" w:cs="Times New Roman"/>
          <w:color w:val="auto"/>
          <w:szCs w:val="24"/>
        </w:rPr>
        <w:t>21</w:t>
      </w:r>
      <w:r>
        <w:rPr>
          <w:rFonts w:ascii="Times New Roman" w:hAnsi="Times New Roman" w:eastAsia="仿宋_GB2312" w:cs="Times New Roman"/>
          <w:color w:val="auto"/>
          <w:szCs w:val="24"/>
        </w:rPr>
        <w:t>年</w:t>
      </w:r>
      <w:r>
        <w:rPr>
          <w:rFonts w:hint="eastAsia" w:ascii="Times New Roman" w:hAnsi="Times New Roman" w:eastAsia="仿宋_GB2312" w:cs="Times New Roman"/>
          <w:color w:val="auto"/>
          <w:szCs w:val="24"/>
        </w:rPr>
        <w:t>1</w:t>
      </w:r>
      <w:r>
        <w:rPr>
          <w:rFonts w:ascii="Times New Roman" w:hAnsi="Times New Roman" w:eastAsia="仿宋_GB2312" w:cs="Times New Roman"/>
          <w:color w:val="auto"/>
          <w:szCs w:val="24"/>
        </w:rPr>
        <w:t>月开始建设，计划于202</w:t>
      </w:r>
      <w:r>
        <w:rPr>
          <w:rFonts w:hint="eastAsia" w:ascii="Times New Roman" w:hAnsi="Times New Roman" w:eastAsia="仿宋_GB2312" w:cs="Times New Roman"/>
          <w:color w:val="auto"/>
          <w:szCs w:val="24"/>
        </w:rPr>
        <w:t>5</w:t>
      </w:r>
      <w:r>
        <w:rPr>
          <w:rFonts w:ascii="Times New Roman" w:hAnsi="Times New Roman" w:eastAsia="仿宋_GB2312" w:cs="Times New Roman"/>
          <w:color w:val="auto"/>
          <w:szCs w:val="24"/>
        </w:rPr>
        <w:t>年</w:t>
      </w:r>
      <w:r>
        <w:rPr>
          <w:rFonts w:hint="eastAsia" w:ascii="Times New Roman" w:hAnsi="Times New Roman" w:eastAsia="仿宋_GB2312" w:cs="Times New Roman"/>
          <w:color w:val="auto"/>
          <w:szCs w:val="24"/>
        </w:rPr>
        <w:t>12</w:t>
      </w:r>
      <w:r>
        <w:rPr>
          <w:rFonts w:ascii="Times New Roman" w:hAnsi="Times New Roman" w:eastAsia="仿宋_GB2312" w:cs="Times New Roman"/>
          <w:color w:val="auto"/>
          <w:szCs w:val="24"/>
        </w:rPr>
        <w:t>月竣工，总规划工期</w:t>
      </w:r>
      <w:r>
        <w:rPr>
          <w:rFonts w:hint="eastAsia" w:ascii="Times New Roman" w:hAnsi="Times New Roman" w:eastAsia="仿宋_GB2312" w:cs="Times New Roman"/>
          <w:color w:val="auto"/>
          <w:szCs w:val="24"/>
        </w:rPr>
        <w:t>60</w:t>
      </w:r>
      <w:r>
        <w:rPr>
          <w:rFonts w:ascii="Times New Roman" w:hAnsi="Times New Roman" w:eastAsia="仿宋_GB2312" w:cs="Times New Roman"/>
          <w:color w:val="auto"/>
          <w:szCs w:val="24"/>
        </w:rPr>
        <w:t>个月。区域内各独立子项单独施工</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其中</w:t>
      </w:r>
      <w:r>
        <w:rPr>
          <w:rFonts w:hint="eastAsia" w:ascii="Times New Roman" w:hAnsi="Times New Roman" w:eastAsia="仿宋_GB2312" w:cs="Times New Roman"/>
          <w:color w:val="auto"/>
          <w:szCs w:val="24"/>
        </w:rPr>
        <w:t>各</w:t>
      </w:r>
      <w:r>
        <w:rPr>
          <w:rFonts w:ascii="Times New Roman" w:hAnsi="Times New Roman" w:eastAsia="仿宋_GB2312" w:cs="Times New Roman"/>
          <w:color w:val="auto"/>
          <w:szCs w:val="24"/>
        </w:rPr>
        <w:t>地块内平均工期为</w:t>
      </w:r>
      <w:r>
        <w:rPr>
          <w:rFonts w:hint="eastAsia" w:ascii="Times New Roman" w:hAnsi="Times New Roman" w:eastAsia="仿宋_GB2312" w:cs="Times New Roman"/>
          <w:color w:val="auto"/>
          <w:szCs w:val="24"/>
        </w:rPr>
        <w:t>1年，道路施工平均工期为1.5年，绿地区域平均工期为2年。规划区域优先修建道路，各地块整体由东向西开发进行开发建设。</w:t>
      </w:r>
    </w:p>
    <w:p>
      <w:pPr>
        <w:pStyle w:val="143"/>
        <w:adjustRightInd/>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区域规划前已</w:t>
      </w:r>
      <w:r>
        <w:rPr>
          <w:rFonts w:hint="eastAsia" w:ascii="Times New Roman" w:hAnsi="Times New Roman" w:eastAsia="仿宋_GB2312" w:cs="Times New Roman"/>
          <w:color w:val="auto"/>
          <w:szCs w:val="24"/>
        </w:rPr>
        <w:t>出让E08、E09、E11、E17、E19和E21共计6个地块，均为出让的一类工业用地（M1），其中E09、E19地块在</w:t>
      </w:r>
      <w:r>
        <w:rPr>
          <w:rFonts w:hint="eastAsia" w:ascii="Times New Roman" w:hAnsi="Times New Roman" w:eastAsia="仿宋_GB2312" w:cs="Times New Roman"/>
          <w:color w:val="auto"/>
          <w:szCs w:val="24"/>
        </w:rPr>
        <w:t>评估报告介入前</w:t>
      </w:r>
      <w:r>
        <w:rPr>
          <w:rFonts w:hint="eastAsia" w:ascii="Times New Roman" w:hAnsi="Times New Roman" w:eastAsia="仿宋_GB2312" w:cs="Times New Roman"/>
          <w:color w:val="auto"/>
          <w:szCs w:val="24"/>
        </w:rPr>
        <w:t>完成平整，后续至入驻企业进场后不再扰动；E08地块已出让未扰动；E11地块在区域规划前已进场施工，</w:t>
      </w:r>
      <w:r>
        <w:rPr>
          <w:rFonts w:hint="eastAsia" w:ascii="Times New Roman" w:hAnsi="Times New Roman" w:eastAsia="仿宋_GB2312" w:cs="Times New Roman"/>
          <w:color w:val="auto"/>
          <w:szCs w:val="24"/>
          <w:lang w:val="en-US" w:eastAsia="zh-CN"/>
        </w:rPr>
        <w:t>评估报告</w:t>
      </w:r>
      <w:r>
        <w:rPr>
          <w:rFonts w:hint="eastAsia" w:ascii="Times New Roman" w:hAnsi="Times New Roman" w:eastAsia="仿宋_GB2312" w:cs="Times New Roman"/>
          <w:color w:val="auto"/>
          <w:szCs w:val="24"/>
        </w:rPr>
        <w:t>介入时已完成建设；E17、E19地块部分区域的26.34hm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在区域规划前已进场施工，已批复水土保护方案。</w:t>
      </w:r>
      <w:r>
        <w:rPr>
          <w:rFonts w:hint="eastAsia" w:ascii="Times New Roman" w:hAnsi="Times New Roman" w:eastAsia="仿宋_GB2312" w:cs="Times New Roman"/>
          <w:color w:val="auto"/>
          <w:szCs w:val="24"/>
        </w:rPr>
        <w:t>评估报告介入</w:t>
      </w:r>
      <w:r>
        <w:rPr>
          <w:rFonts w:hint="eastAsia" w:ascii="Times New Roman" w:hAnsi="Times New Roman" w:eastAsia="仿宋_GB2312" w:cs="Times New Roman"/>
          <w:color w:val="auto"/>
          <w:szCs w:val="24"/>
        </w:rPr>
        <w:t>前已建有经十八路（谢佛路至杨家山路段）和杨家山路（西总干渠至南嵩路段）。</w:t>
      </w:r>
    </w:p>
    <w:p>
      <w:pPr>
        <w:pStyle w:val="143"/>
        <w:adjustRightInd/>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开发</w:t>
      </w:r>
      <w:r>
        <w:rPr>
          <w:rFonts w:ascii="Times New Roman" w:hAnsi="Times New Roman" w:eastAsia="仿宋_GB2312" w:cs="Times New Roman"/>
          <w:color w:val="auto"/>
          <w:szCs w:val="24"/>
        </w:rPr>
        <w:t>建设</w:t>
      </w:r>
      <w:r>
        <w:rPr>
          <w:rFonts w:hint="eastAsia" w:ascii="Times New Roman" w:hAnsi="Times New Roman" w:eastAsia="仿宋_GB2312" w:cs="Times New Roman"/>
          <w:color w:val="auto"/>
          <w:szCs w:val="24"/>
        </w:rPr>
        <w:t>施工</w:t>
      </w:r>
      <w:r>
        <w:rPr>
          <w:rFonts w:ascii="Times New Roman" w:hAnsi="Times New Roman" w:eastAsia="仿宋_GB2312" w:cs="Times New Roman"/>
          <w:color w:val="auto"/>
          <w:szCs w:val="24"/>
        </w:rPr>
        <w:t>进度安排详见图2</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6-1。</w:t>
      </w:r>
      <w:bookmarkStart w:id="225" w:name="_Toc21970"/>
      <w:bookmarkStart w:id="226" w:name="_Toc22628"/>
      <w:bookmarkStart w:id="227" w:name="_Toc18858"/>
      <w:bookmarkStart w:id="228" w:name="_Toc7817"/>
      <w:bookmarkStart w:id="229" w:name="_Toc9819"/>
    </w:p>
    <w:p>
      <w:pPr>
        <w:pStyle w:val="172"/>
        <w:adjustRightInd w:val="0"/>
        <w:snapToGrid w:val="0"/>
        <w:spacing w:line="360" w:lineRule="auto"/>
        <w:ind w:left="480" w:firstLine="0" w:firstLineChars="0"/>
        <w:jc w:val="center"/>
        <w:rPr>
          <w:rFonts w:ascii="Times New Roman" w:hAnsi="Times New Roman" w:eastAsia="仿宋_GB2312"/>
          <w:b/>
          <w:color w:val="auto"/>
        </w:rPr>
      </w:pPr>
      <w:r>
        <w:rPr>
          <w:rFonts w:ascii="Times New Roman" w:hAnsi="Times New Roman" w:eastAsia="仿宋_GB2312"/>
          <w:b/>
          <w:color w:val="auto"/>
        </w:rPr>
        <w:t>图2</w:t>
      </w:r>
      <w:r>
        <w:rPr>
          <w:rFonts w:hint="eastAsia" w:ascii="Times New Roman" w:hAnsi="Times New Roman" w:eastAsia="仿宋_GB2312"/>
          <w:b/>
          <w:color w:val="auto"/>
        </w:rPr>
        <w:t>.</w:t>
      </w:r>
      <w:r>
        <w:rPr>
          <w:rFonts w:ascii="Times New Roman" w:hAnsi="Times New Roman" w:eastAsia="仿宋_GB2312"/>
          <w:b/>
          <w:color w:val="auto"/>
        </w:rPr>
        <w:t>6-1：施工进度进度计划图</w:t>
      </w:r>
    </w:p>
    <w:tbl>
      <w:tblPr>
        <w:tblStyle w:val="37"/>
        <w:tblW w:w="921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09"/>
        <w:gridCol w:w="992"/>
        <w:gridCol w:w="1917"/>
        <w:gridCol w:w="1090"/>
        <w:gridCol w:w="1135"/>
        <w:gridCol w:w="1134"/>
        <w:gridCol w:w="1134"/>
        <w:gridCol w:w="110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709" w:type="dxa"/>
            <w:shd w:val="clear" w:color="auto" w:fill="auto"/>
            <w:vAlign w:val="center"/>
          </w:tcPr>
          <w:p>
            <w:pPr>
              <w:pStyle w:val="15"/>
              <w:spacing w:before="24" w:after="24"/>
              <w:ind w:left="0" w:leftChars="0" w:firstLine="0" w:firstLineChars="0"/>
              <w:jc w:val="center"/>
              <w:rPr>
                <w:rFonts w:eastAsia="仿宋_GB2312"/>
                <w:color w:val="auto"/>
                <w:sz w:val="18"/>
                <w:szCs w:val="18"/>
              </w:rPr>
            </w:pPr>
            <w:r>
              <w:rPr>
                <w:rFonts w:eastAsia="仿宋_GB2312"/>
                <w:color w:val="auto"/>
                <w:sz w:val="18"/>
                <w:szCs w:val="18"/>
              </w:rPr>
              <w:t>序号</w:t>
            </w:r>
          </w:p>
        </w:tc>
        <w:tc>
          <w:tcPr>
            <w:tcW w:w="2909" w:type="dxa"/>
            <w:gridSpan w:val="2"/>
            <w:vAlign w:val="center"/>
          </w:tcPr>
          <w:p>
            <w:pPr>
              <w:pStyle w:val="15"/>
              <w:spacing w:before="24" w:after="24"/>
              <w:ind w:left="0" w:leftChars="0" w:firstLine="0" w:firstLineChars="0"/>
              <w:jc w:val="center"/>
              <w:rPr>
                <w:rFonts w:eastAsia="仿宋_GB2312"/>
                <w:color w:val="auto"/>
                <w:sz w:val="18"/>
                <w:szCs w:val="18"/>
              </w:rPr>
            </w:pPr>
            <w:r>
              <w:rPr>
                <w:rFonts w:hint="eastAsia" w:eastAsia="仿宋_GB2312"/>
                <w:color w:val="auto"/>
                <w:sz w:val="18"/>
                <w:szCs w:val="18"/>
              </w:rPr>
              <w:t>区域</w:t>
            </w:r>
            <w:r>
              <w:rPr>
                <w:rFonts w:eastAsia="仿宋_GB2312"/>
                <w:color w:val="auto"/>
                <w:sz w:val="18"/>
                <w:szCs w:val="18"/>
              </w:rPr>
              <w:t>划分</w:t>
            </w:r>
          </w:p>
        </w:tc>
        <w:tc>
          <w:tcPr>
            <w:tcW w:w="1090" w:type="dxa"/>
            <w:vAlign w:val="center"/>
          </w:tcPr>
          <w:p>
            <w:pPr>
              <w:pStyle w:val="15"/>
              <w:spacing w:before="24" w:after="24"/>
              <w:ind w:left="0" w:leftChars="0" w:firstLine="0" w:firstLineChars="0"/>
              <w:jc w:val="center"/>
              <w:rPr>
                <w:rFonts w:eastAsia="仿宋_GB2312"/>
                <w:color w:val="auto"/>
                <w:sz w:val="18"/>
                <w:szCs w:val="18"/>
              </w:rPr>
            </w:pPr>
            <w:r>
              <w:rPr>
                <w:rFonts w:hint="eastAsia" w:eastAsia="仿宋_GB2312"/>
                <w:color w:val="auto"/>
                <w:sz w:val="18"/>
                <w:szCs w:val="18"/>
              </w:rPr>
              <w:t>2021</w:t>
            </w:r>
          </w:p>
        </w:tc>
        <w:tc>
          <w:tcPr>
            <w:tcW w:w="1135" w:type="dxa"/>
            <w:vAlign w:val="center"/>
          </w:tcPr>
          <w:p>
            <w:pPr>
              <w:pStyle w:val="15"/>
              <w:spacing w:before="24" w:after="24"/>
              <w:ind w:left="0" w:leftChars="0" w:firstLine="0" w:firstLineChars="0"/>
              <w:jc w:val="center"/>
              <w:rPr>
                <w:rFonts w:eastAsia="仿宋_GB2312"/>
                <w:color w:val="auto"/>
                <w:sz w:val="18"/>
                <w:szCs w:val="18"/>
              </w:rPr>
            </w:pPr>
            <w:r>
              <w:rPr>
                <w:rFonts w:hint="eastAsia" w:eastAsia="仿宋_GB2312"/>
                <w:color w:val="auto"/>
                <w:sz w:val="18"/>
                <w:szCs w:val="18"/>
              </w:rPr>
              <w:t>2022</w:t>
            </w:r>
          </w:p>
        </w:tc>
        <w:tc>
          <w:tcPr>
            <w:tcW w:w="1134" w:type="dxa"/>
            <w:vAlign w:val="center"/>
          </w:tcPr>
          <w:p>
            <w:pPr>
              <w:pStyle w:val="15"/>
              <w:spacing w:before="24" w:after="24"/>
              <w:ind w:left="0" w:leftChars="0" w:firstLine="0" w:firstLineChars="0"/>
              <w:jc w:val="center"/>
              <w:rPr>
                <w:rFonts w:eastAsia="仿宋_GB2312"/>
                <w:color w:val="auto"/>
                <w:sz w:val="18"/>
                <w:szCs w:val="18"/>
              </w:rPr>
            </w:pPr>
            <w:r>
              <w:rPr>
                <w:rFonts w:hint="eastAsia" w:eastAsia="仿宋_GB2312"/>
                <w:color w:val="auto"/>
                <w:sz w:val="18"/>
                <w:szCs w:val="18"/>
              </w:rPr>
              <w:t>2023</w:t>
            </w:r>
          </w:p>
        </w:tc>
        <w:tc>
          <w:tcPr>
            <w:tcW w:w="1134" w:type="dxa"/>
            <w:vAlign w:val="center"/>
          </w:tcPr>
          <w:p>
            <w:pPr>
              <w:pStyle w:val="15"/>
              <w:spacing w:before="24" w:after="24"/>
              <w:ind w:left="0" w:leftChars="0" w:firstLine="0" w:firstLineChars="0"/>
              <w:jc w:val="center"/>
              <w:rPr>
                <w:rFonts w:eastAsia="仿宋_GB2312"/>
                <w:color w:val="auto"/>
                <w:sz w:val="18"/>
                <w:szCs w:val="18"/>
              </w:rPr>
            </w:pPr>
            <w:r>
              <w:rPr>
                <w:rFonts w:hint="eastAsia" w:eastAsia="仿宋_GB2312"/>
                <w:color w:val="auto"/>
                <w:sz w:val="18"/>
                <w:szCs w:val="18"/>
              </w:rPr>
              <w:t>2024</w:t>
            </w:r>
          </w:p>
        </w:tc>
        <w:tc>
          <w:tcPr>
            <w:tcW w:w="1107" w:type="dxa"/>
            <w:vAlign w:val="center"/>
          </w:tcPr>
          <w:p>
            <w:pPr>
              <w:pStyle w:val="15"/>
              <w:spacing w:before="24" w:after="24"/>
              <w:ind w:left="0" w:leftChars="0" w:firstLine="0" w:firstLineChars="0"/>
              <w:jc w:val="center"/>
              <w:rPr>
                <w:rFonts w:eastAsia="仿宋_GB2312"/>
                <w:color w:val="auto"/>
                <w:sz w:val="18"/>
                <w:szCs w:val="18"/>
              </w:rPr>
            </w:pPr>
            <w:r>
              <w:rPr>
                <w:rFonts w:hint="eastAsia" w:eastAsia="仿宋_GB2312"/>
                <w:color w:val="auto"/>
                <w:sz w:val="18"/>
                <w:szCs w:val="18"/>
              </w:rPr>
              <w:t>2025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09" w:type="dxa"/>
            <w:vMerge w:val="restart"/>
            <w:shd w:val="clear" w:color="auto" w:fill="auto"/>
            <w:vAlign w:val="center"/>
          </w:tcPr>
          <w:p>
            <w:pPr>
              <w:pStyle w:val="15"/>
              <w:spacing w:before="24" w:after="24"/>
              <w:ind w:left="0" w:leftChars="0" w:firstLine="0" w:firstLineChars="0"/>
              <w:jc w:val="center"/>
              <w:rPr>
                <w:rFonts w:eastAsia="仿宋_GB2312"/>
                <w:color w:val="auto"/>
                <w:sz w:val="18"/>
                <w:szCs w:val="18"/>
              </w:rPr>
            </w:pPr>
            <w:r>
              <w:rPr>
                <w:rFonts w:hint="eastAsia" w:eastAsia="仿宋_GB2312"/>
                <w:color w:val="auto"/>
                <w:sz w:val="18"/>
                <w:szCs w:val="18"/>
              </w:rPr>
              <w:t>1</w:t>
            </w:r>
          </w:p>
        </w:tc>
        <w:tc>
          <w:tcPr>
            <w:tcW w:w="992" w:type="dxa"/>
            <w:vMerge w:val="restart"/>
            <w:vAlign w:val="center"/>
          </w:tcPr>
          <w:p>
            <w:pPr>
              <w:pStyle w:val="15"/>
              <w:spacing w:before="24" w:after="24"/>
              <w:ind w:left="0" w:leftChars="0" w:firstLine="0" w:firstLineChars="0"/>
              <w:jc w:val="center"/>
              <w:rPr>
                <w:rFonts w:eastAsia="仿宋_GB2312"/>
                <w:color w:val="auto"/>
                <w:sz w:val="18"/>
                <w:szCs w:val="18"/>
              </w:rPr>
            </w:pPr>
            <w:r>
              <w:rPr>
                <w:rFonts w:eastAsia="仿宋_GB2312"/>
                <w:color w:val="auto"/>
                <w:sz w:val="18"/>
                <w:szCs w:val="18"/>
              </w:rPr>
              <w:t>公共基础设施区</w:t>
            </w:r>
          </w:p>
        </w:tc>
        <w:tc>
          <w:tcPr>
            <w:tcW w:w="1917" w:type="dxa"/>
            <w:shd w:val="clear" w:color="auto" w:fill="auto"/>
            <w:vAlign w:val="center"/>
          </w:tcPr>
          <w:p>
            <w:pPr>
              <w:pStyle w:val="15"/>
              <w:spacing w:before="24" w:after="24"/>
              <w:ind w:left="0" w:leftChars="0" w:firstLine="0" w:firstLineChars="0"/>
              <w:jc w:val="center"/>
              <w:rPr>
                <w:rFonts w:eastAsia="仿宋_GB2312"/>
                <w:color w:val="auto"/>
                <w:sz w:val="18"/>
                <w:szCs w:val="18"/>
              </w:rPr>
            </w:pPr>
            <w:r>
              <w:rPr>
                <w:rFonts w:eastAsia="仿宋_GB2312"/>
                <w:color w:val="auto"/>
                <w:sz w:val="18"/>
                <w:szCs w:val="18"/>
              </w:rPr>
              <w:t>道路与交通设施用地</w:t>
            </w:r>
          </w:p>
        </w:tc>
        <w:tc>
          <w:tcPr>
            <w:tcW w:w="1090" w:type="dxa"/>
            <w:vAlign w:val="center"/>
          </w:tcPr>
          <w:p>
            <w:pPr>
              <w:pStyle w:val="15"/>
              <w:spacing w:before="24" w:after="24"/>
              <w:ind w:left="0" w:leftChars="0" w:firstLine="0" w:firstLineChars="0"/>
              <w:jc w:val="center"/>
              <w:rPr>
                <w:rFonts w:eastAsia="仿宋_GB2312"/>
                <w:color w:val="auto"/>
                <w:sz w:val="18"/>
                <w:szCs w:val="18"/>
              </w:rPr>
            </w:pPr>
            <w:r>
              <w:rPr>
                <w:rFonts w:eastAsia="仿宋_GB2312"/>
                <w:color w:val="auto"/>
                <w:sz w:val="18"/>
                <w:szCs w:val="18"/>
              </w:rPr>
              <w:pict>
                <v:line id="_x0000_s2051" o:spid="_x0000_s2051" o:spt="20" style="position:absolute;left:0pt;flip:y;margin-left:-3.35pt;margin-top:7.85pt;height:0pt;width:196.3pt;z-index:251662336;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">
                  <v:path arrowok="t"/>
                  <v:fill focussize="0,0"/>
                  <v:stroke weight="2.25pt"/>
                  <v:imagedata o:title=""/>
                  <o:lock v:ext="edit"/>
                </v:line>
              </w:pict>
            </w:r>
          </w:p>
        </w:tc>
        <w:tc>
          <w:tcPr>
            <w:tcW w:w="1135" w:type="dxa"/>
            <w:shd w:val="clear" w:color="auto" w:fill="auto"/>
            <w:vAlign w:val="center"/>
          </w:tcPr>
          <w:p>
            <w:pPr>
              <w:pStyle w:val="15"/>
              <w:spacing w:before="24" w:after="24"/>
              <w:ind w:left="0" w:leftChars="0" w:firstLine="0" w:firstLineChars="0"/>
              <w:jc w:val="center"/>
              <w:rPr>
                <w:rFonts w:eastAsia="仿宋_GB2312"/>
                <w:color w:val="auto"/>
                <w:sz w:val="18"/>
                <w:szCs w:val="18"/>
              </w:rPr>
            </w:pPr>
          </w:p>
        </w:tc>
        <w:tc>
          <w:tcPr>
            <w:tcW w:w="1134" w:type="dxa"/>
            <w:shd w:val="clear" w:color="auto" w:fill="auto"/>
            <w:vAlign w:val="center"/>
          </w:tcPr>
          <w:p>
            <w:pPr>
              <w:pStyle w:val="15"/>
              <w:spacing w:before="24" w:after="24"/>
              <w:ind w:left="0" w:leftChars="0" w:firstLine="0" w:firstLineChars="0"/>
              <w:jc w:val="center"/>
              <w:rPr>
                <w:rFonts w:eastAsia="仿宋_GB2312"/>
                <w:color w:val="auto"/>
                <w:sz w:val="18"/>
                <w:szCs w:val="18"/>
              </w:rPr>
            </w:pPr>
          </w:p>
        </w:tc>
        <w:tc>
          <w:tcPr>
            <w:tcW w:w="1134" w:type="dxa"/>
            <w:shd w:val="clear" w:color="auto" w:fill="auto"/>
            <w:vAlign w:val="center"/>
          </w:tcPr>
          <w:p>
            <w:pPr>
              <w:pStyle w:val="15"/>
              <w:spacing w:before="24" w:after="24"/>
              <w:ind w:left="0" w:leftChars="0" w:firstLine="0" w:firstLineChars="0"/>
              <w:jc w:val="center"/>
              <w:rPr>
                <w:rFonts w:eastAsia="仿宋_GB2312"/>
                <w:color w:val="auto"/>
                <w:sz w:val="18"/>
                <w:szCs w:val="18"/>
              </w:rPr>
            </w:pPr>
          </w:p>
        </w:tc>
        <w:tc>
          <w:tcPr>
            <w:tcW w:w="1107" w:type="dxa"/>
            <w:vAlign w:val="center"/>
          </w:tcPr>
          <w:p>
            <w:pPr>
              <w:pStyle w:val="15"/>
              <w:spacing w:before="24" w:after="24"/>
              <w:ind w:left="0" w:leftChars="0" w:firstLine="0" w:firstLineChars="0"/>
              <w:jc w:val="center"/>
              <w:rPr>
                <w:rFonts w:eastAsia="仿宋_GB2312"/>
                <w:color w:val="auto"/>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09" w:type="dxa"/>
            <w:vMerge w:val="continue"/>
            <w:shd w:val="clear" w:color="auto" w:fill="auto"/>
            <w:vAlign w:val="center"/>
          </w:tcPr>
          <w:p>
            <w:pPr>
              <w:pStyle w:val="15"/>
              <w:spacing w:before="24" w:after="24"/>
              <w:ind w:left="0" w:leftChars="0" w:firstLine="0" w:firstLineChars="0"/>
              <w:jc w:val="center"/>
              <w:rPr>
                <w:rFonts w:eastAsia="仿宋_GB2312"/>
                <w:color w:val="auto"/>
                <w:sz w:val="18"/>
                <w:szCs w:val="18"/>
              </w:rPr>
            </w:pPr>
          </w:p>
        </w:tc>
        <w:tc>
          <w:tcPr>
            <w:tcW w:w="992" w:type="dxa"/>
            <w:vMerge w:val="continue"/>
            <w:vAlign w:val="center"/>
          </w:tcPr>
          <w:p>
            <w:pPr>
              <w:pStyle w:val="15"/>
              <w:spacing w:before="24" w:after="24"/>
              <w:ind w:left="0" w:leftChars="0" w:firstLine="0" w:firstLineChars="0"/>
              <w:jc w:val="center"/>
              <w:rPr>
                <w:rFonts w:eastAsia="仿宋_GB2312"/>
                <w:color w:val="auto"/>
                <w:sz w:val="18"/>
                <w:szCs w:val="18"/>
              </w:rPr>
            </w:pPr>
          </w:p>
        </w:tc>
        <w:tc>
          <w:tcPr>
            <w:tcW w:w="1917" w:type="dxa"/>
            <w:shd w:val="clear" w:color="auto" w:fill="auto"/>
            <w:vAlign w:val="center"/>
          </w:tcPr>
          <w:p>
            <w:pPr>
              <w:pStyle w:val="15"/>
              <w:spacing w:before="24" w:after="24"/>
              <w:ind w:left="0" w:leftChars="0" w:firstLine="0" w:firstLineChars="0"/>
              <w:jc w:val="center"/>
              <w:rPr>
                <w:rFonts w:eastAsia="仿宋_GB2312"/>
                <w:color w:val="auto"/>
                <w:sz w:val="18"/>
                <w:szCs w:val="18"/>
              </w:rPr>
            </w:pPr>
            <w:r>
              <w:rPr>
                <w:rFonts w:eastAsia="仿宋_GB2312"/>
                <w:color w:val="auto"/>
                <w:sz w:val="18"/>
                <w:szCs w:val="18"/>
              </w:rPr>
              <w:t>公用设施用地</w:t>
            </w:r>
          </w:p>
        </w:tc>
        <w:tc>
          <w:tcPr>
            <w:tcW w:w="1090" w:type="dxa"/>
            <w:vAlign w:val="center"/>
          </w:tcPr>
          <w:p>
            <w:pPr>
              <w:pStyle w:val="15"/>
              <w:spacing w:before="24" w:after="24"/>
              <w:ind w:left="0" w:leftChars="0" w:firstLine="0" w:firstLineChars="0"/>
              <w:jc w:val="center"/>
              <w:rPr>
                <w:rFonts w:eastAsia="仿宋_GB2312"/>
                <w:color w:val="auto"/>
                <w:sz w:val="18"/>
                <w:szCs w:val="18"/>
              </w:rPr>
            </w:pPr>
          </w:p>
        </w:tc>
        <w:tc>
          <w:tcPr>
            <w:tcW w:w="1135" w:type="dxa"/>
            <w:shd w:val="clear" w:color="auto" w:fill="auto"/>
            <w:vAlign w:val="center"/>
          </w:tcPr>
          <w:p>
            <w:pPr>
              <w:pStyle w:val="15"/>
              <w:spacing w:before="24" w:after="24"/>
              <w:ind w:left="0" w:leftChars="0" w:firstLine="0" w:firstLineChars="0"/>
              <w:jc w:val="center"/>
              <w:rPr>
                <w:rFonts w:eastAsia="仿宋_GB2312"/>
                <w:color w:val="auto"/>
                <w:sz w:val="18"/>
                <w:szCs w:val="18"/>
              </w:rPr>
            </w:pPr>
          </w:p>
        </w:tc>
        <w:tc>
          <w:tcPr>
            <w:tcW w:w="1134" w:type="dxa"/>
            <w:shd w:val="clear" w:color="auto" w:fill="auto"/>
            <w:vAlign w:val="center"/>
          </w:tcPr>
          <w:p>
            <w:pPr>
              <w:pStyle w:val="15"/>
              <w:spacing w:before="24" w:after="24"/>
              <w:ind w:left="0" w:leftChars="0" w:firstLine="0" w:firstLineChars="0"/>
              <w:jc w:val="center"/>
              <w:rPr>
                <w:rFonts w:eastAsia="仿宋_GB2312"/>
                <w:color w:val="auto"/>
                <w:sz w:val="18"/>
                <w:szCs w:val="18"/>
              </w:rPr>
            </w:pPr>
            <w:r>
              <w:rPr>
                <w:rFonts w:eastAsia="仿宋_GB2312"/>
                <w:color w:val="auto"/>
                <w:sz w:val="18"/>
                <w:szCs w:val="18"/>
              </w:rPr>
              <w:pict>
                <v:line id="_x0000_s2052" o:spid="_x0000_s2052" o:spt="20" style="position:absolute;left:0pt;flip:y;margin-left:-4.1pt;margin-top:6.35pt;height:0pt;width:151.8pt;z-index:251663360;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">
                  <v:path arrowok="t"/>
                  <v:fill focussize="0,0"/>
                  <v:stroke weight="2.25pt"/>
                  <v:imagedata o:title=""/>
                  <o:lock v:ext="edit"/>
                </v:line>
              </w:pict>
            </w:r>
          </w:p>
        </w:tc>
        <w:tc>
          <w:tcPr>
            <w:tcW w:w="1134" w:type="dxa"/>
            <w:shd w:val="clear" w:color="auto" w:fill="auto"/>
            <w:vAlign w:val="center"/>
          </w:tcPr>
          <w:p>
            <w:pPr>
              <w:pStyle w:val="15"/>
              <w:spacing w:before="24" w:after="24"/>
              <w:ind w:left="0" w:leftChars="0" w:firstLine="0" w:firstLineChars="0"/>
              <w:jc w:val="center"/>
              <w:rPr>
                <w:rFonts w:eastAsia="仿宋_GB2312"/>
                <w:color w:val="auto"/>
                <w:sz w:val="18"/>
                <w:szCs w:val="18"/>
              </w:rPr>
            </w:pPr>
          </w:p>
        </w:tc>
        <w:tc>
          <w:tcPr>
            <w:tcW w:w="1107" w:type="dxa"/>
            <w:vAlign w:val="center"/>
          </w:tcPr>
          <w:p>
            <w:pPr>
              <w:pStyle w:val="15"/>
              <w:spacing w:before="24" w:after="24"/>
              <w:ind w:left="0" w:leftChars="0" w:firstLine="0" w:firstLineChars="0"/>
              <w:jc w:val="center"/>
              <w:rPr>
                <w:rFonts w:eastAsia="仿宋_GB2312"/>
                <w:color w:val="auto"/>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09" w:type="dxa"/>
            <w:vMerge w:val="continue"/>
            <w:shd w:val="clear" w:color="auto" w:fill="auto"/>
            <w:vAlign w:val="center"/>
          </w:tcPr>
          <w:p>
            <w:pPr>
              <w:pStyle w:val="15"/>
              <w:spacing w:before="24" w:after="24"/>
              <w:ind w:left="0" w:leftChars="0" w:firstLine="0" w:firstLineChars="0"/>
              <w:jc w:val="center"/>
              <w:rPr>
                <w:rFonts w:eastAsia="仿宋_GB2312"/>
                <w:color w:val="auto"/>
                <w:sz w:val="18"/>
                <w:szCs w:val="18"/>
              </w:rPr>
            </w:pPr>
          </w:p>
        </w:tc>
        <w:tc>
          <w:tcPr>
            <w:tcW w:w="992" w:type="dxa"/>
            <w:vMerge w:val="continue"/>
            <w:vAlign w:val="center"/>
          </w:tcPr>
          <w:p>
            <w:pPr>
              <w:pStyle w:val="15"/>
              <w:spacing w:before="24" w:after="24"/>
              <w:ind w:left="0" w:leftChars="0" w:firstLine="0" w:firstLineChars="0"/>
              <w:jc w:val="center"/>
              <w:rPr>
                <w:rFonts w:eastAsia="仿宋_GB2312"/>
                <w:color w:val="auto"/>
                <w:sz w:val="18"/>
                <w:szCs w:val="18"/>
              </w:rPr>
            </w:pPr>
          </w:p>
        </w:tc>
        <w:tc>
          <w:tcPr>
            <w:tcW w:w="1917" w:type="dxa"/>
            <w:shd w:val="clear" w:color="auto" w:fill="auto"/>
            <w:vAlign w:val="center"/>
          </w:tcPr>
          <w:p>
            <w:pPr>
              <w:pStyle w:val="15"/>
              <w:spacing w:before="24" w:after="24"/>
              <w:ind w:left="0" w:leftChars="0" w:firstLine="0" w:firstLineChars="0"/>
              <w:jc w:val="center"/>
              <w:rPr>
                <w:rFonts w:eastAsia="仿宋_GB2312"/>
                <w:color w:val="auto"/>
                <w:sz w:val="18"/>
                <w:szCs w:val="18"/>
              </w:rPr>
            </w:pPr>
            <w:r>
              <w:rPr>
                <w:rFonts w:eastAsia="仿宋_GB2312"/>
                <w:color w:val="auto"/>
                <w:sz w:val="18"/>
                <w:szCs w:val="18"/>
              </w:rPr>
              <w:t>绿地</w:t>
            </w:r>
          </w:p>
        </w:tc>
        <w:tc>
          <w:tcPr>
            <w:tcW w:w="1090" w:type="dxa"/>
            <w:vAlign w:val="center"/>
          </w:tcPr>
          <w:p>
            <w:pPr>
              <w:pStyle w:val="15"/>
              <w:spacing w:before="24" w:after="24"/>
              <w:ind w:left="0" w:leftChars="0" w:firstLine="0" w:firstLineChars="0"/>
              <w:jc w:val="center"/>
              <w:rPr>
                <w:rFonts w:eastAsia="仿宋_GB2312"/>
                <w:color w:val="auto"/>
                <w:sz w:val="18"/>
                <w:szCs w:val="18"/>
              </w:rPr>
            </w:pPr>
          </w:p>
        </w:tc>
        <w:tc>
          <w:tcPr>
            <w:tcW w:w="1135" w:type="dxa"/>
            <w:shd w:val="clear" w:color="auto" w:fill="auto"/>
            <w:vAlign w:val="center"/>
          </w:tcPr>
          <w:p>
            <w:pPr>
              <w:pStyle w:val="15"/>
              <w:spacing w:before="24" w:after="24"/>
              <w:ind w:left="0" w:leftChars="0" w:firstLine="0" w:firstLineChars="0"/>
              <w:jc w:val="center"/>
              <w:rPr>
                <w:rFonts w:eastAsia="仿宋_GB2312"/>
                <w:color w:val="auto"/>
                <w:sz w:val="18"/>
                <w:szCs w:val="18"/>
              </w:rPr>
            </w:pPr>
            <w:r>
              <w:rPr>
                <w:rFonts w:eastAsia="仿宋_GB2312"/>
                <w:color w:val="auto"/>
                <w:sz w:val="18"/>
                <w:szCs w:val="18"/>
              </w:rPr>
              <w:pict>
                <v:line id="_x0000_s2053" o:spid="_x0000_s2053" o:spt="20" style="position:absolute;left:0pt;flip:y;margin-left:35.75pt;margin-top:8.05pt;height:0pt;width:183.15pt;z-index:251664384;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">
                  <v:path arrowok="t"/>
                  <v:fill focussize="0,0"/>
                  <v:stroke weight="2.25pt"/>
                  <v:imagedata o:title=""/>
                  <o:lock v:ext="edit"/>
                </v:line>
              </w:pict>
            </w:r>
          </w:p>
        </w:tc>
        <w:tc>
          <w:tcPr>
            <w:tcW w:w="1134" w:type="dxa"/>
            <w:shd w:val="clear" w:color="auto" w:fill="auto"/>
            <w:vAlign w:val="center"/>
          </w:tcPr>
          <w:p>
            <w:pPr>
              <w:pStyle w:val="15"/>
              <w:spacing w:before="24" w:after="24"/>
              <w:ind w:left="0" w:leftChars="0" w:firstLine="0" w:firstLineChars="0"/>
              <w:jc w:val="center"/>
              <w:rPr>
                <w:rFonts w:eastAsia="仿宋_GB2312"/>
                <w:color w:val="auto"/>
                <w:sz w:val="18"/>
                <w:szCs w:val="18"/>
              </w:rPr>
            </w:pPr>
          </w:p>
        </w:tc>
        <w:tc>
          <w:tcPr>
            <w:tcW w:w="1134" w:type="dxa"/>
            <w:shd w:val="clear" w:color="auto" w:fill="auto"/>
            <w:vAlign w:val="center"/>
          </w:tcPr>
          <w:p>
            <w:pPr>
              <w:pStyle w:val="15"/>
              <w:spacing w:before="24" w:after="24"/>
              <w:ind w:left="0" w:leftChars="0" w:firstLine="0" w:firstLineChars="0"/>
              <w:jc w:val="center"/>
              <w:rPr>
                <w:rFonts w:eastAsia="仿宋_GB2312"/>
                <w:color w:val="auto"/>
                <w:sz w:val="18"/>
                <w:szCs w:val="18"/>
              </w:rPr>
            </w:pPr>
          </w:p>
        </w:tc>
        <w:tc>
          <w:tcPr>
            <w:tcW w:w="1107" w:type="dxa"/>
            <w:vAlign w:val="center"/>
          </w:tcPr>
          <w:p>
            <w:pPr>
              <w:pStyle w:val="15"/>
              <w:spacing w:before="24" w:after="24"/>
              <w:ind w:left="0" w:leftChars="0" w:firstLine="0" w:firstLineChars="0"/>
              <w:jc w:val="center"/>
              <w:rPr>
                <w:rFonts w:eastAsia="仿宋_GB2312"/>
                <w:color w:val="auto"/>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09" w:type="dxa"/>
            <w:vMerge w:val="restart"/>
            <w:shd w:val="clear" w:color="auto" w:fill="auto"/>
            <w:vAlign w:val="center"/>
          </w:tcPr>
          <w:p>
            <w:pPr>
              <w:pStyle w:val="15"/>
              <w:spacing w:before="24" w:after="24"/>
              <w:ind w:left="0" w:leftChars="0" w:firstLine="0" w:firstLineChars="0"/>
              <w:jc w:val="center"/>
              <w:rPr>
                <w:rFonts w:eastAsia="仿宋_GB2312"/>
                <w:color w:val="auto"/>
                <w:sz w:val="18"/>
                <w:szCs w:val="18"/>
              </w:rPr>
            </w:pPr>
            <w:r>
              <w:rPr>
                <w:rFonts w:hint="eastAsia" w:eastAsia="仿宋_GB2312"/>
                <w:color w:val="auto"/>
                <w:sz w:val="18"/>
                <w:szCs w:val="18"/>
              </w:rPr>
              <w:t>2</w:t>
            </w:r>
          </w:p>
        </w:tc>
        <w:tc>
          <w:tcPr>
            <w:tcW w:w="992" w:type="dxa"/>
            <w:vMerge w:val="restart"/>
            <w:vAlign w:val="center"/>
          </w:tcPr>
          <w:p>
            <w:pPr>
              <w:pStyle w:val="15"/>
              <w:spacing w:before="24" w:after="24"/>
              <w:ind w:left="0" w:leftChars="0" w:firstLine="0" w:firstLineChars="0"/>
              <w:jc w:val="center"/>
              <w:rPr>
                <w:rFonts w:eastAsia="仿宋_GB2312"/>
                <w:color w:val="auto"/>
                <w:sz w:val="18"/>
                <w:szCs w:val="18"/>
              </w:rPr>
            </w:pPr>
            <w:r>
              <w:rPr>
                <w:rFonts w:eastAsia="仿宋_GB2312"/>
                <w:color w:val="auto"/>
                <w:sz w:val="18"/>
                <w:szCs w:val="18"/>
              </w:rPr>
              <w:t>区域规划功能区</w:t>
            </w:r>
          </w:p>
        </w:tc>
        <w:tc>
          <w:tcPr>
            <w:tcW w:w="1917" w:type="dxa"/>
            <w:shd w:val="clear" w:color="auto" w:fill="auto"/>
            <w:vAlign w:val="center"/>
          </w:tcPr>
          <w:p>
            <w:pPr>
              <w:pStyle w:val="15"/>
              <w:spacing w:before="24" w:after="24"/>
              <w:ind w:left="0" w:leftChars="0" w:firstLine="0" w:firstLineChars="0"/>
              <w:jc w:val="center"/>
              <w:rPr>
                <w:rFonts w:eastAsia="仿宋_GB2312"/>
                <w:color w:val="auto"/>
                <w:sz w:val="18"/>
                <w:szCs w:val="18"/>
              </w:rPr>
            </w:pPr>
            <w:r>
              <w:rPr>
                <w:rFonts w:eastAsia="仿宋_GB2312"/>
                <w:color w:val="auto"/>
                <w:sz w:val="18"/>
                <w:szCs w:val="18"/>
              </w:rPr>
              <w:t>工业用地</w:t>
            </w:r>
          </w:p>
        </w:tc>
        <w:tc>
          <w:tcPr>
            <w:tcW w:w="1090" w:type="dxa"/>
            <w:vAlign w:val="center"/>
          </w:tcPr>
          <w:p>
            <w:pPr>
              <w:pStyle w:val="15"/>
              <w:spacing w:before="24" w:after="24"/>
              <w:ind w:left="0" w:leftChars="0" w:firstLine="0" w:firstLineChars="0"/>
              <w:jc w:val="center"/>
              <w:rPr>
                <w:rFonts w:eastAsia="仿宋_GB2312"/>
                <w:color w:val="auto"/>
                <w:sz w:val="18"/>
                <w:szCs w:val="18"/>
              </w:rPr>
            </w:pPr>
            <w:r>
              <w:rPr>
                <w:rFonts w:eastAsia="仿宋_GB2312"/>
                <w:color w:val="auto"/>
                <w:sz w:val="18"/>
                <w:szCs w:val="18"/>
              </w:rPr>
              <w:pict>
                <v:line id="直接连接符 508" o:spid="_x0000_s2054" o:spt="20" style="position:absolute;left:0pt;flip:y;margin-left:-2.95pt;margin-top:9.65pt;height:0pt;width:276.55pt;z-index:251665408;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">
                  <v:path arrowok="t"/>
                  <v:fill focussize="0,0"/>
                  <v:stroke weight="2.25pt"/>
                  <v:imagedata o:title=""/>
                  <o:lock v:ext="edit"/>
                </v:line>
              </w:pict>
            </w:r>
          </w:p>
        </w:tc>
        <w:tc>
          <w:tcPr>
            <w:tcW w:w="1135" w:type="dxa"/>
            <w:shd w:val="clear" w:color="auto" w:fill="auto"/>
            <w:vAlign w:val="center"/>
          </w:tcPr>
          <w:p>
            <w:pPr>
              <w:pStyle w:val="15"/>
              <w:spacing w:before="24" w:after="24"/>
              <w:ind w:left="0" w:leftChars="0" w:firstLine="0" w:firstLineChars="0"/>
              <w:jc w:val="center"/>
              <w:rPr>
                <w:rFonts w:eastAsia="仿宋_GB2312"/>
                <w:color w:val="auto"/>
                <w:sz w:val="18"/>
                <w:szCs w:val="18"/>
              </w:rPr>
            </w:pPr>
          </w:p>
        </w:tc>
        <w:tc>
          <w:tcPr>
            <w:tcW w:w="1134" w:type="dxa"/>
            <w:shd w:val="clear" w:color="auto" w:fill="auto"/>
            <w:vAlign w:val="center"/>
          </w:tcPr>
          <w:p>
            <w:pPr>
              <w:pStyle w:val="15"/>
              <w:spacing w:before="24" w:after="24"/>
              <w:ind w:left="0" w:leftChars="0" w:firstLine="0" w:firstLineChars="0"/>
              <w:jc w:val="center"/>
              <w:rPr>
                <w:rFonts w:eastAsia="仿宋_GB2312"/>
                <w:color w:val="auto"/>
                <w:sz w:val="18"/>
                <w:szCs w:val="18"/>
              </w:rPr>
            </w:pPr>
          </w:p>
        </w:tc>
        <w:tc>
          <w:tcPr>
            <w:tcW w:w="1134" w:type="dxa"/>
            <w:shd w:val="clear" w:color="auto" w:fill="auto"/>
            <w:vAlign w:val="center"/>
          </w:tcPr>
          <w:p>
            <w:pPr>
              <w:pStyle w:val="15"/>
              <w:spacing w:before="24" w:after="24"/>
              <w:ind w:left="0" w:leftChars="0" w:firstLine="0" w:firstLineChars="0"/>
              <w:jc w:val="center"/>
              <w:rPr>
                <w:rFonts w:eastAsia="仿宋_GB2312"/>
                <w:color w:val="auto"/>
                <w:sz w:val="18"/>
                <w:szCs w:val="18"/>
              </w:rPr>
            </w:pPr>
          </w:p>
        </w:tc>
        <w:tc>
          <w:tcPr>
            <w:tcW w:w="1107" w:type="dxa"/>
            <w:vAlign w:val="center"/>
          </w:tcPr>
          <w:p>
            <w:pPr>
              <w:pStyle w:val="15"/>
              <w:spacing w:before="24" w:after="24"/>
              <w:ind w:left="0" w:leftChars="0" w:firstLine="0" w:firstLineChars="0"/>
              <w:jc w:val="center"/>
              <w:rPr>
                <w:rFonts w:eastAsia="仿宋_GB2312"/>
                <w:color w:val="auto"/>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09" w:type="dxa"/>
            <w:vMerge w:val="continue"/>
            <w:shd w:val="clear" w:color="auto" w:fill="auto"/>
            <w:vAlign w:val="center"/>
          </w:tcPr>
          <w:p>
            <w:pPr>
              <w:pStyle w:val="15"/>
              <w:spacing w:before="24" w:after="24"/>
              <w:ind w:left="0" w:leftChars="0" w:firstLine="0" w:firstLineChars="0"/>
              <w:jc w:val="center"/>
              <w:rPr>
                <w:rFonts w:eastAsia="仿宋_GB2312"/>
                <w:color w:val="auto"/>
                <w:sz w:val="18"/>
                <w:szCs w:val="18"/>
              </w:rPr>
            </w:pPr>
          </w:p>
        </w:tc>
        <w:tc>
          <w:tcPr>
            <w:tcW w:w="992" w:type="dxa"/>
            <w:vMerge w:val="continue"/>
            <w:vAlign w:val="center"/>
          </w:tcPr>
          <w:p>
            <w:pPr>
              <w:pStyle w:val="15"/>
              <w:spacing w:before="24" w:after="24"/>
              <w:ind w:left="0" w:leftChars="0" w:firstLine="0" w:firstLineChars="0"/>
              <w:jc w:val="center"/>
              <w:rPr>
                <w:rFonts w:eastAsia="仿宋_GB2312"/>
                <w:color w:val="auto"/>
                <w:sz w:val="18"/>
                <w:szCs w:val="18"/>
              </w:rPr>
            </w:pPr>
          </w:p>
        </w:tc>
        <w:tc>
          <w:tcPr>
            <w:tcW w:w="1917" w:type="dxa"/>
            <w:shd w:val="clear" w:color="auto" w:fill="auto"/>
            <w:vAlign w:val="center"/>
          </w:tcPr>
          <w:p>
            <w:pPr>
              <w:pStyle w:val="15"/>
              <w:spacing w:before="24" w:after="24"/>
              <w:ind w:left="0" w:leftChars="0" w:firstLine="0" w:firstLineChars="0"/>
              <w:jc w:val="center"/>
              <w:rPr>
                <w:rFonts w:eastAsia="仿宋_GB2312"/>
                <w:color w:val="auto"/>
                <w:sz w:val="18"/>
                <w:szCs w:val="18"/>
              </w:rPr>
            </w:pPr>
            <w:r>
              <w:rPr>
                <w:rFonts w:eastAsia="仿宋_GB2312"/>
                <w:color w:val="auto"/>
                <w:sz w:val="18"/>
                <w:szCs w:val="18"/>
              </w:rPr>
              <w:t>商业用地</w:t>
            </w:r>
          </w:p>
        </w:tc>
        <w:tc>
          <w:tcPr>
            <w:tcW w:w="1090" w:type="dxa"/>
            <w:vAlign w:val="center"/>
          </w:tcPr>
          <w:p>
            <w:pPr>
              <w:pStyle w:val="15"/>
              <w:spacing w:before="24" w:after="24"/>
              <w:ind w:left="0" w:leftChars="0" w:firstLine="0" w:firstLineChars="0"/>
              <w:jc w:val="center"/>
              <w:rPr>
                <w:rFonts w:eastAsia="仿宋_GB2312"/>
                <w:color w:val="auto"/>
                <w:sz w:val="18"/>
                <w:szCs w:val="18"/>
              </w:rPr>
            </w:pPr>
          </w:p>
        </w:tc>
        <w:tc>
          <w:tcPr>
            <w:tcW w:w="1135" w:type="dxa"/>
            <w:shd w:val="clear" w:color="auto" w:fill="auto"/>
            <w:vAlign w:val="center"/>
          </w:tcPr>
          <w:p>
            <w:pPr>
              <w:pStyle w:val="15"/>
              <w:spacing w:before="24" w:after="24"/>
              <w:ind w:left="0" w:leftChars="0" w:firstLine="0" w:firstLineChars="0"/>
              <w:jc w:val="center"/>
              <w:rPr>
                <w:rFonts w:eastAsia="仿宋_GB2312"/>
                <w:color w:val="auto"/>
                <w:sz w:val="18"/>
                <w:szCs w:val="18"/>
              </w:rPr>
            </w:pPr>
          </w:p>
        </w:tc>
        <w:tc>
          <w:tcPr>
            <w:tcW w:w="1134" w:type="dxa"/>
            <w:shd w:val="clear" w:color="auto" w:fill="auto"/>
            <w:vAlign w:val="center"/>
          </w:tcPr>
          <w:p>
            <w:pPr>
              <w:pStyle w:val="15"/>
              <w:spacing w:before="24" w:after="24"/>
              <w:ind w:left="0" w:leftChars="0" w:firstLine="0" w:firstLineChars="0"/>
              <w:jc w:val="center"/>
              <w:rPr>
                <w:rFonts w:eastAsia="仿宋_GB2312"/>
                <w:color w:val="auto"/>
                <w:sz w:val="18"/>
                <w:szCs w:val="18"/>
              </w:rPr>
            </w:pPr>
          </w:p>
        </w:tc>
        <w:tc>
          <w:tcPr>
            <w:tcW w:w="1134" w:type="dxa"/>
            <w:shd w:val="clear" w:color="auto" w:fill="auto"/>
            <w:vAlign w:val="center"/>
          </w:tcPr>
          <w:p>
            <w:pPr>
              <w:pStyle w:val="15"/>
              <w:spacing w:before="24" w:after="24"/>
              <w:ind w:left="0" w:leftChars="0" w:firstLine="0" w:firstLineChars="0"/>
              <w:jc w:val="center"/>
              <w:rPr>
                <w:rFonts w:eastAsia="仿宋_GB2312"/>
                <w:color w:val="auto"/>
                <w:sz w:val="18"/>
                <w:szCs w:val="18"/>
              </w:rPr>
            </w:pPr>
            <w:r>
              <w:rPr>
                <w:rFonts w:eastAsia="仿宋_GB2312"/>
                <w:color w:val="auto"/>
                <w:sz w:val="18"/>
                <w:szCs w:val="18"/>
              </w:rPr>
              <w:pict>
                <v:line id="直接连接符 509" o:spid="_x0000_s2055" o:spt="20" style="position:absolute;left:0pt;flip:y;margin-left:25.75pt;margin-top:10.1pt;height:0pt;width:53.15pt;z-index:251666432;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">
                  <v:path arrowok="t"/>
                  <v:fill focussize="0,0"/>
                  <v:stroke weight="2.25pt"/>
                  <v:imagedata o:title=""/>
                  <o:lock v:ext="edit"/>
                </v:line>
              </w:pict>
            </w:r>
          </w:p>
        </w:tc>
        <w:tc>
          <w:tcPr>
            <w:tcW w:w="1107" w:type="dxa"/>
            <w:vAlign w:val="center"/>
          </w:tcPr>
          <w:p>
            <w:pPr>
              <w:pStyle w:val="15"/>
              <w:spacing w:before="24" w:after="24"/>
              <w:ind w:left="0" w:leftChars="0" w:firstLine="0" w:firstLineChars="0"/>
              <w:jc w:val="center"/>
              <w:rPr>
                <w:rFonts w:eastAsia="仿宋_GB2312"/>
                <w:color w:val="auto"/>
                <w:sz w:val="18"/>
                <w:szCs w:val="18"/>
              </w:rPr>
            </w:pPr>
          </w:p>
        </w:tc>
      </w:tr>
    </w:tbl>
    <w:p>
      <w:pPr>
        <w:pStyle w:val="6"/>
        <w:snapToGrid w:val="0"/>
        <w:spacing w:line="300" w:lineRule="auto"/>
        <w:rPr>
          <w:rFonts w:eastAsia="仿宋_GB2312"/>
          <w:bCs w:val="0"/>
          <w:color w:val="auto"/>
          <w:szCs w:val="30"/>
        </w:rPr>
      </w:pPr>
      <w:r>
        <w:rPr>
          <w:rFonts w:hint="eastAsia" w:eastAsia="仿宋_GB2312"/>
          <w:bCs w:val="0"/>
          <w:color w:val="auto"/>
          <w:szCs w:val="30"/>
        </w:rPr>
        <w:t>2.6.2 开发建设现状调查</w:t>
      </w:r>
    </w:p>
    <w:p>
      <w:pPr>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区域于2021年1月建设，规划前已出让E08、E09、E11、E17、E19和E21共计6个地块，区域内已建有经十八路（谢佛路至杨家山路段）和杨家山路（西总干渠至南嵩路段）。截止</w:t>
      </w:r>
      <w:r>
        <w:rPr>
          <w:rFonts w:hint="eastAsia" w:ascii="Times New Roman" w:hAnsi="Times New Roman" w:eastAsia="仿宋_GB2312" w:cs="Times New Roman"/>
          <w:color w:val="auto"/>
          <w:szCs w:val="24"/>
          <w:lang w:val="en-US" w:eastAsia="zh-CN"/>
        </w:rPr>
        <w:t>评估报告</w:t>
      </w:r>
      <w:r>
        <w:rPr>
          <w:rFonts w:hint="eastAsia" w:ascii="Times New Roman" w:hAnsi="Times New Roman" w:eastAsia="仿宋_GB2312" w:cs="Times New Roman"/>
          <w:color w:val="auto"/>
          <w:szCs w:val="24"/>
        </w:rPr>
        <w:t>介入时，E08地块暂未扰动；E09和E19已于</w:t>
      </w:r>
      <w:r>
        <w:rPr>
          <w:rFonts w:hint="eastAsia" w:ascii="Times New Roman" w:hAnsi="Times New Roman" w:eastAsia="仿宋_GB2312" w:cs="Times New Roman"/>
          <w:color w:val="auto"/>
          <w:szCs w:val="24"/>
        </w:rPr>
        <w:t>评估报告介入</w:t>
      </w:r>
      <w:r>
        <w:rPr>
          <w:rFonts w:hint="eastAsia" w:ascii="Times New Roman" w:hAnsi="Times New Roman" w:eastAsia="仿宋_GB2312" w:cs="Times New Roman"/>
          <w:color w:val="auto"/>
          <w:szCs w:val="24"/>
        </w:rPr>
        <w:t>完成平整，后续不再扰动；E11地块已建有4栋8~10层厂房，地下车库8000m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，基本建设完成；E17和和E21地块部分区域共计26.34hm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，正在建设。</w:t>
      </w:r>
    </w:p>
    <w:p>
      <w:pPr>
        <w:widowControl/>
        <w:snapToGrid w:val="0"/>
        <w:spacing w:line="360" w:lineRule="auto"/>
        <w:jc w:val="center"/>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drawing>
          <wp:inline distT="0" distB="0" distL="0" distR="0">
            <wp:extent cx="5112385" cy="3842385"/>
            <wp:effectExtent l="19050" t="0" r="0" b="0"/>
            <wp:docPr id="30" name="图片 15" descr="C:\Users\Administrator\AppData\Local\Microsoft\Windows\INetCache\Content.Word\E080919地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5" descr="C:\Users\Administrator\AppData\Local\Microsoft\Windows\INetCache\Content.Word\E080919地块.jpg"/>
                    <pic:cNvPicPr>
                      <a:picLocks noChangeAspect="1" noChangeArrowheads="1"/>
                    </pic:cNvPicPr>
                  </pic:nvPicPr>
                  <pic:blipFill>
                    <a:blip r:embed="rId83" cstate="print"/>
                    <a:srcRect/>
                    <a:stretch>
                      <a:fillRect/>
                    </a:stretch>
                  </pic:blipFill>
                  <pic:spPr>
                    <a:xfrm>
                      <a:off x="0" y="0"/>
                      <a:ext cx="5119162" cy="3847400"/>
                    </a:xfrm>
                    <a:prstGeom prst="rect">
                      <a:avLst/>
                    </a:prstGeom>
                    <a:noFill/>
                    <a:ln w="9525">
                      <a:noFill/>
                      <a:miter lim="800000"/>
                      <a:headEnd/>
                      <a:tailEnd/>
                    </a:ln>
                  </pic:spPr>
                </pic:pic>
              </a:graphicData>
            </a:graphic>
          </wp:inline>
        </w:drawing>
      </w:r>
    </w:p>
    <w:p>
      <w:pPr>
        <w:widowControl/>
        <w:snapToGrid w:val="0"/>
        <w:spacing w:line="360" w:lineRule="auto"/>
        <w:jc w:val="center"/>
        <w:rPr>
          <w:rFonts w:ascii="Times New Roman" w:hAnsi="Times New Roman" w:eastAsia="仿宋_GB2312" w:cs="Times New Roman"/>
          <w:b/>
          <w:color w:val="auto"/>
          <w:szCs w:val="24"/>
        </w:rPr>
      </w:pPr>
      <w:r>
        <w:rPr>
          <w:rFonts w:ascii="Times New Roman" w:hAnsi="Times New Roman" w:eastAsia="仿宋_GB2312" w:cs="Times New Roman"/>
          <w:b/>
          <w:color w:val="auto"/>
          <w:szCs w:val="24"/>
        </w:rPr>
        <w:t>图2</w:t>
      </w:r>
      <w:r>
        <w:rPr>
          <w:rFonts w:hint="eastAsia" w:ascii="Times New Roman" w:hAnsi="Times New Roman" w:eastAsia="仿宋_GB2312" w:cs="Times New Roman"/>
          <w:b/>
          <w:color w:val="auto"/>
          <w:szCs w:val="24"/>
        </w:rPr>
        <w:t>.6</w:t>
      </w:r>
      <w:r>
        <w:rPr>
          <w:rFonts w:ascii="Times New Roman" w:hAnsi="Times New Roman" w:eastAsia="仿宋_GB2312" w:cs="Times New Roman"/>
          <w:b/>
          <w:color w:val="auto"/>
          <w:szCs w:val="24"/>
        </w:rPr>
        <w:t>-</w:t>
      </w:r>
      <w:r>
        <w:rPr>
          <w:rFonts w:hint="eastAsia" w:ascii="Times New Roman" w:hAnsi="Times New Roman" w:eastAsia="仿宋_GB2312" w:cs="Times New Roman"/>
          <w:b/>
          <w:color w:val="auto"/>
          <w:szCs w:val="24"/>
        </w:rPr>
        <w:t>3</w:t>
      </w:r>
      <w:r>
        <w:rPr>
          <w:rFonts w:ascii="Times New Roman" w:hAnsi="Times New Roman" w:eastAsia="仿宋_GB2312" w:cs="Times New Roman"/>
          <w:b/>
          <w:color w:val="auto"/>
          <w:szCs w:val="24"/>
        </w:rPr>
        <w:t>：</w:t>
      </w:r>
      <w:r>
        <w:rPr>
          <w:rFonts w:hint="eastAsia" w:ascii="Times New Roman" w:hAnsi="Times New Roman" w:eastAsia="仿宋_GB2312" w:cs="Times New Roman"/>
          <w:b/>
          <w:color w:val="auto"/>
          <w:szCs w:val="24"/>
        </w:rPr>
        <w:t>E08地块、E09地块和E19地块现场情况</w:t>
      </w:r>
      <w:r>
        <w:rPr>
          <w:rFonts w:ascii="Times New Roman" w:hAnsi="Times New Roman" w:eastAsia="仿宋_GB2312" w:cs="Times New Roman"/>
          <w:b/>
          <w:color w:val="auto"/>
          <w:szCs w:val="24"/>
        </w:rPr>
        <w:t>图</w:t>
      </w:r>
    </w:p>
    <w:p>
      <w:pPr>
        <w:widowControl/>
        <w:snapToGrid w:val="0"/>
        <w:spacing w:line="360" w:lineRule="auto"/>
        <w:jc w:val="center"/>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drawing>
          <wp:inline distT="0" distB="0" distL="0" distR="0">
            <wp:extent cx="5139055" cy="3855085"/>
            <wp:effectExtent l="0" t="0" r="4445" b="5715"/>
            <wp:docPr id="3" name="图片 11" descr="C:\Users\Administrator\AppData\Local\Microsoft\Windows\INetCache\Content.Word\DJI_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1" descr="C:\Users\Administrator\AppData\Local\Microsoft\Windows\INetCache\Content.Word\DJI_0336.jpg"/>
                    <pic:cNvPicPr>
                      <a:picLocks noChangeAspect="1" noChangeArrowheads="1"/>
                    </pic:cNvPicPr>
                  </pic:nvPicPr>
                  <pic:blipFill>
                    <a:blip r:embed="rId84" cstate="print"/>
                    <a:srcRect/>
                    <a:stretch>
                      <a:fillRect/>
                    </a:stretch>
                  </pic:blipFill>
                  <pic:spPr>
                    <a:xfrm>
                      <a:off x="0" y="0"/>
                      <a:ext cx="5139055" cy="3855085"/>
                    </a:xfrm>
                    <a:prstGeom prst="rect">
                      <a:avLst/>
                    </a:prstGeom>
                    <a:noFill/>
                    <a:ln w="9525">
                      <a:noFill/>
                      <a:miter lim="800000"/>
                      <a:headEnd/>
                      <a:tailEnd/>
                    </a:ln>
                  </pic:spPr>
                </pic:pic>
              </a:graphicData>
            </a:graphic>
          </wp:inline>
        </w:drawing>
      </w:r>
    </w:p>
    <w:p>
      <w:pPr>
        <w:widowControl/>
        <w:snapToGrid w:val="0"/>
        <w:spacing w:line="360" w:lineRule="auto"/>
        <w:jc w:val="center"/>
        <w:rPr>
          <w:rFonts w:ascii="Times New Roman" w:hAnsi="Times New Roman" w:eastAsia="仿宋_GB2312" w:cs="Times New Roman"/>
          <w:b/>
          <w:color w:val="auto"/>
          <w:szCs w:val="24"/>
        </w:rPr>
      </w:pPr>
      <w:r>
        <w:rPr>
          <w:rFonts w:ascii="Times New Roman" w:hAnsi="Times New Roman" w:eastAsia="仿宋_GB2312" w:cs="Times New Roman"/>
          <w:b/>
          <w:color w:val="auto"/>
          <w:szCs w:val="24"/>
        </w:rPr>
        <w:t>图2</w:t>
      </w:r>
      <w:r>
        <w:rPr>
          <w:rFonts w:hint="eastAsia" w:ascii="Times New Roman" w:hAnsi="Times New Roman" w:eastAsia="仿宋_GB2312" w:cs="Times New Roman"/>
          <w:b/>
          <w:color w:val="auto"/>
          <w:szCs w:val="24"/>
        </w:rPr>
        <w:t>.6</w:t>
      </w:r>
      <w:r>
        <w:rPr>
          <w:rFonts w:ascii="Times New Roman" w:hAnsi="Times New Roman" w:eastAsia="仿宋_GB2312" w:cs="Times New Roman"/>
          <w:b/>
          <w:color w:val="auto"/>
          <w:szCs w:val="24"/>
        </w:rPr>
        <w:t>-</w:t>
      </w:r>
      <w:r>
        <w:rPr>
          <w:rFonts w:hint="eastAsia" w:ascii="Times New Roman" w:hAnsi="Times New Roman" w:eastAsia="仿宋_GB2312" w:cs="Times New Roman"/>
          <w:b/>
          <w:color w:val="auto"/>
          <w:szCs w:val="24"/>
        </w:rPr>
        <w:t>4</w:t>
      </w:r>
      <w:r>
        <w:rPr>
          <w:rFonts w:ascii="Times New Roman" w:hAnsi="Times New Roman" w:eastAsia="仿宋_GB2312" w:cs="Times New Roman"/>
          <w:b/>
          <w:color w:val="auto"/>
          <w:szCs w:val="24"/>
        </w:rPr>
        <w:t>：</w:t>
      </w:r>
      <w:r>
        <w:rPr>
          <w:rFonts w:hint="eastAsia" w:ascii="Times New Roman" w:hAnsi="Times New Roman" w:eastAsia="仿宋_GB2312" w:cs="Times New Roman"/>
          <w:b/>
          <w:color w:val="auto"/>
          <w:szCs w:val="24"/>
        </w:rPr>
        <w:t>E11地块现场情况</w:t>
      </w:r>
      <w:r>
        <w:rPr>
          <w:rFonts w:ascii="Times New Roman" w:hAnsi="Times New Roman" w:eastAsia="仿宋_GB2312" w:cs="Times New Roman"/>
          <w:b/>
          <w:color w:val="auto"/>
          <w:szCs w:val="24"/>
        </w:rPr>
        <w:t>图</w:t>
      </w:r>
    </w:p>
    <w:p>
      <w:pPr>
        <w:widowControl/>
        <w:snapToGrid w:val="0"/>
        <w:spacing w:line="360" w:lineRule="auto"/>
        <w:jc w:val="center"/>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drawing>
          <wp:inline distT="0" distB="0" distL="0" distR="0">
            <wp:extent cx="5212080" cy="3909060"/>
            <wp:effectExtent l="0" t="0" r="7620" b="2540"/>
            <wp:docPr id="2" name="图片 8" descr="C:\Users\Administrator\AppData\Local\Microsoft\Windows\INetCache\Content.Word\DJI_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8" descr="C:\Users\Administrator\AppData\Local\Microsoft\Windows\INetCache\Content.Word\DJI_0330.jpg"/>
                    <pic:cNvPicPr>
                      <a:picLocks noChangeAspect="1" noChangeArrowheads="1"/>
                    </pic:cNvPicPr>
                  </pic:nvPicPr>
                  <pic:blipFill>
                    <a:blip r:embed="rId85" cstate="print"/>
                    <a:srcRect/>
                    <a:stretch>
                      <a:fillRect/>
                    </a:stretch>
                  </pic:blipFill>
                  <pic:spPr>
                    <a:xfrm>
                      <a:off x="0" y="0"/>
                      <a:ext cx="5212080" cy="3909060"/>
                    </a:xfrm>
                    <a:prstGeom prst="rect">
                      <a:avLst/>
                    </a:prstGeom>
                    <a:noFill/>
                    <a:ln w="9525">
                      <a:noFill/>
                      <a:miter lim="800000"/>
                      <a:headEnd/>
                      <a:tailEnd/>
                    </a:ln>
                  </pic:spPr>
                </pic:pic>
              </a:graphicData>
            </a:graphic>
          </wp:inline>
        </w:drawing>
      </w:r>
    </w:p>
    <w:p>
      <w:pPr>
        <w:widowControl/>
        <w:snapToGrid w:val="0"/>
        <w:spacing w:line="360" w:lineRule="auto"/>
        <w:jc w:val="center"/>
        <w:rPr>
          <w:rFonts w:ascii="Times New Roman" w:hAnsi="Times New Roman" w:eastAsia="仿宋_GB2312" w:cs="Times New Roman"/>
          <w:b/>
          <w:color w:val="auto"/>
          <w:szCs w:val="24"/>
        </w:rPr>
      </w:pPr>
      <w:r>
        <w:rPr>
          <w:rFonts w:ascii="Times New Roman" w:hAnsi="Times New Roman" w:eastAsia="仿宋_GB2312" w:cs="Times New Roman"/>
          <w:b/>
          <w:color w:val="auto"/>
          <w:szCs w:val="24"/>
        </w:rPr>
        <w:t>图2</w:t>
      </w:r>
      <w:r>
        <w:rPr>
          <w:rFonts w:hint="eastAsia" w:ascii="Times New Roman" w:hAnsi="Times New Roman" w:eastAsia="仿宋_GB2312" w:cs="Times New Roman"/>
          <w:b/>
          <w:color w:val="auto"/>
          <w:szCs w:val="24"/>
        </w:rPr>
        <w:t>.6</w:t>
      </w:r>
      <w:r>
        <w:rPr>
          <w:rFonts w:ascii="Times New Roman" w:hAnsi="Times New Roman" w:eastAsia="仿宋_GB2312" w:cs="Times New Roman"/>
          <w:b/>
          <w:color w:val="auto"/>
          <w:szCs w:val="24"/>
        </w:rPr>
        <w:t>-</w:t>
      </w:r>
      <w:r>
        <w:rPr>
          <w:rFonts w:hint="eastAsia" w:ascii="Times New Roman" w:hAnsi="Times New Roman" w:eastAsia="仿宋_GB2312" w:cs="Times New Roman"/>
          <w:b/>
          <w:color w:val="auto"/>
          <w:szCs w:val="24"/>
        </w:rPr>
        <w:t>5</w:t>
      </w:r>
      <w:r>
        <w:rPr>
          <w:rFonts w:ascii="Times New Roman" w:hAnsi="Times New Roman" w:eastAsia="仿宋_GB2312" w:cs="Times New Roman"/>
          <w:b/>
          <w:color w:val="auto"/>
          <w:szCs w:val="24"/>
        </w:rPr>
        <w:t>：</w:t>
      </w:r>
      <w:r>
        <w:rPr>
          <w:rFonts w:hint="eastAsia" w:ascii="Times New Roman" w:hAnsi="Times New Roman" w:eastAsia="仿宋_GB2312" w:cs="Times New Roman"/>
          <w:b/>
          <w:color w:val="auto"/>
          <w:szCs w:val="24"/>
        </w:rPr>
        <w:t>E17和E21地块现场情况</w:t>
      </w:r>
      <w:r>
        <w:rPr>
          <w:rFonts w:ascii="Times New Roman" w:hAnsi="Times New Roman" w:eastAsia="仿宋_GB2312" w:cs="Times New Roman"/>
          <w:b/>
          <w:color w:val="auto"/>
          <w:szCs w:val="24"/>
        </w:rPr>
        <w:t>图</w:t>
      </w:r>
    </w:p>
    <w:p>
      <w:pPr>
        <w:widowControl/>
        <w:snapToGrid w:val="0"/>
        <w:spacing w:line="360" w:lineRule="auto"/>
        <w:jc w:val="center"/>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drawing>
          <wp:inline distT="0" distB="0" distL="0" distR="0">
            <wp:extent cx="5024755" cy="3768090"/>
            <wp:effectExtent l="19050" t="0" r="4445" b="0"/>
            <wp:docPr id="32" name="图片 18" descr="C:\Users\Administrator\AppData\Local\Microsoft\Windows\INetCache\Content.Word\DJI_0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8" descr="C:\Users\Administrator\AppData\Local\Microsoft\Windows\INetCache\Content.Word\DJI_0342.jpg"/>
                    <pic:cNvPicPr>
                      <a:picLocks noChangeAspect="1" noChangeArrowheads="1"/>
                    </pic:cNvPicPr>
                  </pic:nvPicPr>
                  <pic:blipFill>
                    <a:blip r:embed="rId86" cstate="print"/>
                    <a:srcRect/>
                    <a:stretch>
                      <a:fillRect/>
                    </a:stretch>
                  </pic:blipFill>
                  <pic:spPr>
                    <a:xfrm>
                      <a:off x="0" y="0"/>
                      <a:ext cx="5029208" cy="3772057"/>
                    </a:xfrm>
                    <a:prstGeom prst="rect">
                      <a:avLst/>
                    </a:prstGeom>
                    <a:noFill/>
                    <a:ln w="9525">
                      <a:noFill/>
                      <a:miter lim="800000"/>
                      <a:headEnd/>
                      <a:tailEnd/>
                    </a:ln>
                  </pic:spPr>
                </pic:pic>
              </a:graphicData>
            </a:graphic>
          </wp:inline>
        </w:drawing>
      </w:r>
    </w:p>
    <w:p>
      <w:pPr>
        <w:widowControl/>
        <w:snapToGrid w:val="0"/>
        <w:spacing w:line="360" w:lineRule="auto"/>
        <w:jc w:val="center"/>
        <w:rPr>
          <w:rFonts w:ascii="Times New Roman" w:hAnsi="Times New Roman" w:eastAsia="仿宋_GB2312" w:cs="Times New Roman"/>
          <w:b/>
          <w:color w:val="auto"/>
          <w:szCs w:val="24"/>
        </w:rPr>
      </w:pPr>
      <w:r>
        <w:rPr>
          <w:rFonts w:ascii="Times New Roman" w:hAnsi="Times New Roman" w:eastAsia="仿宋_GB2312" w:cs="Times New Roman"/>
          <w:b/>
          <w:color w:val="auto"/>
          <w:szCs w:val="24"/>
        </w:rPr>
        <w:t>图2</w:t>
      </w:r>
      <w:r>
        <w:rPr>
          <w:rFonts w:hint="eastAsia" w:ascii="Times New Roman" w:hAnsi="Times New Roman" w:eastAsia="仿宋_GB2312" w:cs="Times New Roman"/>
          <w:b/>
          <w:color w:val="auto"/>
          <w:szCs w:val="24"/>
        </w:rPr>
        <w:t>.6</w:t>
      </w:r>
      <w:r>
        <w:rPr>
          <w:rFonts w:ascii="Times New Roman" w:hAnsi="Times New Roman" w:eastAsia="仿宋_GB2312" w:cs="Times New Roman"/>
          <w:b/>
          <w:color w:val="auto"/>
          <w:szCs w:val="24"/>
        </w:rPr>
        <w:t>-</w:t>
      </w:r>
      <w:r>
        <w:rPr>
          <w:rFonts w:hint="eastAsia" w:ascii="Times New Roman" w:hAnsi="Times New Roman" w:eastAsia="仿宋_GB2312" w:cs="Times New Roman"/>
          <w:b/>
          <w:color w:val="auto"/>
          <w:szCs w:val="24"/>
        </w:rPr>
        <w:t>6</w:t>
      </w:r>
      <w:r>
        <w:rPr>
          <w:rFonts w:ascii="Times New Roman" w:hAnsi="Times New Roman" w:eastAsia="仿宋_GB2312" w:cs="Times New Roman"/>
          <w:b/>
          <w:color w:val="auto"/>
          <w:szCs w:val="24"/>
        </w:rPr>
        <w:t>：</w:t>
      </w:r>
      <w:r>
        <w:rPr>
          <w:rFonts w:hint="eastAsia" w:ascii="Times New Roman" w:hAnsi="Times New Roman" w:eastAsia="仿宋_GB2312" w:cs="Times New Roman"/>
          <w:b/>
          <w:color w:val="auto"/>
          <w:szCs w:val="24"/>
        </w:rPr>
        <w:t>规划区域整体情况</w:t>
      </w:r>
      <w:r>
        <w:rPr>
          <w:rFonts w:ascii="Times New Roman" w:hAnsi="Times New Roman" w:eastAsia="仿宋_GB2312" w:cs="Times New Roman"/>
          <w:b/>
          <w:color w:val="auto"/>
          <w:szCs w:val="24"/>
        </w:rPr>
        <w:t>图</w:t>
      </w:r>
      <w:r>
        <w:rPr>
          <w:rFonts w:hint="eastAsia" w:ascii="Times New Roman" w:hAnsi="Times New Roman" w:eastAsia="仿宋_GB2312" w:cs="Times New Roman"/>
          <w:b/>
          <w:color w:val="auto"/>
          <w:szCs w:val="24"/>
        </w:rPr>
        <w:t>（由东向西视角）</w:t>
      </w:r>
    </w:p>
    <w:p>
      <w:pPr>
        <w:widowControl/>
        <w:snapToGrid w:val="0"/>
        <w:spacing w:line="360" w:lineRule="auto"/>
        <w:jc w:val="center"/>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drawing>
          <wp:inline distT="0" distB="0" distL="0" distR="0">
            <wp:extent cx="5156835" cy="3867785"/>
            <wp:effectExtent l="19050" t="0" r="5418" b="0"/>
            <wp:docPr id="33" name="图片 21" descr="C:\Users\Administrator\AppData\Local\Microsoft\Windows\INetCache\Content.Word\DJI_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1" descr="C:\Users\Administrator\AppData\Local\Microsoft\Windows\INetCache\Content.Word\DJI_0288.jpg"/>
                    <pic:cNvPicPr>
                      <a:picLocks noChangeAspect="1" noChangeArrowheads="1"/>
                    </pic:cNvPicPr>
                  </pic:nvPicPr>
                  <pic:blipFill>
                    <a:blip r:embed="rId87" cstate="print"/>
                    <a:srcRect/>
                    <a:stretch>
                      <a:fillRect/>
                    </a:stretch>
                  </pic:blipFill>
                  <pic:spPr>
                    <a:xfrm>
                      <a:off x="0" y="0"/>
                      <a:ext cx="5159063" cy="3869452"/>
                    </a:xfrm>
                    <a:prstGeom prst="rect">
                      <a:avLst/>
                    </a:prstGeom>
                    <a:noFill/>
                    <a:ln w="9525">
                      <a:noFill/>
                      <a:miter lim="800000"/>
                      <a:headEnd/>
                      <a:tailEnd/>
                    </a:ln>
                  </pic:spPr>
                </pic:pic>
              </a:graphicData>
            </a:graphic>
          </wp:inline>
        </w:drawing>
      </w:r>
    </w:p>
    <w:p>
      <w:pPr>
        <w:widowControl/>
        <w:snapToGrid w:val="0"/>
        <w:spacing w:line="360" w:lineRule="auto"/>
        <w:jc w:val="center"/>
        <w:rPr>
          <w:rFonts w:ascii="Times New Roman" w:hAnsi="Times New Roman" w:eastAsia="仿宋_GB2312" w:cs="Times New Roman"/>
          <w:b/>
          <w:color w:val="auto"/>
          <w:szCs w:val="24"/>
        </w:rPr>
      </w:pPr>
      <w:r>
        <w:rPr>
          <w:rFonts w:ascii="Times New Roman" w:hAnsi="Times New Roman" w:eastAsia="仿宋_GB2312" w:cs="Times New Roman"/>
          <w:b/>
          <w:color w:val="auto"/>
          <w:szCs w:val="24"/>
        </w:rPr>
        <w:t>图2</w:t>
      </w:r>
      <w:r>
        <w:rPr>
          <w:rFonts w:hint="eastAsia" w:ascii="Times New Roman" w:hAnsi="Times New Roman" w:eastAsia="仿宋_GB2312" w:cs="Times New Roman"/>
          <w:b/>
          <w:color w:val="auto"/>
          <w:szCs w:val="24"/>
        </w:rPr>
        <w:t>.6</w:t>
      </w:r>
      <w:r>
        <w:rPr>
          <w:rFonts w:ascii="Times New Roman" w:hAnsi="Times New Roman" w:eastAsia="仿宋_GB2312" w:cs="Times New Roman"/>
          <w:b/>
          <w:color w:val="auto"/>
          <w:szCs w:val="24"/>
        </w:rPr>
        <w:t>-</w:t>
      </w:r>
      <w:r>
        <w:rPr>
          <w:rFonts w:hint="eastAsia" w:ascii="Times New Roman" w:hAnsi="Times New Roman" w:eastAsia="仿宋_GB2312" w:cs="Times New Roman"/>
          <w:b/>
          <w:color w:val="auto"/>
          <w:szCs w:val="24"/>
        </w:rPr>
        <w:t>7</w:t>
      </w:r>
      <w:r>
        <w:rPr>
          <w:rFonts w:ascii="Times New Roman" w:hAnsi="Times New Roman" w:eastAsia="仿宋_GB2312" w:cs="Times New Roman"/>
          <w:b/>
          <w:color w:val="auto"/>
          <w:szCs w:val="24"/>
        </w:rPr>
        <w:t>：</w:t>
      </w:r>
      <w:r>
        <w:rPr>
          <w:rFonts w:hint="eastAsia" w:ascii="Times New Roman" w:hAnsi="Times New Roman" w:eastAsia="仿宋_GB2312" w:cs="Times New Roman"/>
          <w:b/>
          <w:color w:val="auto"/>
          <w:szCs w:val="24"/>
        </w:rPr>
        <w:t>规划区域整体情况</w:t>
      </w:r>
      <w:r>
        <w:rPr>
          <w:rFonts w:ascii="Times New Roman" w:hAnsi="Times New Roman" w:eastAsia="仿宋_GB2312" w:cs="Times New Roman"/>
          <w:b/>
          <w:color w:val="auto"/>
          <w:szCs w:val="24"/>
        </w:rPr>
        <w:t>图</w:t>
      </w:r>
      <w:r>
        <w:rPr>
          <w:rFonts w:hint="eastAsia" w:ascii="Times New Roman" w:hAnsi="Times New Roman" w:eastAsia="仿宋_GB2312" w:cs="Times New Roman"/>
          <w:b/>
          <w:color w:val="auto"/>
          <w:szCs w:val="24"/>
        </w:rPr>
        <w:t>（由西北向东南视角）</w:t>
      </w:r>
    </w:p>
    <w:p>
      <w:pPr>
        <w:pStyle w:val="5"/>
        <w:rPr>
          <w:rFonts w:eastAsia="仿宋_GB2312"/>
          <w:color w:val="auto"/>
        </w:rPr>
      </w:pPr>
      <w:bookmarkStart w:id="230" w:name="_Toc30839"/>
      <w:r>
        <w:rPr>
          <w:rFonts w:eastAsia="仿宋_GB2312"/>
          <w:color w:val="auto"/>
        </w:rPr>
        <w:t>2.</w:t>
      </w:r>
      <w:r>
        <w:rPr>
          <w:rFonts w:hint="eastAsia" w:eastAsia="仿宋_GB2312"/>
          <w:color w:val="auto"/>
        </w:rPr>
        <w:t>7</w:t>
      </w:r>
      <w:r>
        <w:rPr>
          <w:rFonts w:eastAsia="仿宋_GB2312"/>
          <w:color w:val="auto"/>
        </w:rPr>
        <w:t xml:space="preserve"> 自然概况</w:t>
      </w:r>
      <w:bookmarkEnd w:id="230"/>
    </w:p>
    <w:p>
      <w:pPr>
        <w:pStyle w:val="6"/>
        <w:snapToGrid w:val="0"/>
        <w:spacing w:line="300" w:lineRule="auto"/>
        <w:rPr>
          <w:rFonts w:eastAsia="仿宋_GB2312"/>
          <w:bCs w:val="0"/>
          <w:color w:val="auto"/>
          <w:szCs w:val="30"/>
        </w:rPr>
      </w:pPr>
      <w:r>
        <w:rPr>
          <w:rFonts w:eastAsia="仿宋_GB2312"/>
          <w:bCs w:val="0"/>
          <w:color w:val="auto"/>
          <w:szCs w:val="30"/>
        </w:rPr>
        <w:t>2.</w:t>
      </w:r>
      <w:r>
        <w:rPr>
          <w:rFonts w:hint="eastAsia" w:eastAsia="仿宋_GB2312"/>
          <w:bCs w:val="0"/>
          <w:color w:val="auto"/>
          <w:szCs w:val="30"/>
        </w:rPr>
        <w:t>7</w:t>
      </w:r>
      <w:r>
        <w:rPr>
          <w:rFonts w:eastAsia="仿宋_GB2312"/>
          <w:bCs w:val="0"/>
          <w:color w:val="auto"/>
          <w:szCs w:val="30"/>
        </w:rPr>
        <w:t>.</w:t>
      </w:r>
      <w:r>
        <w:rPr>
          <w:rFonts w:hint="eastAsia" w:eastAsia="仿宋_GB2312"/>
          <w:bCs w:val="0"/>
          <w:color w:val="auto"/>
          <w:szCs w:val="30"/>
        </w:rPr>
        <w:t>1</w:t>
      </w:r>
      <w:r>
        <w:rPr>
          <w:rFonts w:eastAsia="仿宋_GB2312"/>
          <w:bCs w:val="0"/>
          <w:color w:val="auto"/>
          <w:szCs w:val="30"/>
        </w:rPr>
        <w:t>地质</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（1）地质构造及地层岩性</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据区域地质资料，规划区域大地构造隶属我国东部华南扬子准地台南缘，紧邻华南加里东褶皱带，地质构造复杂，断裂及其裂陷盆地均较发育。本区位于江南台隆构造单元的萍乡—乐平凹陷北缘，属鄱阳湖断陷盆地西侧边缘，构造上主要受赣江大断裂控制，第四系覆盖层以下的白垩系及下第三系中存在着一些北东向、近南北向和北北西向缓倾斜背斜和向斜构造。综合区域资料及现场勘察表明，规划区域内无区域活动性断裂通过，未发现断裂构造踪迹，本区区域稳定性较好。无滑坡、崩塌及泥石流发生条件。规划区域范围内区域稳定性较好。</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根据地勘报告等资料，区域内地层按其岩性及工程特性，自上而下可依次划分为：①杂填土、①1素填土、①2耕土、①3淤质黏土、②粉质黏土、②1粉质黏土、②2中砂、③砾砂、④圆砾、⑤中风化石灰岩。</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（2）水文地质</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据勘探揭露，勘察深度内场地地下水分为上层滞水、第四系松散岩类孔隙水。</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①上层滞水：赋存于杂填土层中，该层该层主要接受大气降水的入渗补给，向场地低洼地段排泄或蒸发。由于杂填土及成份及密实度的差异，因此上层滞水的连通性较差，且无连续的水位面。连通性较好，水量较大。该层地下水的水位埋深及水量大小受季节性变化影响大，勘察期间初见水位上层滞水埋深0.30m~1.80m，在强降雨或持续降雨期间，由于填土的不均匀性，局部有可能上升至地面。</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②第四系松散岩类孔隙水：主要赋存于下部砾砂、圆砾层中，粉质粘土为含水层的隔水顶板，下伏基岩为相对隔水层底板，区域内孔隙水属孔隙潜水。主要接受周边地表水体的侧向补给，水位及水量受季节变化控制。枯季地下水向周边地表水排泄，雨季接受周边地表水的补给，含水层渗透性强，水量极为丰富。在勘察期间测得该层地下水初见水位埋深为5.50m~7.30m，标高为-6.35m~-7.35m，稳定水位埋深为5.60m~7.20m，标高为-6.25m~-7.45m，根据南昌市地下水监测资料，地下水年变幅为3.0m~5.0m，渗透系数约为100m/d。</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（3）地震</w:t>
      </w:r>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据历史资料记载，</w:t>
      </w:r>
      <w:r>
        <w:rPr>
          <w:rFonts w:hint="eastAsia" w:ascii="Times New Roman" w:hAnsi="Times New Roman" w:eastAsia="仿宋_GB2312" w:cs="Times New Roman"/>
          <w:color w:val="auto"/>
          <w:szCs w:val="24"/>
        </w:rPr>
        <w:t>项目区</w:t>
      </w:r>
      <w:r>
        <w:rPr>
          <w:rFonts w:ascii="Times New Roman" w:hAnsi="Times New Roman" w:eastAsia="仿宋_GB2312" w:cs="Times New Roman"/>
          <w:color w:val="auto"/>
          <w:szCs w:val="24"/>
        </w:rPr>
        <w:t>未发生5级以上破坏性地震。据1/400万《中国地震烈度区划图》（2000）和《中国地震动参数区划图》（GB18306-2015），</w:t>
      </w:r>
      <w:r>
        <w:rPr>
          <w:rFonts w:hint="eastAsia" w:ascii="Times New Roman" w:hAnsi="Times New Roman" w:eastAsia="仿宋_GB2312" w:cs="Times New Roman"/>
          <w:color w:val="auto"/>
          <w:szCs w:val="24"/>
        </w:rPr>
        <w:t>项目</w:t>
      </w:r>
      <w:r>
        <w:rPr>
          <w:rFonts w:ascii="Times New Roman" w:hAnsi="Times New Roman" w:eastAsia="仿宋_GB2312" w:cs="Times New Roman"/>
          <w:color w:val="auto"/>
          <w:szCs w:val="24"/>
        </w:rPr>
        <w:t>区地震烈度</w:t>
      </w:r>
      <w:r>
        <w:rPr>
          <w:rFonts w:hint="eastAsia" w:ascii="Times New Roman" w:hAnsi="Times New Roman" w:eastAsia="仿宋_GB2312" w:cs="Times New Roman"/>
          <w:color w:val="auto"/>
          <w:szCs w:val="24"/>
        </w:rPr>
        <w:t>为</w:t>
      </w:r>
      <w:r>
        <w:rPr>
          <w:rFonts w:ascii="Times New Roman" w:hAnsi="Times New Roman" w:eastAsia="仿宋_GB2312" w:cs="Times New Roman"/>
          <w:color w:val="auto"/>
          <w:szCs w:val="24"/>
        </w:rPr>
        <w:t>6度，地震动参数为0.05g，设计特征周期为</w:t>
      </w:r>
      <w:r>
        <w:rPr>
          <w:rFonts w:hint="eastAsia" w:ascii="Times New Roman" w:hAnsi="Times New Roman" w:eastAsia="仿宋_GB2312" w:cs="Times New Roman"/>
          <w:color w:val="auto"/>
          <w:szCs w:val="24"/>
        </w:rPr>
        <w:t>0.35s。</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（4）</w:t>
      </w:r>
      <w:r>
        <w:rPr>
          <w:rFonts w:ascii="Times New Roman" w:hAnsi="Times New Roman" w:eastAsia="仿宋_GB2312" w:cs="Times New Roman"/>
          <w:color w:val="auto"/>
          <w:szCs w:val="24"/>
        </w:rPr>
        <w:t>不良地质情况</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根据地勘报告和现场勘查，规划区域内不存在滑坡、岩溶、崩塌、泥石流、采空区、地面塌陷等对工程安全有较大影响的不良地质作用，此外，场地内也未发现其他对工程不利的古河道、沟滨、墓穴、防空洞、孤石等埋藏物。</w:t>
      </w:r>
    </w:p>
    <w:p>
      <w:pPr>
        <w:pStyle w:val="6"/>
        <w:spacing w:line="360" w:lineRule="auto"/>
        <w:rPr>
          <w:bCs w:val="0"/>
          <w:color w:val="auto"/>
          <w:szCs w:val="30"/>
        </w:rPr>
      </w:pPr>
      <w:r>
        <w:rPr>
          <w:bCs w:val="0"/>
          <w:color w:val="auto"/>
          <w:szCs w:val="30"/>
        </w:rPr>
        <w:t>2.7.</w:t>
      </w:r>
      <w:r>
        <w:rPr>
          <w:rFonts w:hint="eastAsia"/>
          <w:bCs w:val="0"/>
          <w:color w:val="auto"/>
          <w:szCs w:val="30"/>
        </w:rPr>
        <w:t>2</w:t>
      </w:r>
      <w:r>
        <w:rPr>
          <w:rFonts w:eastAsia="仿宋_GB2312"/>
          <w:bCs w:val="0"/>
          <w:color w:val="auto"/>
          <w:szCs w:val="30"/>
        </w:rPr>
        <w:t>地形地貌</w:t>
      </w:r>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工程所在地为</w:t>
      </w:r>
      <w:r>
        <w:rPr>
          <w:rFonts w:hint="eastAsia" w:ascii="Times New Roman" w:hAnsi="Times New Roman" w:eastAsia="仿宋_GB2312" w:cs="Times New Roman"/>
          <w:color w:val="auto"/>
          <w:szCs w:val="24"/>
        </w:rPr>
        <w:t>江西省南昌市</w:t>
      </w:r>
      <w:r>
        <w:rPr>
          <w:rFonts w:ascii="Times New Roman" w:hAnsi="Times New Roman" w:eastAsia="仿宋_GB2312" w:cs="Times New Roman"/>
          <w:color w:val="auto"/>
          <w:szCs w:val="24"/>
        </w:rPr>
        <w:t>青山湖区，规划区属赣抚冲积平原。规划区域场地总体较为平缓，局部地形略有起伏</w:t>
      </w:r>
      <w:r>
        <w:rPr>
          <w:rFonts w:hint="eastAsia" w:ascii="Times New Roman" w:hAnsi="Times New Roman" w:eastAsia="仿宋_GB2312" w:cs="Times New Roman"/>
          <w:color w:val="auto"/>
          <w:szCs w:val="24"/>
        </w:rPr>
        <w:t>，规划区域内中部、南部及东北角分布有坑塘水面</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区域</w:t>
      </w:r>
      <w:r>
        <w:rPr>
          <w:rFonts w:ascii="Times New Roman" w:hAnsi="Times New Roman" w:eastAsia="仿宋_GB2312" w:cs="Times New Roman"/>
          <w:color w:val="auto"/>
          <w:szCs w:val="24"/>
        </w:rPr>
        <w:t>场地地面原始</w:t>
      </w:r>
      <w:r>
        <w:rPr>
          <w:rFonts w:hint="eastAsia" w:ascii="Times New Roman" w:hAnsi="Times New Roman" w:eastAsia="仿宋_GB2312" w:cs="Times New Roman"/>
          <w:color w:val="auto"/>
          <w:szCs w:val="24"/>
        </w:rPr>
        <w:t>高程为18.64m~22.4m，相对最大高差为3.76m，坡度平缓，有利于开发。</w:t>
      </w:r>
    </w:p>
    <w:p>
      <w:pPr>
        <w:pStyle w:val="6"/>
        <w:spacing w:line="360" w:lineRule="auto"/>
        <w:rPr>
          <w:bCs w:val="0"/>
          <w:color w:val="auto"/>
          <w:szCs w:val="30"/>
        </w:rPr>
      </w:pPr>
      <w:r>
        <w:rPr>
          <w:bCs w:val="0"/>
          <w:color w:val="auto"/>
          <w:szCs w:val="30"/>
        </w:rPr>
        <w:t>2.7.3</w:t>
      </w:r>
      <w:r>
        <w:rPr>
          <w:rFonts w:eastAsia="仿宋_GB2312"/>
          <w:bCs w:val="0"/>
          <w:color w:val="auto"/>
          <w:szCs w:val="30"/>
        </w:rPr>
        <w:t>气象</w:t>
      </w:r>
    </w:p>
    <w:p>
      <w:pPr>
        <w:snapToGrid w:val="0"/>
        <w:spacing w:line="360" w:lineRule="auto"/>
        <w:ind w:firstLine="480" w:firstLineChars="200"/>
        <w:jc w:val="left"/>
        <w:rPr>
          <w:rFonts w:ascii="Times New Roman" w:hAnsi="Times New Roman" w:eastAsia="仿宋_GB2312" w:cs="Times New Roman"/>
          <w:color w:val="auto"/>
          <w:kern w:val="0"/>
          <w:szCs w:val="24"/>
          <w:lang w:val="zh-CN"/>
        </w:rPr>
      </w:pPr>
      <w:r>
        <w:rPr>
          <w:rFonts w:hint="eastAsia" w:ascii="Times New Roman" w:hAnsi="Times New Roman" w:eastAsia="仿宋_GB2312" w:cs="Times New Roman"/>
          <w:color w:val="auto"/>
          <w:kern w:val="0"/>
          <w:szCs w:val="24"/>
          <w:lang w:val="zh-CN"/>
        </w:rPr>
        <w:t>南昌市</w:t>
      </w:r>
      <w:r>
        <w:rPr>
          <w:rFonts w:ascii="Times New Roman" w:hAnsi="Times New Roman" w:eastAsia="仿宋_GB2312" w:cs="Times New Roman"/>
          <w:color w:val="auto"/>
          <w:szCs w:val="24"/>
        </w:rPr>
        <w:t>属亚热带湿润季风气候区。</w:t>
      </w:r>
      <w:r>
        <w:rPr>
          <w:rFonts w:ascii="Times New Roman" w:hAnsi="Times New Roman" w:eastAsia="仿宋_GB2312" w:cs="Times New Roman"/>
          <w:color w:val="auto"/>
          <w:kern w:val="0"/>
          <w:szCs w:val="24"/>
          <w:lang w:val="zh-CN"/>
        </w:rPr>
        <w:t>气候温暖，光线充足、雨量充沛，四季分明。根据</w:t>
      </w:r>
      <w:r>
        <w:rPr>
          <w:rFonts w:hint="eastAsia" w:ascii="Times New Roman" w:hAnsi="Times New Roman" w:eastAsia="仿宋_GB2312" w:cs="Times New Roman"/>
          <w:color w:val="auto"/>
          <w:szCs w:val="24"/>
        </w:rPr>
        <w:t>南昌市</w:t>
      </w:r>
      <w:r>
        <w:rPr>
          <w:rFonts w:ascii="Times New Roman" w:hAnsi="Times New Roman" w:eastAsia="仿宋_GB2312" w:cs="Times New Roman"/>
          <w:color w:val="auto"/>
          <w:szCs w:val="24"/>
        </w:rPr>
        <w:t>气象</w:t>
      </w:r>
      <w:r>
        <w:rPr>
          <w:rFonts w:hint="eastAsia" w:ascii="Times New Roman" w:hAnsi="Times New Roman" w:eastAsia="仿宋_GB2312" w:cs="Times New Roman"/>
          <w:color w:val="auto"/>
          <w:szCs w:val="24"/>
        </w:rPr>
        <w:t>局</w:t>
      </w:r>
      <w:r>
        <w:rPr>
          <w:rFonts w:ascii="Times New Roman" w:hAnsi="Times New Roman" w:eastAsia="仿宋_GB2312" w:cs="Times New Roman"/>
          <w:color w:val="auto"/>
          <w:szCs w:val="24"/>
        </w:rPr>
        <w:t>资料</w:t>
      </w:r>
      <w:r>
        <w:rPr>
          <w:rFonts w:hint="eastAsia" w:ascii="Times New Roman" w:hAnsi="Times New Roman" w:eastAsia="仿宋_GB2312" w:cs="Times New Roman"/>
          <w:color w:val="auto"/>
          <w:szCs w:val="24"/>
        </w:rPr>
        <w:t>（1956年~2015年）</w:t>
      </w:r>
      <w:r>
        <w:rPr>
          <w:rFonts w:ascii="Times New Roman" w:hAnsi="Times New Roman" w:eastAsia="仿宋_GB2312" w:cs="Times New Roman"/>
          <w:color w:val="auto"/>
          <w:szCs w:val="24"/>
        </w:rPr>
        <w:t>，</w:t>
      </w:r>
      <w:r>
        <w:rPr>
          <w:rFonts w:ascii="Times New Roman" w:hAnsi="Times New Roman" w:eastAsia="仿宋_GB2312" w:cs="Times New Roman"/>
          <w:color w:val="auto"/>
          <w:kern w:val="0"/>
          <w:szCs w:val="24"/>
          <w:lang w:val="zh-CN"/>
        </w:rPr>
        <w:t>多年平均气温17.8</w:t>
      </w:r>
      <w:r>
        <w:rPr>
          <w:rFonts w:hint="eastAsia" w:ascii="宋体" w:hAnsi="宋体" w:eastAsia="仿宋_GB2312" w:cs="宋体"/>
          <w:color w:val="auto"/>
          <w:kern w:val="0"/>
          <w:szCs w:val="24"/>
          <w:lang w:val="zh-CN"/>
        </w:rPr>
        <w:t>℃</w:t>
      </w:r>
      <w:r>
        <w:rPr>
          <w:rFonts w:ascii="Times New Roman" w:hAnsi="Times New Roman" w:eastAsia="仿宋_GB2312" w:cs="Times New Roman"/>
          <w:color w:val="auto"/>
          <w:kern w:val="0"/>
          <w:szCs w:val="24"/>
          <w:lang w:val="zh-CN"/>
        </w:rPr>
        <w:t>，</w:t>
      </w:r>
      <w:r>
        <w:rPr>
          <w:rFonts w:ascii="Times New Roman" w:hAnsi="Times New Roman" w:eastAsia="仿宋_GB2312" w:cs="Times New Roman"/>
          <w:color w:val="auto"/>
          <w:szCs w:val="24"/>
        </w:rPr>
        <w:t>年极端最高温度40.3</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，年极端最低温度-9.9</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w:t>
      </w:r>
      <w:r>
        <w:rPr>
          <w:rFonts w:ascii="Times New Roman" w:hAnsi="Times New Roman" w:eastAsia="仿宋_GB2312" w:cs="Times New Roman"/>
          <w:color w:val="auto"/>
          <w:kern w:val="0"/>
          <w:szCs w:val="24"/>
          <w:lang w:val="zh-CN"/>
        </w:rPr>
        <w:t>≥10</w:t>
      </w:r>
      <w:r>
        <w:rPr>
          <w:rFonts w:hint="eastAsia" w:ascii="宋体" w:hAnsi="宋体" w:eastAsia="仿宋_GB2312" w:cs="宋体"/>
          <w:color w:val="auto"/>
          <w:kern w:val="0"/>
          <w:szCs w:val="24"/>
          <w:lang w:val="zh-CN"/>
        </w:rPr>
        <w:t>℃</w:t>
      </w:r>
      <w:r>
        <w:rPr>
          <w:rFonts w:ascii="Times New Roman" w:hAnsi="Times New Roman" w:eastAsia="仿宋_GB2312" w:cs="Times New Roman"/>
          <w:color w:val="auto"/>
          <w:kern w:val="0"/>
          <w:szCs w:val="24"/>
          <w:lang w:val="zh-CN"/>
        </w:rPr>
        <w:t>积温5480</w:t>
      </w:r>
      <w:r>
        <w:rPr>
          <w:rFonts w:hint="eastAsia" w:ascii="宋体" w:hAnsi="宋体" w:eastAsia="仿宋_GB2312" w:cs="宋体"/>
          <w:color w:val="auto"/>
          <w:kern w:val="0"/>
          <w:szCs w:val="24"/>
          <w:lang w:val="zh-CN"/>
        </w:rPr>
        <w:t>℃</w:t>
      </w:r>
      <w:r>
        <w:rPr>
          <w:rFonts w:ascii="Times New Roman" w:hAnsi="Times New Roman" w:eastAsia="仿宋_GB2312" w:cs="Times New Roman"/>
          <w:color w:val="auto"/>
          <w:kern w:val="0"/>
          <w:szCs w:val="24"/>
          <w:lang w:val="zh-CN"/>
        </w:rPr>
        <w:t>，多年</w:t>
      </w:r>
      <w:r>
        <w:rPr>
          <w:rFonts w:ascii="Times New Roman" w:hAnsi="Times New Roman" w:eastAsia="仿宋_GB2312" w:cs="Times New Roman"/>
          <w:color w:val="auto"/>
          <w:szCs w:val="24"/>
        </w:rPr>
        <w:t>（1956年</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2015年）平均</w:t>
      </w:r>
      <w:r>
        <w:rPr>
          <w:rFonts w:ascii="Times New Roman" w:hAnsi="Times New Roman" w:eastAsia="仿宋_GB2312" w:cs="Times New Roman"/>
          <w:color w:val="auto"/>
          <w:kern w:val="0"/>
          <w:szCs w:val="24"/>
          <w:lang w:val="zh-CN"/>
        </w:rPr>
        <w:t>蒸发量1263.7mm，多年</w:t>
      </w:r>
      <w:r>
        <w:rPr>
          <w:rFonts w:ascii="Times New Roman" w:hAnsi="Times New Roman" w:eastAsia="仿宋_GB2312" w:cs="Times New Roman"/>
          <w:color w:val="auto"/>
          <w:szCs w:val="24"/>
        </w:rPr>
        <w:t>（1956年</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2015年）</w:t>
      </w:r>
      <w:r>
        <w:rPr>
          <w:rFonts w:ascii="Times New Roman" w:hAnsi="Times New Roman" w:eastAsia="仿宋_GB2312" w:cs="Times New Roman"/>
          <w:color w:val="auto"/>
          <w:kern w:val="0"/>
          <w:szCs w:val="24"/>
          <w:lang w:val="zh-CN"/>
        </w:rPr>
        <w:t>平均降雨量1589mm，</w:t>
      </w:r>
      <w:r>
        <w:rPr>
          <w:rFonts w:ascii="Times New Roman" w:hAnsi="Times New Roman" w:eastAsia="仿宋_GB2312" w:cs="Times New Roman"/>
          <w:color w:val="auto"/>
          <w:szCs w:val="24"/>
        </w:rPr>
        <w:t>最大年降雨量2459.0mm（1973年），最小年降雨量1036.3mm（1963年），最大日暴雨量289.0mm（1973年6月24日），最大时降雨量58.7mm，10年一遇24h最大降雨量170.1mm</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多年平均降雨天数142天。雨季时段为4~6月，降雨量占年降雨量的51.3%。</w:t>
      </w:r>
      <w:r>
        <w:rPr>
          <w:rFonts w:ascii="Times New Roman" w:hAnsi="Times New Roman" w:eastAsia="仿宋_GB2312" w:cs="Times New Roman"/>
          <w:color w:val="auto"/>
          <w:kern w:val="0"/>
          <w:szCs w:val="24"/>
          <w:lang w:val="zh-CN"/>
        </w:rPr>
        <w:t>无霜期267天，平均风速2.3m/s，</w:t>
      </w:r>
      <w:r>
        <w:rPr>
          <w:rFonts w:ascii="Times New Roman" w:hAnsi="Times New Roman" w:eastAsia="仿宋_GB2312" w:cs="Times New Roman"/>
          <w:color w:val="auto"/>
          <w:szCs w:val="24"/>
        </w:rPr>
        <w:t>最大风速21.7m/s，</w:t>
      </w:r>
      <w:r>
        <w:rPr>
          <w:rFonts w:ascii="Times New Roman" w:hAnsi="Times New Roman" w:eastAsia="仿宋_GB2312" w:cs="Times New Roman"/>
          <w:color w:val="auto"/>
          <w:kern w:val="0"/>
          <w:szCs w:val="24"/>
          <w:lang w:val="zh-CN"/>
        </w:rPr>
        <w:t>主导风向为北北东。</w:t>
      </w:r>
    </w:p>
    <w:p>
      <w:pPr>
        <w:snapToGrid w:val="0"/>
        <w:spacing w:line="360" w:lineRule="auto"/>
        <w:jc w:val="center"/>
        <w:rPr>
          <w:rFonts w:ascii="Times New Roman" w:hAnsi="Times New Roman" w:eastAsia="仿宋_GB2312" w:cs="Times New Roman"/>
          <w:color w:val="auto"/>
          <w:kern w:val="0"/>
          <w:szCs w:val="24"/>
          <w:lang w:val="zh-CN"/>
        </w:rPr>
      </w:pPr>
      <w:r>
        <w:rPr>
          <w:rFonts w:ascii="Times New Roman" w:hAnsi="Times New Roman" w:eastAsia="仿宋_GB2312" w:cs="Times New Roman"/>
          <w:b/>
          <w:color w:val="auto"/>
          <w:kern w:val="0"/>
          <w:lang w:val="zh-CN"/>
        </w:rPr>
        <w:t>表2</w:t>
      </w:r>
      <w:r>
        <w:rPr>
          <w:rFonts w:hint="eastAsia" w:ascii="Times New Roman" w:hAnsi="Times New Roman" w:eastAsia="仿宋_GB2312" w:cs="Times New Roman"/>
          <w:b/>
          <w:color w:val="auto"/>
          <w:kern w:val="0"/>
        </w:rPr>
        <w:t>.</w:t>
      </w:r>
      <w:r>
        <w:rPr>
          <w:rFonts w:ascii="Times New Roman" w:hAnsi="Times New Roman" w:eastAsia="仿宋_GB2312" w:cs="Times New Roman"/>
          <w:b/>
          <w:color w:val="auto"/>
          <w:kern w:val="0"/>
          <w:lang w:val="zh-CN"/>
        </w:rPr>
        <w:t>7-</w:t>
      </w:r>
      <w:r>
        <w:rPr>
          <w:rFonts w:hint="eastAsia" w:ascii="Times New Roman" w:hAnsi="Times New Roman" w:eastAsia="仿宋_GB2312" w:cs="Times New Roman"/>
          <w:b/>
          <w:color w:val="auto"/>
          <w:kern w:val="0"/>
          <w:lang w:val="zh-CN"/>
        </w:rPr>
        <w:t>1：</w:t>
      </w:r>
      <w:r>
        <w:rPr>
          <w:rFonts w:ascii="Times New Roman" w:hAnsi="Times New Roman" w:eastAsia="仿宋_GB2312" w:cs="Times New Roman"/>
          <w:b/>
          <w:color w:val="auto"/>
          <w:kern w:val="0"/>
          <w:lang w:val="zh-CN"/>
        </w:rPr>
        <w:t>项目区气象特征表</w:t>
      </w:r>
    </w:p>
    <w:tbl>
      <w:tblPr>
        <w:tblStyle w:val="37"/>
        <w:tblW w:w="5793"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905"/>
        <w:gridCol w:w="994"/>
        <w:gridCol w:w="993"/>
        <w:gridCol w:w="914"/>
        <w:gridCol w:w="863"/>
        <w:gridCol w:w="987"/>
        <w:gridCol w:w="871"/>
        <w:gridCol w:w="861"/>
        <w:gridCol w:w="713"/>
        <w:gridCol w:w="924"/>
        <w:gridCol w:w="849"/>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48" w:hRule="atLeast"/>
          <w:jc w:val="center"/>
        </w:trPr>
        <w:tc>
          <w:tcPr>
            <w:tcW w:w="458" w:type="pct"/>
            <w:vMerge w:val="restart"/>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行政区</w:t>
            </w:r>
          </w:p>
        </w:tc>
        <w:tc>
          <w:tcPr>
            <w:tcW w:w="1469" w:type="pct"/>
            <w:gridSpan w:val="3"/>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气温</w:t>
            </w:r>
          </w:p>
        </w:tc>
        <w:tc>
          <w:tcPr>
            <w:tcW w:w="437" w:type="pct"/>
            <w:vMerge w:val="restart"/>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年平均降水量（mm）</w:t>
            </w:r>
          </w:p>
        </w:tc>
        <w:tc>
          <w:tcPr>
            <w:tcW w:w="500" w:type="pct"/>
            <w:vMerge w:val="restart"/>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10年一遇24h最大降雨量（mm）</w:t>
            </w:r>
          </w:p>
        </w:tc>
        <w:tc>
          <w:tcPr>
            <w:tcW w:w="441" w:type="pct"/>
            <w:vMerge w:val="restart"/>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≥10°活动积温（℃）</w:t>
            </w:r>
          </w:p>
        </w:tc>
        <w:tc>
          <w:tcPr>
            <w:tcW w:w="436" w:type="pct"/>
            <w:vMerge w:val="restart"/>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年均蒸发量（mm）</w:t>
            </w:r>
          </w:p>
        </w:tc>
        <w:tc>
          <w:tcPr>
            <w:tcW w:w="361" w:type="pct"/>
            <w:vMerge w:val="restart"/>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无霜期（d）</w:t>
            </w:r>
          </w:p>
        </w:tc>
        <w:tc>
          <w:tcPr>
            <w:tcW w:w="468" w:type="pct"/>
            <w:vMerge w:val="restart"/>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平均风速（m/s）</w:t>
            </w:r>
          </w:p>
        </w:tc>
        <w:tc>
          <w:tcPr>
            <w:tcW w:w="431" w:type="pct"/>
            <w:vMerge w:val="restart"/>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年均日照时数（h）</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48" w:hRule="atLeast"/>
          <w:jc w:val="center"/>
        </w:trPr>
        <w:tc>
          <w:tcPr>
            <w:tcW w:w="458" w:type="pct"/>
            <w:vMerge w:val="continue"/>
            <w:vAlign w:val="center"/>
          </w:tcPr>
          <w:p>
            <w:pPr>
              <w:adjustRightInd w:val="0"/>
              <w:snapToGrid w:val="0"/>
              <w:spacing w:line="240" w:lineRule="atLeast"/>
              <w:jc w:val="center"/>
              <w:rPr>
                <w:rFonts w:ascii="Times New Roman" w:hAnsi="Times New Roman" w:eastAsia="仿宋_GB2312" w:cs="Times New Roman"/>
                <w:color w:val="auto"/>
                <w:sz w:val="21"/>
                <w:szCs w:val="21"/>
              </w:rPr>
            </w:pPr>
          </w:p>
        </w:tc>
        <w:tc>
          <w:tcPr>
            <w:tcW w:w="503" w:type="pct"/>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年极端最高气温（℃）</w:t>
            </w:r>
          </w:p>
        </w:tc>
        <w:tc>
          <w:tcPr>
            <w:tcW w:w="503" w:type="pct"/>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年极端最低气温（℃）</w:t>
            </w:r>
          </w:p>
        </w:tc>
        <w:tc>
          <w:tcPr>
            <w:tcW w:w="463" w:type="pct"/>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多年平均气温（℃）</w:t>
            </w:r>
          </w:p>
        </w:tc>
        <w:tc>
          <w:tcPr>
            <w:tcW w:w="437" w:type="pct"/>
            <w:vMerge w:val="continue"/>
            <w:vAlign w:val="center"/>
          </w:tcPr>
          <w:p>
            <w:pPr>
              <w:adjustRightInd w:val="0"/>
              <w:snapToGrid w:val="0"/>
              <w:spacing w:line="240" w:lineRule="atLeast"/>
              <w:jc w:val="center"/>
              <w:rPr>
                <w:rFonts w:ascii="Times New Roman" w:hAnsi="Times New Roman" w:eastAsia="仿宋_GB2312" w:cs="Times New Roman"/>
                <w:color w:val="auto"/>
                <w:sz w:val="21"/>
                <w:szCs w:val="21"/>
              </w:rPr>
            </w:pPr>
          </w:p>
        </w:tc>
        <w:tc>
          <w:tcPr>
            <w:tcW w:w="500" w:type="pct"/>
            <w:vMerge w:val="continue"/>
            <w:vAlign w:val="center"/>
          </w:tcPr>
          <w:p>
            <w:pPr>
              <w:adjustRightInd w:val="0"/>
              <w:snapToGrid w:val="0"/>
              <w:spacing w:line="240" w:lineRule="atLeast"/>
              <w:jc w:val="center"/>
              <w:rPr>
                <w:rFonts w:ascii="Times New Roman" w:hAnsi="Times New Roman" w:eastAsia="仿宋_GB2312" w:cs="Times New Roman"/>
                <w:color w:val="auto"/>
                <w:sz w:val="21"/>
                <w:szCs w:val="21"/>
              </w:rPr>
            </w:pPr>
          </w:p>
        </w:tc>
        <w:tc>
          <w:tcPr>
            <w:tcW w:w="441" w:type="pct"/>
            <w:vMerge w:val="continue"/>
            <w:vAlign w:val="center"/>
          </w:tcPr>
          <w:p>
            <w:pPr>
              <w:adjustRightInd w:val="0"/>
              <w:snapToGrid w:val="0"/>
              <w:spacing w:line="240" w:lineRule="atLeast"/>
              <w:jc w:val="center"/>
              <w:rPr>
                <w:rFonts w:ascii="Times New Roman" w:hAnsi="Times New Roman" w:eastAsia="仿宋_GB2312" w:cs="Times New Roman"/>
                <w:color w:val="auto"/>
                <w:sz w:val="21"/>
                <w:szCs w:val="21"/>
              </w:rPr>
            </w:pPr>
          </w:p>
        </w:tc>
        <w:tc>
          <w:tcPr>
            <w:tcW w:w="436" w:type="pct"/>
            <w:vMerge w:val="continue"/>
            <w:vAlign w:val="center"/>
          </w:tcPr>
          <w:p>
            <w:pPr>
              <w:adjustRightInd w:val="0"/>
              <w:snapToGrid w:val="0"/>
              <w:spacing w:line="240" w:lineRule="atLeast"/>
              <w:jc w:val="center"/>
              <w:rPr>
                <w:rFonts w:ascii="Times New Roman" w:hAnsi="Times New Roman" w:eastAsia="仿宋_GB2312" w:cs="Times New Roman"/>
                <w:color w:val="auto"/>
                <w:sz w:val="21"/>
                <w:szCs w:val="21"/>
              </w:rPr>
            </w:pPr>
          </w:p>
        </w:tc>
        <w:tc>
          <w:tcPr>
            <w:tcW w:w="361" w:type="pct"/>
            <w:vMerge w:val="continue"/>
            <w:vAlign w:val="center"/>
          </w:tcPr>
          <w:p>
            <w:pPr>
              <w:adjustRightInd w:val="0"/>
              <w:snapToGrid w:val="0"/>
              <w:spacing w:line="240" w:lineRule="atLeast"/>
              <w:jc w:val="center"/>
              <w:rPr>
                <w:rFonts w:ascii="Times New Roman" w:hAnsi="Times New Roman" w:eastAsia="仿宋_GB2312" w:cs="Times New Roman"/>
                <w:color w:val="auto"/>
                <w:sz w:val="21"/>
                <w:szCs w:val="21"/>
              </w:rPr>
            </w:pPr>
          </w:p>
        </w:tc>
        <w:tc>
          <w:tcPr>
            <w:tcW w:w="468" w:type="pct"/>
            <w:vMerge w:val="continue"/>
            <w:vAlign w:val="center"/>
          </w:tcPr>
          <w:p>
            <w:pPr>
              <w:adjustRightInd w:val="0"/>
              <w:snapToGrid w:val="0"/>
              <w:spacing w:line="240" w:lineRule="atLeast"/>
              <w:jc w:val="center"/>
              <w:rPr>
                <w:rFonts w:ascii="Times New Roman" w:hAnsi="Times New Roman" w:eastAsia="仿宋_GB2312" w:cs="Times New Roman"/>
                <w:color w:val="auto"/>
                <w:sz w:val="21"/>
                <w:szCs w:val="21"/>
              </w:rPr>
            </w:pPr>
          </w:p>
        </w:tc>
        <w:tc>
          <w:tcPr>
            <w:tcW w:w="431" w:type="pct"/>
            <w:vMerge w:val="continue"/>
            <w:vAlign w:val="center"/>
          </w:tcPr>
          <w:p>
            <w:pPr>
              <w:adjustRightInd w:val="0"/>
              <w:snapToGrid w:val="0"/>
              <w:spacing w:line="240" w:lineRule="atLeast"/>
              <w:jc w:val="center"/>
              <w:rPr>
                <w:rFonts w:ascii="Times New Roman" w:hAnsi="Times New Roman" w:eastAsia="仿宋_GB2312" w:cs="Times New Roman"/>
                <w:color w:val="auto"/>
                <w:sz w:val="21"/>
                <w:szCs w:val="21"/>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11" w:hRule="atLeast"/>
          <w:jc w:val="center"/>
        </w:trPr>
        <w:tc>
          <w:tcPr>
            <w:tcW w:w="458" w:type="pct"/>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南昌市</w:t>
            </w:r>
          </w:p>
        </w:tc>
        <w:tc>
          <w:tcPr>
            <w:tcW w:w="503" w:type="pct"/>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40.3</w:t>
            </w:r>
          </w:p>
        </w:tc>
        <w:tc>
          <w:tcPr>
            <w:tcW w:w="503" w:type="pct"/>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-9.9</w:t>
            </w:r>
          </w:p>
        </w:tc>
        <w:tc>
          <w:tcPr>
            <w:tcW w:w="463" w:type="pct"/>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17.8</w:t>
            </w:r>
          </w:p>
        </w:tc>
        <w:tc>
          <w:tcPr>
            <w:tcW w:w="437" w:type="pct"/>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1589</w:t>
            </w:r>
          </w:p>
        </w:tc>
        <w:tc>
          <w:tcPr>
            <w:tcW w:w="500" w:type="pct"/>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170.1</w:t>
            </w:r>
          </w:p>
        </w:tc>
        <w:tc>
          <w:tcPr>
            <w:tcW w:w="441" w:type="pct"/>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5480</w:t>
            </w:r>
          </w:p>
        </w:tc>
        <w:tc>
          <w:tcPr>
            <w:tcW w:w="436" w:type="pct"/>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1263.7</w:t>
            </w:r>
          </w:p>
        </w:tc>
        <w:tc>
          <w:tcPr>
            <w:tcW w:w="361" w:type="pct"/>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267</w:t>
            </w:r>
          </w:p>
        </w:tc>
        <w:tc>
          <w:tcPr>
            <w:tcW w:w="468" w:type="pct"/>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2.3</w:t>
            </w:r>
          </w:p>
        </w:tc>
        <w:tc>
          <w:tcPr>
            <w:tcW w:w="431" w:type="pct"/>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1603.4</w:t>
            </w:r>
          </w:p>
        </w:tc>
      </w:tr>
    </w:tbl>
    <w:p>
      <w:pPr>
        <w:pStyle w:val="2"/>
        <w:ind w:firstLine="240"/>
        <w:rPr>
          <w:rFonts w:ascii="Times New Roman" w:hAnsi="Times New Roman" w:cs="Times New Roman"/>
          <w:color w:val="auto"/>
        </w:rPr>
      </w:pPr>
      <w:r>
        <w:rPr>
          <w:rFonts w:ascii="Times New Roman" w:eastAsia="仿宋_GB2312" w:cs="Times New Roman"/>
          <w:bCs/>
          <w:color w:val="auto"/>
          <w:kern w:val="0"/>
          <w:lang w:val="zh-CN"/>
        </w:rPr>
        <w:t>注：资料来源</w:t>
      </w:r>
      <w:r>
        <w:rPr>
          <w:rFonts w:ascii="Times New Roman" w:eastAsia="仿宋_GB2312" w:cs="Times New Roman"/>
          <w:bCs/>
          <w:color w:val="auto"/>
          <w:kern w:val="0"/>
        </w:rPr>
        <w:t>南昌市</w:t>
      </w:r>
      <w:r>
        <w:rPr>
          <w:rFonts w:ascii="Times New Roman" w:eastAsia="仿宋_GB2312" w:cs="Times New Roman"/>
          <w:bCs/>
          <w:color w:val="auto"/>
          <w:kern w:val="0"/>
          <w:lang w:val="zh-CN"/>
        </w:rPr>
        <w:t>气象局（</w:t>
      </w:r>
      <w:r>
        <w:rPr>
          <w:rFonts w:ascii="Times New Roman" w:hAnsi="Times New Roman" w:eastAsia="仿宋_GB2312" w:cs="Times New Roman"/>
          <w:bCs/>
          <w:color w:val="auto"/>
          <w:kern w:val="0"/>
        </w:rPr>
        <w:t>19</w:t>
      </w:r>
      <w:r>
        <w:rPr>
          <w:rFonts w:hint="eastAsia" w:ascii="Times New Roman" w:hAnsi="Times New Roman" w:eastAsia="仿宋_GB2312" w:cs="Times New Roman"/>
          <w:bCs/>
          <w:color w:val="auto"/>
          <w:kern w:val="0"/>
        </w:rPr>
        <w:t>56</w:t>
      </w:r>
      <w:r>
        <w:rPr>
          <w:rFonts w:ascii="Times New Roman" w:hAnsi="Times New Roman" w:eastAsia="仿宋_GB2312" w:cs="Times New Roman"/>
          <w:bCs/>
          <w:color w:val="auto"/>
          <w:kern w:val="0"/>
        </w:rPr>
        <w:t>~</w:t>
      </w:r>
      <w:r>
        <w:rPr>
          <w:rFonts w:ascii="Times New Roman" w:hAnsi="Times New Roman" w:eastAsia="仿宋_GB2312" w:cs="Times New Roman"/>
          <w:bCs/>
          <w:color w:val="auto"/>
          <w:kern w:val="0"/>
          <w:lang w:val="zh-CN"/>
        </w:rPr>
        <w:t>2015</w:t>
      </w:r>
      <w:r>
        <w:rPr>
          <w:rFonts w:ascii="Times New Roman" w:eastAsia="仿宋_GB2312" w:cs="Times New Roman"/>
          <w:bCs/>
          <w:color w:val="auto"/>
          <w:kern w:val="0"/>
          <w:lang w:val="zh-CN"/>
        </w:rPr>
        <w:t>年）</w:t>
      </w:r>
    </w:p>
    <w:p>
      <w:pPr>
        <w:pStyle w:val="6"/>
        <w:spacing w:line="360" w:lineRule="auto"/>
        <w:rPr>
          <w:bCs w:val="0"/>
          <w:color w:val="auto"/>
          <w:szCs w:val="30"/>
        </w:rPr>
      </w:pPr>
      <w:r>
        <w:rPr>
          <w:bCs w:val="0"/>
          <w:color w:val="auto"/>
          <w:szCs w:val="30"/>
        </w:rPr>
        <w:t>2.7.4</w:t>
      </w:r>
      <w:r>
        <w:rPr>
          <w:rFonts w:eastAsia="仿宋_GB2312"/>
          <w:bCs w:val="0"/>
          <w:color w:val="auto"/>
          <w:szCs w:val="30"/>
        </w:rPr>
        <w:t>水文</w:t>
      </w:r>
    </w:p>
    <w:p>
      <w:pPr>
        <w:snapToGrid w:val="0"/>
        <w:spacing w:line="360" w:lineRule="auto"/>
        <w:ind w:firstLine="480" w:firstLineChars="200"/>
        <w:jc w:val="left"/>
        <w:rPr>
          <w:rFonts w:ascii="Times New Roman" w:hAnsi="Times New Roman" w:eastAsia="仿宋_GB2312" w:cs="Times New Roman"/>
          <w:color w:val="auto"/>
          <w:kern w:val="0"/>
          <w:lang w:val="zh-CN"/>
        </w:rPr>
      </w:pPr>
      <w:r>
        <w:rPr>
          <w:rFonts w:hint="eastAsia" w:ascii="Times New Roman" w:hAnsi="Times New Roman" w:eastAsia="仿宋_GB2312" w:cs="Times New Roman"/>
          <w:color w:val="auto"/>
          <w:kern w:val="0"/>
          <w:szCs w:val="24"/>
          <w:lang w:val="zh-CN"/>
        </w:rPr>
        <w:t>项目区周边水系丰富，主要有赣江、抚河、艾溪湖、瑶湖和</w:t>
      </w:r>
      <w:r>
        <w:rPr>
          <w:rFonts w:hint="eastAsia" w:ascii="Times New Roman" w:hAnsi="Times New Roman" w:eastAsia="仿宋_GB2312" w:cs="Times New Roman"/>
          <w:color w:val="auto"/>
          <w:kern w:val="0"/>
          <w:szCs w:val="24"/>
          <w:lang w:val="zh-CN"/>
        </w:rPr>
        <w:t>西总干渠。</w:t>
      </w:r>
    </w:p>
    <w:p>
      <w:pPr>
        <w:widowControl/>
        <w:snapToGrid w:val="0"/>
        <w:spacing w:line="360" w:lineRule="auto"/>
        <w:ind w:firstLine="480" w:firstLineChars="200"/>
        <w:textAlignment w:val="bottom"/>
        <w:rPr>
          <w:rFonts w:ascii="Times New Roman" w:hAnsi="Times New Roman" w:eastAsia="仿宋_GB2312" w:cs="Times New Roman"/>
          <w:color w:val="auto"/>
          <w:kern w:val="0"/>
          <w:szCs w:val="24"/>
          <w:lang w:val="zh-CN"/>
        </w:rPr>
      </w:pPr>
      <w:r>
        <w:rPr>
          <w:rFonts w:ascii="Times New Roman" w:hAnsi="Times New Roman" w:eastAsia="仿宋_GB2312" w:cs="Times New Roman"/>
          <w:color w:val="auto"/>
          <w:kern w:val="0"/>
          <w:szCs w:val="24"/>
          <w:lang w:val="zh-CN"/>
        </w:rPr>
        <w:t>赣江：</w:t>
      </w:r>
      <w:r>
        <w:rPr>
          <w:rFonts w:hint="eastAsia" w:ascii="Times New Roman" w:hAnsi="Times New Roman" w:eastAsia="仿宋_GB2312" w:cs="Times New Roman"/>
          <w:color w:val="auto"/>
          <w:kern w:val="0"/>
          <w:szCs w:val="24"/>
          <w:lang w:val="zh-CN"/>
        </w:rPr>
        <w:t>江西省内第一大河流，它是由发源于赣闽交界的武夷山黄竹岭的贡江和发源于大余县聂都水，并与章江在赣州市汇合而成，它自南向北贯穿全省，</w:t>
      </w:r>
      <w:r>
        <w:rPr>
          <w:rFonts w:ascii="Times New Roman" w:hAnsi="Times New Roman" w:eastAsia="仿宋_GB2312" w:cs="Times New Roman"/>
          <w:color w:val="auto"/>
          <w:kern w:val="0"/>
          <w:szCs w:val="24"/>
          <w:lang w:val="zh-CN"/>
        </w:rPr>
        <w:t>流经南昌市区注入鄱阳湖，河流总长827km，总流域面积8.3万km</w:t>
      </w:r>
      <w:r>
        <w:rPr>
          <w:rFonts w:ascii="Times New Roman" w:hAnsi="Times New Roman" w:eastAsia="仿宋_GB2312" w:cs="Times New Roman"/>
          <w:color w:val="auto"/>
          <w:kern w:val="0"/>
          <w:szCs w:val="24"/>
          <w:vertAlign w:val="superscript"/>
          <w:lang w:val="zh-CN"/>
        </w:rPr>
        <w:t>2</w:t>
      </w:r>
      <w:r>
        <w:rPr>
          <w:rFonts w:ascii="Times New Roman" w:hAnsi="Times New Roman" w:eastAsia="仿宋_GB2312" w:cs="Times New Roman"/>
          <w:color w:val="auto"/>
          <w:kern w:val="0"/>
          <w:szCs w:val="24"/>
          <w:lang w:val="zh-CN"/>
        </w:rPr>
        <w:t>，在八一桥下游分为北支、中支、南支三支。据八一桥水文站观测资料，一般水位标高14.5</w:t>
      </w:r>
      <w:r>
        <w:rPr>
          <w:rFonts w:hint="eastAsia" w:ascii="Times New Roman" w:hAnsi="Times New Roman" w:eastAsia="仿宋_GB2312" w:cs="Times New Roman"/>
          <w:color w:val="auto"/>
          <w:kern w:val="0"/>
          <w:szCs w:val="24"/>
          <w:lang w:val="zh-CN"/>
        </w:rPr>
        <w:t>m~</w:t>
      </w:r>
      <w:r>
        <w:rPr>
          <w:rFonts w:ascii="Times New Roman" w:hAnsi="Times New Roman" w:eastAsia="仿宋_GB2312" w:cs="Times New Roman"/>
          <w:color w:val="auto"/>
          <w:kern w:val="0"/>
          <w:szCs w:val="24"/>
          <w:lang w:val="zh-CN"/>
        </w:rPr>
        <w:t>17.5m，有记录的最高水位黄海高程22.52m（1982</w:t>
      </w:r>
      <w:r>
        <w:rPr>
          <w:rFonts w:hint="eastAsia" w:ascii="Times New Roman" w:hAnsi="Times New Roman" w:eastAsia="仿宋_GB2312" w:cs="Times New Roman"/>
          <w:color w:val="auto"/>
          <w:kern w:val="0"/>
          <w:szCs w:val="24"/>
          <w:lang w:val="zh-CN"/>
        </w:rPr>
        <w:t>年</w:t>
      </w:r>
      <w:r>
        <w:rPr>
          <w:rFonts w:ascii="Times New Roman" w:hAnsi="Times New Roman" w:eastAsia="仿宋_GB2312" w:cs="Times New Roman"/>
          <w:color w:val="auto"/>
          <w:kern w:val="0"/>
          <w:szCs w:val="24"/>
          <w:lang w:val="zh-CN"/>
        </w:rPr>
        <w:t>6月20日），历史最低水位为12.77m</w:t>
      </w:r>
      <w:r>
        <w:rPr>
          <w:rFonts w:hint="eastAsia" w:ascii="Times New Roman" w:hAnsi="Times New Roman" w:eastAsia="仿宋_GB2312" w:cs="Times New Roman"/>
          <w:color w:val="auto"/>
          <w:kern w:val="0"/>
          <w:szCs w:val="24"/>
          <w:lang w:val="zh-CN"/>
        </w:rPr>
        <w:t>（</w:t>
      </w:r>
      <w:r>
        <w:rPr>
          <w:rFonts w:ascii="Times New Roman" w:hAnsi="Times New Roman" w:eastAsia="仿宋_GB2312" w:cs="Times New Roman"/>
          <w:color w:val="auto"/>
          <w:kern w:val="0"/>
          <w:szCs w:val="24"/>
          <w:lang w:val="zh-CN"/>
        </w:rPr>
        <w:t>2007年5月24日</w:t>
      </w:r>
      <w:r>
        <w:rPr>
          <w:rFonts w:hint="eastAsia" w:ascii="Times New Roman" w:hAnsi="Times New Roman" w:eastAsia="仿宋_GB2312" w:cs="Times New Roman"/>
          <w:color w:val="auto"/>
          <w:kern w:val="0"/>
          <w:szCs w:val="24"/>
          <w:lang w:val="zh-CN"/>
        </w:rPr>
        <w:t>）</w:t>
      </w:r>
      <w:r>
        <w:rPr>
          <w:rFonts w:ascii="Times New Roman" w:hAnsi="Times New Roman" w:eastAsia="仿宋_GB2312" w:cs="Times New Roman"/>
          <w:color w:val="auto"/>
          <w:kern w:val="0"/>
          <w:szCs w:val="24"/>
          <w:lang w:val="zh-CN"/>
        </w:rPr>
        <w:t>。其中5月为丰水期（据八一桥水文站资料，该三个月的迳流量占全年迳流量的53.4%，6月份最大，占全年的21%），11月</w:t>
      </w:r>
      <w:r>
        <w:rPr>
          <w:rFonts w:hint="eastAsia" w:ascii="Times New Roman" w:hAnsi="Times New Roman" w:eastAsia="仿宋_GB2312" w:cs="Times New Roman"/>
          <w:color w:val="auto"/>
          <w:kern w:val="0"/>
          <w:szCs w:val="24"/>
          <w:lang w:val="zh-CN"/>
        </w:rPr>
        <w:t>~</w:t>
      </w:r>
      <w:r>
        <w:rPr>
          <w:rFonts w:ascii="Times New Roman" w:hAnsi="Times New Roman" w:eastAsia="仿宋_GB2312" w:cs="Times New Roman"/>
          <w:color w:val="auto"/>
          <w:kern w:val="0"/>
          <w:szCs w:val="24"/>
          <w:lang w:val="zh-CN"/>
        </w:rPr>
        <w:t>翌年2月为枯水期。据昌北外洲水文站水文长观资料：赣江主流百年一遇洪水位为24.21m，五十年一遇洪水位为23.76m，二十年一遇洪水位为23.25m。最大洪峰流量21200m</w:t>
      </w:r>
      <w:r>
        <w:rPr>
          <w:rFonts w:ascii="Times New Roman" w:hAnsi="Times New Roman" w:eastAsia="仿宋_GB2312" w:cs="Times New Roman"/>
          <w:color w:val="auto"/>
          <w:kern w:val="0"/>
          <w:szCs w:val="24"/>
          <w:vertAlign w:val="superscript"/>
          <w:lang w:val="zh-CN"/>
        </w:rPr>
        <w:t>3</w:t>
      </w:r>
      <w:r>
        <w:rPr>
          <w:rFonts w:ascii="Times New Roman" w:hAnsi="Times New Roman" w:eastAsia="仿宋_GB2312" w:cs="Times New Roman"/>
          <w:color w:val="auto"/>
          <w:kern w:val="0"/>
          <w:szCs w:val="24"/>
          <w:lang w:val="zh-CN"/>
        </w:rPr>
        <w:t>/s（1982年6月20日），最枯流量172m</w:t>
      </w:r>
      <w:r>
        <w:rPr>
          <w:rFonts w:ascii="Times New Roman" w:hAnsi="Times New Roman" w:eastAsia="仿宋_GB2312" w:cs="Times New Roman"/>
          <w:color w:val="auto"/>
          <w:kern w:val="0"/>
          <w:szCs w:val="24"/>
          <w:vertAlign w:val="superscript"/>
          <w:lang w:val="zh-CN"/>
        </w:rPr>
        <w:t>3</w:t>
      </w:r>
      <w:r>
        <w:rPr>
          <w:rFonts w:ascii="Times New Roman" w:hAnsi="Times New Roman" w:eastAsia="仿宋_GB2312" w:cs="Times New Roman"/>
          <w:color w:val="auto"/>
          <w:kern w:val="0"/>
          <w:szCs w:val="24"/>
          <w:lang w:val="zh-CN"/>
        </w:rPr>
        <w:t>/s，最大流速2.53m/s。</w:t>
      </w:r>
      <w:r>
        <w:rPr>
          <w:rFonts w:hint="eastAsia" w:ascii="Times New Roman" w:hAnsi="Times New Roman" w:eastAsia="仿宋_GB2312" w:cs="Times New Roman"/>
          <w:color w:val="auto"/>
          <w:kern w:val="0"/>
          <w:szCs w:val="24"/>
          <w:lang w:val="zh-CN"/>
        </w:rPr>
        <w:t>区域</w:t>
      </w:r>
      <w:r>
        <w:rPr>
          <w:rFonts w:ascii="Times New Roman" w:hAnsi="Times New Roman" w:eastAsia="仿宋_GB2312" w:cs="Times New Roman"/>
          <w:color w:val="auto"/>
          <w:kern w:val="0"/>
          <w:szCs w:val="24"/>
          <w:lang w:val="zh-CN"/>
        </w:rPr>
        <w:t>所处的青山湖区涉及的赣江河道属水功能一级区划的工业用水区</w:t>
      </w:r>
      <w:r>
        <w:rPr>
          <w:rFonts w:hint="eastAsia" w:ascii="Times New Roman" w:hAnsi="Times New Roman" w:eastAsia="仿宋_GB2312" w:cs="Times New Roman"/>
          <w:color w:val="auto"/>
          <w:kern w:val="0"/>
          <w:szCs w:val="24"/>
          <w:lang w:val="zh-CN"/>
        </w:rPr>
        <w:t>。</w:t>
      </w:r>
    </w:p>
    <w:p>
      <w:pPr>
        <w:widowControl/>
        <w:snapToGrid w:val="0"/>
        <w:spacing w:line="360" w:lineRule="auto"/>
        <w:ind w:firstLine="480" w:firstLineChars="200"/>
        <w:textAlignment w:val="bottom"/>
        <w:rPr>
          <w:rFonts w:ascii="Times New Roman" w:hAnsi="Times New Roman" w:eastAsia="仿宋_GB2312" w:cs="Times New Roman"/>
          <w:color w:val="auto"/>
          <w:kern w:val="0"/>
          <w:szCs w:val="24"/>
          <w:lang w:val="zh-CN"/>
        </w:rPr>
      </w:pPr>
      <w:r>
        <w:rPr>
          <w:rFonts w:hint="eastAsia" w:ascii="Times New Roman" w:hAnsi="Times New Roman" w:eastAsia="仿宋_GB2312" w:cs="Times New Roman"/>
          <w:color w:val="auto"/>
          <w:kern w:val="0"/>
          <w:szCs w:val="24"/>
          <w:lang w:val="zh-CN"/>
        </w:rPr>
        <w:t>抚河：鄱阳湖水系五大河流之一，发源于广昌、石城、宁都交界处的广昌县驿前镇灵华峰（血木岭）东侧里木庄，干流自南向北流，经广昌、南丰、南城、金溪县、临川区、丰城市、南昌县、进贤县，在进贤县三阳集乡三阳村汇入鄱阳湖。主河道长348km，纵比降0.111‰。多年平均年径流量165.8亿m</w:t>
      </w:r>
      <w:r>
        <w:rPr>
          <w:rFonts w:hint="eastAsia" w:ascii="Times New Roman" w:hAnsi="Times New Roman" w:eastAsia="仿宋_GB2312" w:cs="Times New Roman"/>
          <w:color w:val="auto"/>
          <w:kern w:val="0"/>
          <w:szCs w:val="24"/>
          <w:vertAlign w:val="superscript"/>
          <w:lang w:val="zh-CN"/>
        </w:rPr>
        <w:t>3</w:t>
      </w:r>
      <w:r>
        <w:rPr>
          <w:rFonts w:hint="eastAsia" w:ascii="Times New Roman" w:hAnsi="Times New Roman" w:eastAsia="仿宋_GB2312" w:cs="Times New Roman"/>
          <w:color w:val="auto"/>
          <w:kern w:val="0"/>
          <w:szCs w:val="24"/>
          <w:lang w:val="zh-CN"/>
        </w:rPr>
        <w:t>，4~9月径流量占全年72.1%。多年平均年输沙量152.5万t。区域</w:t>
      </w:r>
      <w:r>
        <w:rPr>
          <w:rFonts w:ascii="Times New Roman" w:hAnsi="Times New Roman" w:eastAsia="仿宋_GB2312" w:cs="Times New Roman"/>
          <w:color w:val="auto"/>
          <w:kern w:val="0"/>
          <w:szCs w:val="24"/>
          <w:lang w:val="zh-CN"/>
        </w:rPr>
        <w:t>所处的青山湖区涉及的</w:t>
      </w:r>
      <w:r>
        <w:rPr>
          <w:rFonts w:hint="eastAsia" w:ascii="Times New Roman" w:hAnsi="Times New Roman" w:eastAsia="仿宋_GB2312" w:cs="Times New Roman"/>
          <w:color w:val="auto"/>
          <w:kern w:val="0"/>
          <w:szCs w:val="24"/>
          <w:lang w:val="zh-CN"/>
        </w:rPr>
        <w:t>抚河</w:t>
      </w:r>
      <w:r>
        <w:rPr>
          <w:rFonts w:ascii="Times New Roman" w:hAnsi="Times New Roman" w:eastAsia="仿宋_GB2312" w:cs="Times New Roman"/>
          <w:color w:val="auto"/>
          <w:kern w:val="0"/>
          <w:szCs w:val="24"/>
          <w:lang w:val="zh-CN"/>
        </w:rPr>
        <w:t>河道属水功能一级区划的工业用水区</w:t>
      </w:r>
      <w:r>
        <w:rPr>
          <w:rFonts w:hint="eastAsia" w:ascii="Times New Roman" w:hAnsi="Times New Roman" w:eastAsia="仿宋_GB2312" w:cs="Times New Roman"/>
          <w:color w:val="auto"/>
          <w:kern w:val="0"/>
          <w:szCs w:val="24"/>
          <w:lang w:val="zh-CN"/>
        </w:rPr>
        <w:t>。</w:t>
      </w:r>
    </w:p>
    <w:p>
      <w:pPr>
        <w:widowControl/>
        <w:snapToGrid w:val="0"/>
        <w:spacing w:line="360" w:lineRule="auto"/>
        <w:ind w:firstLine="480" w:firstLineChars="200"/>
        <w:textAlignment w:val="bottom"/>
        <w:rPr>
          <w:rFonts w:ascii="Times New Roman" w:hAnsi="Times New Roman" w:eastAsia="仿宋_GB2312" w:cs="Times New Roman"/>
          <w:color w:val="auto"/>
          <w:kern w:val="0"/>
          <w:szCs w:val="24"/>
          <w:lang w:val="zh-CN"/>
        </w:rPr>
      </w:pPr>
      <w:r>
        <w:rPr>
          <w:rFonts w:hint="eastAsia" w:ascii="Times New Roman" w:hAnsi="Times New Roman" w:eastAsia="仿宋_GB2312" w:cs="Times New Roman"/>
          <w:color w:val="auto"/>
          <w:kern w:val="0"/>
          <w:szCs w:val="24"/>
          <w:lang w:val="zh-CN"/>
        </w:rPr>
        <w:t>艾溪湖：</w:t>
      </w:r>
      <w:r>
        <w:rPr>
          <w:rFonts w:hint="eastAsia" w:ascii="Times New Roman" w:hAnsi="Times New Roman" w:eastAsia="仿宋_GB2312" w:cs="Times New Roman"/>
          <w:color w:val="auto"/>
          <w:szCs w:val="24"/>
        </w:rPr>
        <w:t>位于昌南城区的赣抚尾闾地区，为河迹洼地型淡水湖，属赣江下游右岸水系，直入赣江，湖区为侵蚀堆砌地貌。现有水面面积3.92km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，蓄水量784万m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岸线总长12km，湖底平均高程约14.4m，常水位约15.7m，平均水深约1.3m（设计蓄涝水位15.7m，据调查排涝期实际运行一般控制在16.2m），最高蓄涝水位17.2m（20年一遇洪水位）。湖水过北岸的明山闸，沿渠道向东北，经富大有堤上的出水口入赣江。艾溪湖主要汇集幸福河水系来水，汇水范围大致由两部分面积组成：一是高排沟汇水面积，二是幸福河汇水面积，总汇水面积约34.11k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（其中湖水面</w:t>
      </w:r>
      <w:r>
        <w:rPr>
          <w:rFonts w:ascii="Times New Roman" w:hAnsi="Times New Roman" w:eastAsia="仿宋_GB2312" w:cs="Times New Roman"/>
          <w:color w:val="auto"/>
          <w:szCs w:val="24"/>
        </w:rPr>
        <w:t>3.92km</w:t>
      </w:r>
      <w:r>
        <w:rPr>
          <w:rFonts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）；此外，还有赣抚平原五干渠的天香渠（又名连通渠）、五干二支渠（又名义坊河）、五干一支渠（又名罗家渠）的渠道来水（或尾水与回归水）汇入幸福河后注入艾溪湖。现状</w:t>
      </w:r>
      <w:r>
        <w:rPr>
          <w:rFonts w:ascii="Times New Roman" w:hAnsi="Times New Roman" w:eastAsia="仿宋_GB2312" w:cs="Times New Roman"/>
          <w:color w:val="auto"/>
          <w:szCs w:val="24"/>
        </w:rPr>
        <w:t>艾溪湖主要该地区的旅游景观湖泊，为来往候鸟提供栖息地</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同时也承担一部分城东</w:t>
      </w:r>
      <w:r>
        <w:rPr>
          <w:rFonts w:hint="eastAsia" w:ascii="Times New Roman" w:hAnsi="Times New Roman" w:eastAsia="仿宋_GB2312" w:cs="Times New Roman"/>
          <w:color w:val="auto"/>
          <w:szCs w:val="24"/>
        </w:rPr>
        <w:t>治涝片区的</w:t>
      </w:r>
      <w:r>
        <w:rPr>
          <w:rFonts w:ascii="Times New Roman" w:hAnsi="Times New Roman" w:eastAsia="仿宋_GB2312" w:cs="Times New Roman"/>
          <w:color w:val="auto"/>
          <w:szCs w:val="24"/>
        </w:rPr>
        <w:t>涝水调蓄任务</w:t>
      </w:r>
      <w:r>
        <w:rPr>
          <w:rFonts w:hint="eastAsia" w:ascii="Times New Roman" w:hAnsi="Times New Roman" w:eastAsia="仿宋_GB2312" w:cs="Times New Roman"/>
          <w:color w:val="auto"/>
          <w:szCs w:val="24"/>
        </w:rPr>
        <w:t>，汛期具有一定滞洪功能，不具备调洪蓄洪等功能</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kern w:val="0"/>
          <w:szCs w:val="24"/>
          <w:lang w:val="zh-CN"/>
        </w:rPr>
        <w:t>艾溪湖属水功能一级区划的景观娱乐用水区。</w:t>
      </w:r>
    </w:p>
    <w:p>
      <w:pPr>
        <w:widowControl/>
        <w:snapToGrid w:val="0"/>
        <w:spacing w:line="360" w:lineRule="auto"/>
        <w:ind w:firstLine="480" w:firstLineChars="200"/>
        <w:textAlignment w:val="bottom"/>
        <w:rPr>
          <w:rFonts w:ascii="Times New Roman" w:hAnsi="Times New Roman" w:eastAsia="仿宋_GB2312" w:cs="Times New Roman"/>
          <w:color w:val="auto"/>
          <w:szCs w:val="24"/>
        </w:rPr>
      </w:pPr>
      <w:r>
        <w:rPr>
          <w:rFonts w:hint="eastAsia" w:ascii="Times New Roman" w:hAnsi="Times New Roman" w:eastAsia="仿宋_GB2312" w:cs="Times New Roman"/>
          <w:color w:val="auto"/>
          <w:kern w:val="0"/>
          <w:szCs w:val="24"/>
          <w:lang w:val="zh-CN"/>
        </w:rPr>
        <w:t>瑶湖：位于南昌市东部，直入赣江，淡水湖，属赣江下游右岸水系，在赣江南支与抚河尾闾之间的红旗联圩内。南北长7km，东西宽0.6~2.1km，中部狭窄。水源来自区域积流及雨洪，流向由南向北。常态水位（吴淞基面）18.7m，相应面积13km</w:t>
      </w:r>
      <w:r>
        <w:rPr>
          <w:rFonts w:hint="eastAsia" w:ascii="Times New Roman" w:hAnsi="Times New Roman" w:eastAsia="仿宋_GB2312" w:cs="Times New Roman"/>
          <w:color w:val="auto"/>
          <w:kern w:val="0"/>
          <w:szCs w:val="24"/>
          <w:vertAlign w:val="superscript"/>
          <w:lang w:val="zh-CN"/>
        </w:rPr>
        <w:t>2</w:t>
      </w:r>
      <w:r>
        <w:rPr>
          <w:rFonts w:hint="eastAsia" w:ascii="Times New Roman" w:hAnsi="Times New Roman" w:eastAsia="仿宋_GB2312" w:cs="Times New Roman"/>
          <w:color w:val="auto"/>
          <w:kern w:val="0"/>
          <w:szCs w:val="24"/>
          <w:lang w:val="zh-CN"/>
        </w:rPr>
        <w:t>，蓄水量3250万m</w:t>
      </w:r>
      <w:r>
        <w:rPr>
          <w:rFonts w:hint="eastAsia" w:ascii="Times New Roman" w:hAnsi="Times New Roman" w:eastAsia="仿宋_GB2312" w:cs="Times New Roman"/>
          <w:color w:val="auto"/>
          <w:kern w:val="0"/>
          <w:szCs w:val="24"/>
          <w:vertAlign w:val="superscript"/>
          <w:lang w:val="zh-CN"/>
        </w:rPr>
        <w:t>3</w:t>
      </w:r>
      <w:r>
        <w:rPr>
          <w:rFonts w:hint="eastAsia" w:ascii="Times New Roman" w:hAnsi="Times New Roman" w:eastAsia="仿宋_GB2312" w:cs="Times New Roman"/>
          <w:color w:val="auto"/>
          <w:kern w:val="0"/>
          <w:szCs w:val="24"/>
          <w:lang w:val="zh-CN"/>
        </w:rPr>
        <w:t>，岸线总长29km，平均水深2.5m，最大水深5m。湖水在北部分两支流出。一支向东，经1.8km排水道，过大横头闸或红旗大泵站进入抚河；另一支向东偏北，沿2.2km排水道，过灌子口闸或程家池闸年进入赣江。瑶湖属水功能一级区划的景观娱乐用水区。</w:t>
      </w:r>
    </w:p>
    <w:p>
      <w:pPr>
        <w:widowControl/>
        <w:snapToGrid w:val="0"/>
        <w:spacing w:line="360" w:lineRule="auto"/>
        <w:ind w:firstLine="480" w:firstLineChars="200"/>
        <w:textAlignment w:val="bottom"/>
        <w:rPr>
          <w:rFonts w:hint="eastAsia" w:ascii="Times New Roman" w:hAnsi="Times New Roman" w:eastAsia="仿宋_GB2312" w:cs="Times New Roman"/>
          <w:color w:val="auto"/>
          <w:szCs w:val="24"/>
        </w:rPr>
      </w:pPr>
      <w:r>
        <w:rPr>
          <w:rFonts w:hint="eastAsia" w:ascii="Times New Roman" w:hAnsi="Times New Roman" w:eastAsia="仿宋_GB2312" w:cs="Times New Roman"/>
          <w:color w:val="auto"/>
          <w:kern w:val="0"/>
          <w:szCs w:val="24"/>
          <w:lang w:val="zh-CN"/>
        </w:rPr>
        <w:t>西总干渠</w:t>
      </w:r>
      <w:r>
        <w:rPr>
          <w:rFonts w:hint="eastAsia" w:ascii="Times New Roman" w:hAnsi="Times New Roman" w:eastAsia="仿宋_GB2312" w:cs="Times New Roman"/>
          <w:color w:val="auto"/>
          <w:szCs w:val="24"/>
        </w:rPr>
        <w:t>：起于抚州市临川区大岗镇抚河的</w:t>
      </w:r>
      <w:r>
        <w:rPr>
          <w:rFonts w:ascii="Times New Roman" w:hAnsi="Times New Roman" w:eastAsia="仿宋_GB2312" w:cs="Times New Roman"/>
          <w:color w:val="auto"/>
          <w:szCs w:val="24"/>
        </w:rPr>
        <w:t>焦石拦河闸坝枢纽</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引抚河为水源</w:t>
      </w:r>
      <w:r>
        <w:rPr>
          <w:rFonts w:hint="eastAsia" w:ascii="Times New Roman" w:hAnsi="Times New Roman" w:eastAsia="仿宋_GB2312" w:cs="Times New Roman"/>
          <w:color w:val="auto"/>
          <w:szCs w:val="24"/>
        </w:rPr>
        <w:t>，水流由南往北排，终于瑶河，总干长100.2km。设计流量107m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/s，按年供水200d计，年引水量18.49亿m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，灌溉面积3.88万hm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w:t>
      </w:r>
    </w:p>
    <w:p>
      <w:pPr>
        <w:pStyle w:val="6"/>
        <w:spacing w:line="360" w:lineRule="auto"/>
        <w:rPr>
          <w:bCs w:val="0"/>
          <w:color w:val="auto"/>
          <w:szCs w:val="30"/>
        </w:rPr>
      </w:pPr>
      <w:r>
        <w:rPr>
          <w:bCs w:val="0"/>
          <w:color w:val="auto"/>
          <w:szCs w:val="30"/>
        </w:rPr>
        <w:t>2.7.5</w:t>
      </w:r>
      <w:r>
        <w:rPr>
          <w:rFonts w:eastAsia="仿宋_GB2312"/>
          <w:bCs w:val="0"/>
          <w:color w:val="auto"/>
          <w:szCs w:val="30"/>
        </w:rPr>
        <w:t>土壤</w:t>
      </w:r>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项目区成土母质以第四纪红色粘土为主，土壤类型主要为红壤，土层深厚、土质粘重，属于轻度敏感性土壤，可蚀性一般。工程占地范围内有可剥离表土，</w:t>
      </w:r>
      <w:r>
        <w:rPr>
          <w:rFonts w:hint="eastAsia" w:ascii="Times New Roman" w:hAnsi="Times New Roman" w:eastAsia="仿宋_GB2312" w:cs="Times New Roman"/>
          <w:color w:val="auto"/>
          <w:szCs w:val="24"/>
        </w:rPr>
        <w:t>可剥离表土16.96hm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，其中耕地面积12.11hm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，林地面积3.06hm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，草地面积1.79hm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。耕地、林地表土剥离平均厚度按0.3m估算，草地表土剥离平均厚度按0.2m估算。</w:t>
      </w:r>
      <w:r>
        <w:rPr>
          <w:rFonts w:ascii="Times New Roman" w:hAnsi="Times New Roman" w:eastAsia="仿宋_GB2312" w:cs="Times New Roman"/>
          <w:color w:val="auto"/>
          <w:szCs w:val="24"/>
        </w:rPr>
        <w:t>可剥离表土量</w:t>
      </w:r>
      <w:r>
        <w:rPr>
          <w:rFonts w:hint="eastAsia" w:ascii="Times New Roman" w:hAnsi="Times New Roman" w:eastAsia="仿宋_GB2312" w:cs="Times New Roman"/>
          <w:color w:val="auto"/>
          <w:szCs w:val="24"/>
        </w:rPr>
        <w:t>4.91万m</w:t>
      </w:r>
      <w:r>
        <w:rPr>
          <w:rFonts w:hint="eastAsia"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w:t>
      </w:r>
    </w:p>
    <w:p>
      <w:pPr>
        <w:snapToGrid w:val="0"/>
        <w:spacing w:line="360" w:lineRule="auto"/>
        <w:jc w:val="center"/>
        <w:rPr>
          <w:rFonts w:ascii="Times New Roman" w:hAnsi="Times New Roman" w:eastAsia="仿宋_GB2312" w:cs="Times New Roman"/>
          <w:b/>
          <w:color w:val="auto"/>
          <w:kern w:val="0"/>
          <w:lang w:val="zh-CN"/>
        </w:rPr>
      </w:pPr>
      <w:r>
        <w:rPr>
          <w:rFonts w:ascii="Times New Roman" w:hAnsi="Times New Roman" w:eastAsia="仿宋_GB2312" w:cs="Times New Roman"/>
          <w:b/>
          <w:color w:val="auto"/>
          <w:kern w:val="0"/>
          <w:lang w:val="zh-CN"/>
        </w:rPr>
        <w:t>表</w:t>
      </w:r>
      <w:r>
        <w:rPr>
          <w:rFonts w:hint="eastAsia" w:ascii="Times New Roman" w:hAnsi="Times New Roman" w:eastAsia="仿宋_GB2312" w:cs="Times New Roman"/>
          <w:b/>
          <w:color w:val="auto"/>
          <w:kern w:val="0"/>
          <w:lang w:val="zh-CN"/>
        </w:rPr>
        <w:t>2.7-2：工程表土分布情况表</w:t>
      </w:r>
    </w:p>
    <w:tbl>
      <w:tblPr>
        <w:tblStyle w:val="37"/>
        <w:tblW w:w="8268" w:type="dxa"/>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autofit"/>
        <w:tblCellMar>
          <w:top w:w="0" w:type="dxa"/>
          <w:left w:w="108" w:type="dxa"/>
          <w:bottom w:w="0" w:type="dxa"/>
          <w:right w:w="108" w:type="dxa"/>
        </w:tblCellMar>
      </w:tblPr>
      <w:tblGrid>
        <w:gridCol w:w="1454"/>
        <w:gridCol w:w="2410"/>
        <w:gridCol w:w="2126"/>
        <w:gridCol w:w="2278"/>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jc w:val="center"/>
        </w:trPr>
        <w:tc>
          <w:tcPr>
            <w:tcW w:w="1454" w:type="dxa"/>
            <w:vAlign w:val="center"/>
          </w:tcPr>
          <w:p>
            <w:pPr>
              <w:widowControl/>
              <w:jc w:val="center"/>
              <w:rPr>
                <w:rFonts w:ascii="Times New Roman" w:hAnsi="Times New Roman" w:eastAsia="仿宋_GB2312" w:cs="Times New Roman"/>
                <w:b/>
                <w:color w:val="auto"/>
                <w:sz w:val="21"/>
                <w:szCs w:val="21"/>
              </w:rPr>
            </w:pPr>
            <w:r>
              <w:rPr>
                <w:rFonts w:hint="eastAsia" w:ascii="Times New Roman" w:hAnsi="Times New Roman" w:eastAsia="仿宋_GB2312" w:cs="Times New Roman"/>
                <w:b/>
                <w:color w:val="auto"/>
                <w:sz w:val="21"/>
                <w:szCs w:val="21"/>
              </w:rPr>
              <w:t>位置</w:t>
            </w:r>
          </w:p>
        </w:tc>
        <w:tc>
          <w:tcPr>
            <w:tcW w:w="2410" w:type="dxa"/>
            <w:vAlign w:val="center"/>
          </w:tcPr>
          <w:p>
            <w:pPr>
              <w:widowControl/>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可剥离</w:t>
            </w:r>
            <w:r>
              <w:rPr>
                <w:rFonts w:hint="eastAsia" w:ascii="Times New Roman" w:hAnsi="Times New Roman" w:eastAsia="仿宋_GB2312" w:cs="Times New Roman"/>
                <w:b/>
                <w:color w:val="auto"/>
                <w:sz w:val="21"/>
                <w:szCs w:val="21"/>
              </w:rPr>
              <w:t>表土</w:t>
            </w:r>
            <w:r>
              <w:rPr>
                <w:rFonts w:ascii="Times New Roman" w:hAnsi="Times New Roman" w:eastAsia="仿宋_GB2312" w:cs="Times New Roman"/>
                <w:b/>
                <w:color w:val="auto"/>
                <w:sz w:val="21"/>
                <w:szCs w:val="21"/>
              </w:rPr>
              <w:t>面积</w:t>
            </w:r>
            <w:r>
              <w:rPr>
                <w:rFonts w:hint="eastAsia" w:ascii="Times New Roman" w:hAnsi="Times New Roman" w:eastAsia="仿宋_GB2312" w:cs="Times New Roman"/>
                <w:b/>
                <w:color w:val="auto"/>
                <w:sz w:val="21"/>
                <w:szCs w:val="21"/>
              </w:rPr>
              <w:t>（hm</w:t>
            </w:r>
            <w:r>
              <w:rPr>
                <w:rFonts w:hint="eastAsia" w:ascii="Times New Roman" w:hAnsi="Times New Roman" w:eastAsia="仿宋_GB2312" w:cs="Times New Roman"/>
                <w:b/>
                <w:color w:val="auto"/>
                <w:sz w:val="21"/>
                <w:szCs w:val="21"/>
                <w:vertAlign w:val="superscript"/>
              </w:rPr>
              <w:t>2</w:t>
            </w:r>
            <w:r>
              <w:rPr>
                <w:rFonts w:hint="eastAsia" w:ascii="Times New Roman" w:hAnsi="Times New Roman" w:eastAsia="仿宋_GB2312" w:cs="Times New Roman"/>
                <w:b/>
                <w:color w:val="auto"/>
                <w:sz w:val="21"/>
                <w:szCs w:val="21"/>
              </w:rPr>
              <w:t>）</w:t>
            </w:r>
          </w:p>
        </w:tc>
        <w:tc>
          <w:tcPr>
            <w:tcW w:w="2126" w:type="dxa"/>
            <w:vAlign w:val="center"/>
          </w:tcPr>
          <w:p>
            <w:pPr>
              <w:widowControl/>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可剥离表土厚度</w:t>
            </w:r>
            <w:r>
              <w:rPr>
                <w:rFonts w:hint="eastAsia" w:ascii="Times New Roman" w:hAnsi="Times New Roman" w:eastAsia="仿宋_GB2312" w:cs="Times New Roman"/>
                <w:b/>
                <w:color w:val="auto"/>
                <w:sz w:val="21"/>
                <w:szCs w:val="21"/>
              </w:rPr>
              <w:t>（m）</w:t>
            </w:r>
          </w:p>
        </w:tc>
        <w:tc>
          <w:tcPr>
            <w:tcW w:w="2278" w:type="dxa"/>
            <w:vAlign w:val="center"/>
          </w:tcPr>
          <w:p>
            <w:pPr>
              <w:widowControl/>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可剥离表土量</w:t>
            </w:r>
            <w:r>
              <w:rPr>
                <w:rFonts w:hint="eastAsia" w:ascii="Times New Roman" w:hAnsi="Times New Roman" w:eastAsia="仿宋_GB2312" w:cs="Times New Roman"/>
                <w:b/>
                <w:color w:val="auto"/>
                <w:sz w:val="21"/>
                <w:szCs w:val="21"/>
              </w:rPr>
              <w:t>（万m</w:t>
            </w:r>
            <w:r>
              <w:rPr>
                <w:rFonts w:hint="eastAsia" w:ascii="Times New Roman" w:hAnsi="Times New Roman" w:eastAsia="仿宋_GB2312" w:cs="Times New Roman"/>
                <w:b/>
                <w:color w:val="auto"/>
                <w:sz w:val="21"/>
                <w:szCs w:val="21"/>
                <w:vertAlign w:val="superscript"/>
              </w:rPr>
              <w:t>3</w:t>
            </w:r>
            <w:r>
              <w:rPr>
                <w:rFonts w:hint="eastAsia" w:ascii="Times New Roman" w:hAnsi="Times New Roman" w:eastAsia="仿宋_GB2312" w:cs="Times New Roman"/>
                <w:b/>
                <w:color w:val="auto"/>
                <w:sz w:val="21"/>
                <w:szCs w:val="21"/>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jc w:val="center"/>
        </w:trPr>
        <w:tc>
          <w:tcPr>
            <w:tcW w:w="1454" w:type="dxa"/>
            <w:vAlign w:val="center"/>
          </w:tcPr>
          <w:p>
            <w:pPr>
              <w:widowControl/>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耕地</w:t>
            </w:r>
          </w:p>
        </w:tc>
        <w:tc>
          <w:tcPr>
            <w:tcW w:w="2410" w:type="dxa"/>
            <w:vAlign w:val="center"/>
          </w:tcPr>
          <w:p>
            <w:pPr>
              <w:jc w:val="center"/>
              <w:rPr>
                <w:rFonts w:ascii="Times New Roman" w:hAnsi="Times New Roman" w:eastAsia="仿宋_GB2312" w:cs="Times New Roman"/>
                <w:color w:val="auto"/>
                <w:sz w:val="21"/>
                <w:szCs w:val="20"/>
              </w:rPr>
            </w:pPr>
            <w:r>
              <w:rPr>
                <w:rFonts w:hint="eastAsia" w:ascii="Times New Roman" w:hAnsi="Times New Roman" w:eastAsia="仿宋_GB2312" w:cs="Times New Roman"/>
                <w:color w:val="auto"/>
                <w:sz w:val="21"/>
                <w:szCs w:val="20"/>
              </w:rPr>
              <w:t>12.11</w:t>
            </w:r>
          </w:p>
        </w:tc>
        <w:tc>
          <w:tcPr>
            <w:tcW w:w="2126" w:type="dxa"/>
            <w:vAlign w:val="center"/>
          </w:tcPr>
          <w:p>
            <w:pPr>
              <w:widowControl/>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0.3</w:t>
            </w:r>
          </w:p>
        </w:tc>
        <w:tc>
          <w:tcPr>
            <w:tcW w:w="2278" w:type="dxa"/>
            <w:vAlign w:val="center"/>
          </w:tcPr>
          <w:p>
            <w:pPr>
              <w:jc w:val="center"/>
              <w:rPr>
                <w:rFonts w:ascii="Times New Roman" w:hAnsi="Times New Roman" w:eastAsia="仿宋_GB2312" w:cs="Times New Roman"/>
                <w:color w:val="auto"/>
                <w:sz w:val="21"/>
                <w:szCs w:val="20"/>
              </w:rPr>
            </w:pPr>
            <w:r>
              <w:rPr>
                <w:rFonts w:hint="eastAsia" w:ascii="Times New Roman" w:hAnsi="Times New Roman" w:eastAsia="仿宋_GB2312" w:cs="Times New Roman"/>
                <w:color w:val="auto"/>
                <w:sz w:val="21"/>
                <w:szCs w:val="20"/>
              </w:rPr>
              <w:t>3.63</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jc w:val="center"/>
        </w:trPr>
        <w:tc>
          <w:tcPr>
            <w:tcW w:w="1454" w:type="dxa"/>
            <w:vAlign w:val="center"/>
          </w:tcPr>
          <w:p>
            <w:pPr>
              <w:widowControl/>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林地</w:t>
            </w:r>
          </w:p>
        </w:tc>
        <w:tc>
          <w:tcPr>
            <w:tcW w:w="2410" w:type="dxa"/>
            <w:vAlign w:val="center"/>
          </w:tcPr>
          <w:p>
            <w:pPr>
              <w:jc w:val="center"/>
              <w:rPr>
                <w:rFonts w:ascii="Times New Roman" w:hAnsi="Times New Roman" w:eastAsia="仿宋_GB2312" w:cs="Times New Roman"/>
                <w:color w:val="auto"/>
                <w:sz w:val="21"/>
                <w:szCs w:val="20"/>
              </w:rPr>
            </w:pPr>
            <w:r>
              <w:rPr>
                <w:rFonts w:hint="eastAsia" w:ascii="Times New Roman" w:hAnsi="Times New Roman" w:eastAsia="仿宋_GB2312" w:cs="Times New Roman"/>
                <w:color w:val="auto"/>
                <w:sz w:val="21"/>
                <w:szCs w:val="20"/>
              </w:rPr>
              <w:t>3.06</w:t>
            </w:r>
          </w:p>
        </w:tc>
        <w:tc>
          <w:tcPr>
            <w:tcW w:w="2126" w:type="dxa"/>
            <w:vAlign w:val="center"/>
          </w:tcPr>
          <w:p>
            <w:pPr>
              <w:widowControl/>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0.3</w:t>
            </w:r>
          </w:p>
        </w:tc>
        <w:tc>
          <w:tcPr>
            <w:tcW w:w="2278" w:type="dxa"/>
            <w:vAlign w:val="center"/>
          </w:tcPr>
          <w:p>
            <w:pPr>
              <w:jc w:val="center"/>
              <w:rPr>
                <w:rFonts w:ascii="Times New Roman" w:hAnsi="Times New Roman" w:eastAsia="仿宋_GB2312" w:cs="Times New Roman"/>
                <w:color w:val="auto"/>
                <w:sz w:val="21"/>
                <w:szCs w:val="20"/>
              </w:rPr>
            </w:pPr>
            <w:r>
              <w:rPr>
                <w:rFonts w:hint="eastAsia" w:ascii="Times New Roman" w:hAnsi="Times New Roman" w:eastAsia="仿宋_GB2312" w:cs="Times New Roman"/>
                <w:color w:val="auto"/>
                <w:sz w:val="21"/>
                <w:szCs w:val="20"/>
              </w:rPr>
              <w:t>0.92</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jc w:val="center"/>
        </w:trPr>
        <w:tc>
          <w:tcPr>
            <w:tcW w:w="1454" w:type="dxa"/>
            <w:vAlign w:val="center"/>
          </w:tcPr>
          <w:p>
            <w:pPr>
              <w:widowControl/>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草地</w:t>
            </w:r>
          </w:p>
        </w:tc>
        <w:tc>
          <w:tcPr>
            <w:tcW w:w="2410" w:type="dxa"/>
            <w:vAlign w:val="center"/>
          </w:tcPr>
          <w:p>
            <w:pPr>
              <w:jc w:val="center"/>
              <w:rPr>
                <w:rFonts w:ascii="Times New Roman" w:hAnsi="Times New Roman" w:eastAsia="仿宋_GB2312" w:cs="Times New Roman"/>
                <w:color w:val="auto"/>
                <w:sz w:val="21"/>
                <w:szCs w:val="20"/>
              </w:rPr>
            </w:pPr>
            <w:r>
              <w:rPr>
                <w:rFonts w:hint="eastAsia" w:ascii="Times New Roman" w:hAnsi="Times New Roman" w:eastAsia="仿宋_GB2312" w:cs="Times New Roman"/>
                <w:color w:val="auto"/>
                <w:sz w:val="21"/>
                <w:szCs w:val="20"/>
              </w:rPr>
              <w:t>1.79</w:t>
            </w:r>
          </w:p>
        </w:tc>
        <w:tc>
          <w:tcPr>
            <w:tcW w:w="2126" w:type="dxa"/>
            <w:vAlign w:val="center"/>
          </w:tcPr>
          <w:p>
            <w:pPr>
              <w:widowControl/>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0.2</w:t>
            </w:r>
          </w:p>
        </w:tc>
        <w:tc>
          <w:tcPr>
            <w:tcW w:w="2278" w:type="dxa"/>
            <w:vAlign w:val="center"/>
          </w:tcPr>
          <w:p>
            <w:pPr>
              <w:jc w:val="center"/>
              <w:rPr>
                <w:rFonts w:ascii="Times New Roman" w:hAnsi="Times New Roman" w:eastAsia="仿宋_GB2312" w:cs="Times New Roman"/>
                <w:color w:val="auto"/>
                <w:sz w:val="21"/>
                <w:szCs w:val="20"/>
              </w:rPr>
            </w:pPr>
            <w:r>
              <w:rPr>
                <w:rFonts w:hint="eastAsia" w:ascii="Times New Roman" w:hAnsi="Times New Roman" w:eastAsia="仿宋_GB2312" w:cs="Times New Roman"/>
                <w:color w:val="auto"/>
                <w:sz w:val="21"/>
                <w:szCs w:val="20"/>
              </w:rPr>
              <w:t>0.36</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72" w:hRule="atLeast"/>
          <w:jc w:val="center"/>
        </w:trPr>
        <w:tc>
          <w:tcPr>
            <w:tcW w:w="1454" w:type="dxa"/>
            <w:vAlign w:val="center"/>
          </w:tcPr>
          <w:p>
            <w:pPr>
              <w:widowControl/>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合计</w:t>
            </w:r>
          </w:p>
        </w:tc>
        <w:tc>
          <w:tcPr>
            <w:tcW w:w="2410" w:type="dxa"/>
            <w:vAlign w:val="center"/>
          </w:tcPr>
          <w:p>
            <w:pPr>
              <w:jc w:val="center"/>
              <w:rPr>
                <w:rFonts w:ascii="Times New Roman" w:hAnsi="Times New Roman" w:eastAsia="仿宋_GB2312" w:cs="Times New Roman"/>
                <w:b/>
                <w:color w:val="auto"/>
                <w:sz w:val="21"/>
                <w:szCs w:val="20"/>
              </w:rPr>
            </w:pPr>
            <w:r>
              <w:rPr>
                <w:rFonts w:hint="eastAsia" w:ascii="Times New Roman" w:hAnsi="Times New Roman" w:eastAsia="仿宋_GB2312" w:cs="Times New Roman"/>
                <w:b/>
                <w:color w:val="auto"/>
                <w:sz w:val="21"/>
                <w:szCs w:val="20"/>
              </w:rPr>
              <w:t>16.96</w:t>
            </w:r>
          </w:p>
        </w:tc>
        <w:tc>
          <w:tcPr>
            <w:tcW w:w="2126" w:type="dxa"/>
            <w:vAlign w:val="center"/>
          </w:tcPr>
          <w:p>
            <w:pPr>
              <w:widowControl/>
              <w:jc w:val="center"/>
              <w:rPr>
                <w:rFonts w:ascii="Times New Roman" w:hAnsi="Times New Roman" w:eastAsia="仿宋_GB2312" w:cs="Times New Roman"/>
                <w:b/>
                <w:color w:val="auto"/>
                <w:sz w:val="21"/>
                <w:szCs w:val="21"/>
              </w:rPr>
            </w:pPr>
          </w:p>
        </w:tc>
        <w:tc>
          <w:tcPr>
            <w:tcW w:w="2278" w:type="dxa"/>
            <w:vAlign w:val="center"/>
          </w:tcPr>
          <w:p>
            <w:pPr>
              <w:jc w:val="center"/>
              <w:rPr>
                <w:rFonts w:ascii="Times New Roman" w:hAnsi="Times New Roman" w:eastAsia="仿宋_GB2312" w:cs="Times New Roman"/>
                <w:b/>
                <w:color w:val="auto"/>
                <w:sz w:val="21"/>
                <w:szCs w:val="20"/>
              </w:rPr>
            </w:pPr>
            <w:r>
              <w:rPr>
                <w:rFonts w:hint="eastAsia" w:ascii="Times New Roman" w:hAnsi="Times New Roman" w:eastAsia="仿宋_GB2312" w:cs="Times New Roman"/>
                <w:b/>
                <w:color w:val="auto"/>
                <w:sz w:val="21"/>
                <w:szCs w:val="20"/>
              </w:rPr>
              <w:t>4.91</w:t>
            </w:r>
          </w:p>
        </w:tc>
      </w:tr>
    </w:tbl>
    <w:p>
      <w:pPr>
        <w:pStyle w:val="6"/>
        <w:spacing w:line="360" w:lineRule="auto"/>
        <w:rPr>
          <w:bCs w:val="0"/>
          <w:color w:val="auto"/>
          <w:szCs w:val="30"/>
        </w:rPr>
      </w:pPr>
      <w:r>
        <w:rPr>
          <w:bCs w:val="0"/>
          <w:color w:val="auto"/>
          <w:szCs w:val="30"/>
        </w:rPr>
        <w:t>2.7.6</w:t>
      </w:r>
      <w:r>
        <w:rPr>
          <w:rFonts w:eastAsia="仿宋_GB2312"/>
          <w:bCs w:val="0"/>
          <w:color w:val="auto"/>
          <w:szCs w:val="30"/>
        </w:rPr>
        <w:t>植被</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项目区地带性植被类型为亚热带常绿阔叶林，</w:t>
      </w:r>
      <w:r>
        <w:rPr>
          <w:rFonts w:hint="eastAsia" w:ascii="Times New Roman" w:hAnsi="Times New Roman" w:eastAsia="仿宋_GB2312" w:cs="Times New Roman"/>
          <w:color w:val="auto"/>
          <w:szCs w:val="24"/>
        </w:rPr>
        <w:t>原植被类型主要为农民种植的水稻等农作物及狗牙根、篷飞草等草本植物，生物多样性不高，涵水保土能力较强，原植被总体长势良好，项目区水土流失强度以微度为主，林草覆盖率约为50%。</w:t>
      </w:r>
    </w:p>
    <w:p>
      <w:pPr>
        <w:pStyle w:val="6"/>
        <w:spacing w:line="360" w:lineRule="auto"/>
        <w:rPr>
          <w:bCs w:val="0"/>
          <w:color w:val="auto"/>
          <w:szCs w:val="30"/>
        </w:rPr>
      </w:pPr>
      <w:r>
        <w:rPr>
          <w:bCs w:val="0"/>
          <w:color w:val="auto"/>
          <w:szCs w:val="30"/>
        </w:rPr>
        <w:t>2.7.7</w:t>
      </w:r>
      <w:r>
        <w:rPr>
          <w:rFonts w:eastAsia="仿宋_GB2312"/>
          <w:bCs w:val="0"/>
          <w:color w:val="auto"/>
          <w:szCs w:val="30"/>
        </w:rPr>
        <w:t>水土保持区划及水土保持敏感区</w:t>
      </w:r>
    </w:p>
    <w:p>
      <w:pPr>
        <w:spacing w:line="360" w:lineRule="auto"/>
        <w:ind w:firstLine="48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根据全国土壤侵蚀类型区划，项目区地处南方红壤丘陵区，土壤侵蚀类型以水力侵蚀为主，容许土壤流失量为500t/km</w:t>
      </w:r>
      <w:r>
        <w:rPr>
          <w:rFonts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·a。根据《江西省水土保持规划（2016-2030年）》</w:t>
      </w:r>
      <w:r>
        <w:rPr>
          <w:rFonts w:hint="eastAsia" w:ascii="Times New Roman" w:hAnsi="Times New Roman" w:eastAsia="仿宋_GB2312" w:cs="Times New Roman"/>
          <w:color w:val="auto"/>
          <w:szCs w:val="24"/>
        </w:rPr>
        <w:t>、《南昌市水土保持规划</w:t>
      </w:r>
      <w:r>
        <w:rPr>
          <w:rFonts w:ascii="Times New Roman" w:hAnsi="Times New Roman" w:eastAsia="仿宋_GB2312" w:cs="Times New Roman"/>
          <w:color w:val="auto"/>
          <w:szCs w:val="24"/>
        </w:rPr>
        <w:t>（2016-2030年）</w:t>
      </w:r>
      <w:r>
        <w:rPr>
          <w:rFonts w:hint="eastAsia" w:ascii="Times New Roman" w:hAnsi="Times New Roman" w:eastAsia="仿宋_GB2312" w:cs="Times New Roman"/>
          <w:color w:val="auto"/>
          <w:szCs w:val="24"/>
        </w:rPr>
        <w:t>》和《青山湖区水土保持规划</w:t>
      </w:r>
      <w:r>
        <w:rPr>
          <w:rFonts w:ascii="Times New Roman" w:hAnsi="Times New Roman" w:eastAsia="仿宋_GB2312" w:cs="Times New Roman"/>
          <w:color w:val="auto"/>
          <w:szCs w:val="24"/>
        </w:rPr>
        <w:t>（2016-2030年）</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，项目所在地</w:t>
      </w:r>
      <w:r>
        <w:rPr>
          <w:rFonts w:hint="eastAsia" w:ascii="Times New Roman" w:hAnsi="Times New Roman" w:eastAsia="仿宋_GB2312" w:cs="Times New Roman"/>
          <w:color w:val="auto"/>
          <w:szCs w:val="24"/>
        </w:rPr>
        <w:t>江西省南昌市青山湖区罗家镇</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属青山湖区水土流失重点预防区</w:t>
      </w:r>
      <w:r>
        <w:rPr>
          <w:rFonts w:ascii="Times New Roman" w:hAnsi="Times New Roman" w:eastAsia="仿宋_GB2312" w:cs="Times New Roman"/>
          <w:color w:val="auto"/>
          <w:szCs w:val="24"/>
        </w:rPr>
        <w:t>，详见附图。</w:t>
      </w:r>
    </w:p>
    <w:p>
      <w:pPr>
        <w:spacing w:line="360" w:lineRule="auto"/>
        <w:ind w:firstLine="48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本工程</w:t>
      </w:r>
      <w:r>
        <w:rPr>
          <w:rFonts w:eastAsia="仿宋_GB2312"/>
          <w:color w:val="auto"/>
        </w:rPr>
        <w:t>不涉及饮用水水源保护区、水功能一级区的保护区和保留区</w:t>
      </w:r>
      <w:r>
        <w:rPr>
          <w:rFonts w:hint="eastAsia" w:eastAsia="仿宋_GB2312"/>
          <w:color w:val="auto"/>
        </w:rPr>
        <w:t>、</w:t>
      </w:r>
      <w:r>
        <w:rPr>
          <w:rFonts w:eastAsia="仿宋_GB2312"/>
          <w:color w:val="auto"/>
        </w:rPr>
        <w:t>自然保护区、世界文化和自然遗产地、风景名胜区、地质公园、森林公园</w:t>
      </w:r>
      <w:r>
        <w:rPr>
          <w:rFonts w:hint="eastAsia" w:eastAsia="仿宋_GB2312"/>
          <w:color w:val="auto"/>
        </w:rPr>
        <w:t>、</w:t>
      </w:r>
      <w:r>
        <w:rPr>
          <w:rFonts w:eastAsia="仿宋_GB2312"/>
          <w:color w:val="auto"/>
        </w:rPr>
        <w:t>重要湿地</w:t>
      </w:r>
      <w:r>
        <w:rPr>
          <w:rFonts w:hint="eastAsia" w:eastAsia="仿宋_GB2312"/>
          <w:color w:val="auto"/>
        </w:rPr>
        <w:t>；工程</w:t>
      </w:r>
      <w:r>
        <w:rPr>
          <w:rFonts w:eastAsia="仿宋_GB2312"/>
          <w:color w:val="auto"/>
        </w:rPr>
        <w:t>所在地不涉及涉及江西省生态保护红线</w:t>
      </w:r>
      <w:r>
        <w:rPr>
          <w:rFonts w:hint="eastAsia" w:eastAsia="仿宋_GB2312"/>
          <w:color w:val="auto"/>
        </w:rPr>
        <w:t>，未占用基本农田。</w:t>
      </w:r>
    </w:p>
    <w:p>
      <w:pPr>
        <w:spacing w:line="360" w:lineRule="auto"/>
        <w:ind w:firstLine="482"/>
        <w:jc w:val="center"/>
        <w:rPr>
          <w:rFonts w:ascii="Times New Roman" w:hAnsi="Times New Roman" w:cs="Times New Roman"/>
          <w:b/>
          <w:bCs/>
          <w:color w:val="auto"/>
          <w:szCs w:val="24"/>
        </w:rPr>
        <w:sectPr>
          <w:footerReference r:id="rId23" w:type="default"/>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32" w:charSpace="0"/>
        </w:sectPr>
      </w:pPr>
    </w:p>
    <w:bookmarkEnd w:id="128"/>
    <w:bookmarkEnd w:id="129"/>
    <w:bookmarkEnd w:id="130"/>
    <w:bookmarkEnd w:id="131"/>
    <w:bookmarkEnd w:id="132"/>
    <w:bookmarkEnd w:id="133"/>
    <w:bookmarkEnd w:id="134"/>
    <w:bookmarkEnd w:id="135"/>
    <w:bookmarkEnd w:id="136"/>
    <w:bookmarkEnd w:id="137"/>
    <w:bookmarkEnd w:id="225"/>
    <w:bookmarkEnd w:id="226"/>
    <w:bookmarkEnd w:id="227"/>
    <w:bookmarkEnd w:id="228"/>
    <w:bookmarkEnd w:id="229"/>
    <w:p>
      <w:pPr>
        <w:pStyle w:val="4"/>
        <w:jc w:val="center"/>
        <w:rPr>
          <w:rFonts w:eastAsia="仿宋_GB2312"/>
          <w:color w:val="auto"/>
          <w:szCs w:val="36"/>
        </w:rPr>
      </w:pPr>
      <w:bookmarkStart w:id="231" w:name="_Toc23470"/>
      <w:bookmarkStart w:id="232" w:name="_Toc514431458"/>
      <w:bookmarkStart w:id="233" w:name="_Toc514430848"/>
      <w:bookmarkStart w:id="234" w:name="_Toc514432602"/>
      <w:r>
        <w:rPr>
          <w:rFonts w:eastAsia="仿宋_GB2312"/>
          <w:color w:val="auto"/>
          <w:szCs w:val="36"/>
        </w:rPr>
        <w:t>3 项目水土保持评价</w:t>
      </w:r>
      <w:bookmarkEnd w:id="231"/>
      <w:bookmarkEnd w:id="232"/>
      <w:bookmarkEnd w:id="233"/>
      <w:bookmarkEnd w:id="234"/>
    </w:p>
    <w:p>
      <w:pPr>
        <w:pStyle w:val="5"/>
        <w:rPr>
          <w:rFonts w:eastAsia="仿宋_GB2312"/>
          <w:color w:val="auto"/>
        </w:rPr>
      </w:pPr>
      <w:bookmarkStart w:id="235" w:name="_Toc392092099"/>
      <w:bookmarkStart w:id="236" w:name="_Toc210645447"/>
      <w:bookmarkStart w:id="237" w:name="_Toc19862"/>
      <w:bookmarkStart w:id="238" w:name="_Toc439243913"/>
      <w:bookmarkStart w:id="239" w:name="_Toc499039877"/>
      <w:bookmarkStart w:id="240" w:name="_Toc514432603"/>
      <w:bookmarkStart w:id="241" w:name="_Toc451799215"/>
      <w:bookmarkStart w:id="242" w:name="_Toc514431459"/>
      <w:bookmarkStart w:id="243" w:name="_Toc514430849"/>
      <w:bookmarkStart w:id="244" w:name="_Toc3226"/>
      <w:bookmarkStart w:id="245" w:name="_Toc7762"/>
      <w:bookmarkStart w:id="246" w:name="_Toc31754"/>
      <w:bookmarkStart w:id="247" w:name="_Toc24224"/>
      <w:bookmarkStart w:id="248" w:name="_Toc27944"/>
      <w:bookmarkStart w:id="249" w:name="_Toc22194"/>
      <w:bookmarkStart w:id="250" w:name="_Toc19435"/>
      <w:r>
        <w:rPr>
          <w:rFonts w:eastAsia="仿宋_GB2312"/>
          <w:color w:val="auto"/>
        </w:rPr>
        <w:t>3.1</w:t>
      </w:r>
      <w:bookmarkEnd w:id="235"/>
      <w:bookmarkEnd w:id="236"/>
      <w:r>
        <w:rPr>
          <w:rFonts w:hint="eastAsia" w:eastAsia="仿宋_GB2312"/>
          <w:color w:val="auto"/>
        </w:rPr>
        <w:t>区域</w:t>
      </w:r>
      <w:r>
        <w:rPr>
          <w:rFonts w:eastAsia="仿宋_GB2312"/>
          <w:color w:val="auto"/>
        </w:rPr>
        <w:t>选址水土保持评价</w:t>
      </w:r>
      <w:bookmarkEnd w:id="237"/>
      <w:bookmarkEnd w:id="238"/>
      <w:bookmarkEnd w:id="239"/>
      <w:bookmarkEnd w:id="240"/>
      <w:bookmarkEnd w:id="241"/>
      <w:bookmarkEnd w:id="242"/>
      <w:bookmarkEnd w:id="243"/>
      <w:bookmarkEnd w:id="244"/>
      <w:bookmarkEnd w:id="245"/>
    </w:p>
    <w:bookmarkEnd w:id="246"/>
    <w:bookmarkEnd w:id="247"/>
    <w:bookmarkEnd w:id="248"/>
    <w:bookmarkEnd w:id="249"/>
    <w:bookmarkEnd w:id="250"/>
    <w:p>
      <w:pPr>
        <w:snapToGrid w:val="0"/>
        <w:spacing w:line="360" w:lineRule="auto"/>
        <w:ind w:firstLine="560"/>
        <w:rPr>
          <w:rFonts w:ascii="Times New Roman" w:hAnsi="Times New Roman" w:eastAsia="仿宋_GB2312" w:cs="Times New Roman"/>
          <w:color w:val="auto"/>
          <w:szCs w:val="24"/>
        </w:rPr>
      </w:pPr>
      <w:bookmarkStart w:id="251" w:name="_Toc12103"/>
      <w:bookmarkStart w:id="252" w:name="_Toc514432605"/>
      <w:bookmarkStart w:id="253" w:name="_Toc499039879"/>
      <w:bookmarkStart w:id="254" w:name="_Toc367887744"/>
      <w:bookmarkStart w:id="255" w:name="_Toc514431461"/>
      <w:bookmarkStart w:id="256" w:name="_Toc24675"/>
      <w:bookmarkStart w:id="257" w:name="_Toc439243915"/>
      <w:bookmarkStart w:id="258" w:name="_Toc275162669"/>
      <w:bookmarkStart w:id="259" w:name="_Toc451799217"/>
      <w:bookmarkStart w:id="260" w:name="_Toc514430851"/>
      <w:bookmarkStart w:id="261" w:name="_Toc258832765"/>
      <w:r>
        <w:rPr>
          <w:rFonts w:ascii="Times New Roman" w:hAnsi="Times New Roman" w:eastAsia="仿宋_GB2312" w:cs="Times New Roman"/>
          <w:color w:val="auto"/>
          <w:szCs w:val="24"/>
        </w:rPr>
        <w:t>对照《中华人民共和国水土保持法》中的规定内容、《生产建设项目水土保持技术标准（GB50433-2018）》等约束性规定的内容将</w:t>
      </w:r>
      <w:r>
        <w:rPr>
          <w:rFonts w:hint="eastAsia" w:ascii="Times New Roman" w:hAnsi="Times New Roman" w:eastAsia="仿宋_GB2312" w:cs="Times New Roman"/>
          <w:color w:val="auto"/>
          <w:szCs w:val="24"/>
        </w:rPr>
        <w:t>本</w:t>
      </w:r>
      <w:r>
        <w:rPr>
          <w:rFonts w:ascii="Times New Roman" w:hAnsi="Times New Roman" w:eastAsia="仿宋_GB2312" w:cs="Times New Roman"/>
          <w:color w:val="auto"/>
          <w:szCs w:val="24"/>
        </w:rPr>
        <w:t>规划区域的对比情况列表分析，具体如下表3</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1-1。</w:t>
      </w:r>
    </w:p>
    <w:p>
      <w:pPr>
        <w:snapToGrid w:val="0"/>
        <w:spacing w:line="360" w:lineRule="auto"/>
        <w:jc w:val="center"/>
        <w:rPr>
          <w:rFonts w:ascii="Times New Roman" w:hAnsi="Times New Roman" w:eastAsia="仿宋_GB2312" w:cs="Times New Roman"/>
          <w:b/>
          <w:bCs/>
          <w:color w:val="auto"/>
          <w:szCs w:val="24"/>
        </w:rPr>
      </w:pPr>
      <w:r>
        <w:rPr>
          <w:rFonts w:ascii="Times New Roman" w:hAnsi="Times New Roman" w:eastAsia="仿宋_GB2312" w:cs="Times New Roman"/>
          <w:b/>
          <w:bCs/>
          <w:color w:val="auto"/>
          <w:szCs w:val="24"/>
        </w:rPr>
        <w:t>表3</w:t>
      </w:r>
      <w:r>
        <w:rPr>
          <w:rFonts w:hint="eastAsia" w:ascii="Times New Roman" w:hAnsi="Times New Roman" w:eastAsia="仿宋_GB2312" w:cs="Times New Roman"/>
          <w:b/>
          <w:bCs/>
          <w:color w:val="auto"/>
          <w:szCs w:val="24"/>
        </w:rPr>
        <w:t>.</w:t>
      </w:r>
      <w:r>
        <w:rPr>
          <w:rFonts w:ascii="Times New Roman" w:hAnsi="Times New Roman" w:eastAsia="仿宋_GB2312" w:cs="Times New Roman"/>
          <w:b/>
          <w:bCs/>
          <w:color w:val="auto"/>
          <w:szCs w:val="24"/>
        </w:rPr>
        <w:t>1-1：</w:t>
      </w:r>
      <w:r>
        <w:rPr>
          <w:rFonts w:hint="eastAsia" w:ascii="Times New Roman" w:hAnsi="Times New Roman" w:eastAsia="仿宋_GB2312" w:cs="Times New Roman"/>
          <w:b/>
          <w:bCs/>
          <w:color w:val="auto"/>
        </w:rPr>
        <w:t>区域</w:t>
      </w:r>
      <w:r>
        <w:rPr>
          <w:rFonts w:ascii="Times New Roman" w:hAnsi="Times New Roman" w:eastAsia="仿宋_GB2312" w:cs="Times New Roman"/>
          <w:b/>
          <w:bCs/>
          <w:color w:val="auto"/>
        </w:rPr>
        <w:t>选址水土保持约束性因素评价</w:t>
      </w:r>
      <w:r>
        <w:rPr>
          <w:rFonts w:ascii="Times New Roman" w:hAnsi="Times New Roman" w:eastAsia="仿宋_GB2312" w:cs="Times New Roman"/>
          <w:b/>
          <w:bCs/>
          <w:color w:val="auto"/>
          <w:szCs w:val="24"/>
        </w:rPr>
        <w:t>表</w:t>
      </w:r>
    </w:p>
    <w:tbl>
      <w:tblPr>
        <w:tblStyle w:val="37"/>
        <w:tblW w:w="859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070"/>
        <w:gridCol w:w="4394"/>
        <w:gridCol w:w="113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5" w:hRule="atLeast"/>
          <w:jc w:val="center"/>
        </w:trPr>
        <w:tc>
          <w:tcPr>
            <w:tcW w:w="3070" w:type="dxa"/>
            <w:vAlign w:val="center"/>
          </w:tcPr>
          <w:p>
            <w:pPr>
              <w:jc w:val="center"/>
              <w:rPr>
                <w:rFonts w:ascii="Times New Roman" w:hAnsi="Times New Roman" w:eastAsia="仿宋_GB2312" w:cs="Times New Roman"/>
                <w:b/>
                <w:bCs/>
                <w:color w:val="auto"/>
                <w:kern w:val="28"/>
                <w:sz w:val="21"/>
                <w:szCs w:val="21"/>
              </w:rPr>
            </w:pPr>
            <w:r>
              <w:rPr>
                <w:rFonts w:ascii="Times New Roman" w:hAnsi="Times New Roman" w:eastAsia="仿宋_GB2312" w:cs="Times New Roman"/>
                <w:b/>
                <w:bCs/>
                <w:color w:val="auto"/>
                <w:kern w:val="28"/>
                <w:sz w:val="21"/>
                <w:szCs w:val="21"/>
              </w:rPr>
              <w:t>要求内容</w:t>
            </w:r>
          </w:p>
        </w:tc>
        <w:tc>
          <w:tcPr>
            <w:tcW w:w="4394" w:type="dxa"/>
            <w:vAlign w:val="center"/>
          </w:tcPr>
          <w:p>
            <w:pPr>
              <w:jc w:val="center"/>
              <w:rPr>
                <w:rFonts w:ascii="Times New Roman" w:hAnsi="Times New Roman" w:eastAsia="仿宋_GB2312" w:cs="Times New Roman"/>
                <w:b/>
                <w:bCs/>
                <w:color w:val="auto"/>
                <w:kern w:val="28"/>
                <w:sz w:val="21"/>
                <w:szCs w:val="21"/>
              </w:rPr>
            </w:pPr>
            <w:r>
              <w:rPr>
                <w:rFonts w:ascii="Times New Roman" w:hAnsi="Times New Roman" w:eastAsia="仿宋_GB2312" w:cs="Times New Roman"/>
                <w:b/>
                <w:bCs/>
                <w:color w:val="auto"/>
                <w:kern w:val="28"/>
                <w:sz w:val="21"/>
                <w:szCs w:val="21"/>
              </w:rPr>
              <w:t>评价</w:t>
            </w:r>
          </w:p>
        </w:tc>
        <w:tc>
          <w:tcPr>
            <w:tcW w:w="1134" w:type="dxa"/>
            <w:vAlign w:val="center"/>
          </w:tcPr>
          <w:p>
            <w:pPr>
              <w:jc w:val="center"/>
              <w:rPr>
                <w:rFonts w:ascii="Times New Roman" w:hAnsi="Times New Roman" w:eastAsia="仿宋_GB2312" w:cs="Times New Roman"/>
                <w:b/>
                <w:bCs/>
                <w:color w:val="auto"/>
                <w:kern w:val="28"/>
                <w:sz w:val="21"/>
                <w:szCs w:val="21"/>
              </w:rPr>
            </w:pPr>
            <w:r>
              <w:rPr>
                <w:rFonts w:ascii="Times New Roman" w:hAnsi="Times New Roman" w:eastAsia="仿宋_GB2312" w:cs="Times New Roman"/>
                <w:b/>
                <w:bCs/>
                <w:color w:val="auto"/>
                <w:kern w:val="28"/>
                <w:sz w:val="21"/>
                <w:szCs w:val="21"/>
              </w:rPr>
              <w:t>结论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3070" w:type="dxa"/>
            <w:vAlign w:val="center"/>
          </w:tcPr>
          <w:p>
            <w:pPr>
              <w:rPr>
                <w:rFonts w:ascii="Times New Roman" w:hAnsi="Times New Roman" w:eastAsia="仿宋_GB2312" w:cs="Times New Roman"/>
                <w:color w:val="auto"/>
                <w:kern w:val="28"/>
                <w:sz w:val="21"/>
                <w:szCs w:val="21"/>
              </w:rPr>
            </w:pPr>
            <w:r>
              <w:rPr>
                <w:rFonts w:ascii="Times New Roman" w:hAnsi="Times New Roman" w:eastAsia="仿宋_GB2312" w:cs="Times New Roman"/>
                <w:color w:val="auto"/>
                <w:kern w:val="28"/>
                <w:sz w:val="21"/>
                <w:szCs w:val="21"/>
              </w:rPr>
              <w:t>（1）选址应避让水土流失重点预防区和重点治理区。</w:t>
            </w:r>
          </w:p>
        </w:tc>
        <w:tc>
          <w:tcPr>
            <w:tcW w:w="4394" w:type="dxa"/>
            <w:vAlign w:val="center"/>
          </w:tcPr>
          <w:p>
            <w:pPr>
              <w:ind w:firstLine="420" w:firstLineChars="200"/>
              <w:rPr>
                <w:rFonts w:ascii="Times New Roman" w:hAnsi="Times New Roman" w:eastAsia="仿宋_GB2312" w:cs="Times New Roman"/>
                <w:color w:val="auto"/>
                <w:kern w:val="28"/>
                <w:sz w:val="21"/>
                <w:szCs w:val="21"/>
              </w:rPr>
            </w:pPr>
            <w:r>
              <w:rPr>
                <w:rFonts w:ascii="Times New Roman" w:hAnsi="Times New Roman" w:eastAsia="仿宋_GB2312" w:cs="Times New Roman"/>
                <w:color w:val="auto"/>
                <w:kern w:val="28"/>
                <w:sz w:val="21"/>
                <w:szCs w:val="21"/>
              </w:rPr>
              <w:t>本</w:t>
            </w:r>
            <w:r>
              <w:rPr>
                <w:rFonts w:hint="eastAsia" w:ascii="Times New Roman" w:hAnsi="Times New Roman" w:eastAsia="仿宋_GB2312" w:cs="Times New Roman"/>
                <w:color w:val="auto"/>
                <w:kern w:val="28"/>
                <w:sz w:val="21"/>
                <w:szCs w:val="21"/>
              </w:rPr>
              <w:t>规划区域所处区域属</w:t>
            </w:r>
            <w:r>
              <w:rPr>
                <w:rFonts w:hint="eastAsia" w:ascii="Times New Roman" w:hAnsi="Times New Roman" w:eastAsia="仿宋_GB2312" w:cs="Times New Roman"/>
                <w:color w:val="auto"/>
                <w:kern w:val="28"/>
                <w:sz w:val="21"/>
                <w:szCs w:val="21"/>
              </w:rPr>
              <w:t>南昌昌东工业园区扩区调区范围和南昌市高铁东站周边地区规划范围内，</w:t>
            </w:r>
            <w:r>
              <w:rPr>
                <w:rFonts w:ascii="Times New Roman" w:hAnsi="Times New Roman" w:eastAsia="仿宋_GB2312" w:cs="Times New Roman"/>
                <w:color w:val="auto"/>
                <w:kern w:val="28"/>
                <w:sz w:val="21"/>
                <w:szCs w:val="21"/>
              </w:rPr>
              <w:t>所在地位于江西省</w:t>
            </w:r>
            <w:r>
              <w:rPr>
                <w:rFonts w:hint="eastAsia" w:ascii="Times New Roman" w:hAnsi="Times New Roman" w:eastAsia="仿宋_GB2312" w:cs="Times New Roman"/>
                <w:color w:val="auto"/>
                <w:kern w:val="28"/>
                <w:sz w:val="21"/>
                <w:szCs w:val="21"/>
              </w:rPr>
              <w:t>南昌市青山湖区</w:t>
            </w:r>
            <w:r>
              <w:rPr>
                <w:rFonts w:ascii="Times New Roman" w:hAnsi="Times New Roman" w:eastAsia="仿宋_GB2312" w:cs="Times New Roman"/>
                <w:color w:val="auto"/>
                <w:kern w:val="28"/>
                <w:sz w:val="21"/>
                <w:szCs w:val="21"/>
              </w:rPr>
              <w:t>罗家镇，</w:t>
            </w:r>
            <w:r>
              <w:rPr>
                <w:rFonts w:hint="eastAsia" w:ascii="Times New Roman" w:hAnsi="Times New Roman" w:eastAsia="仿宋_GB2312" w:cs="Times New Roman"/>
                <w:color w:val="auto"/>
                <w:kern w:val="28"/>
                <w:sz w:val="21"/>
                <w:szCs w:val="21"/>
              </w:rPr>
              <w:t>属青山湖区水土流失重点预防区</w:t>
            </w:r>
            <w:r>
              <w:rPr>
                <w:rFonts w:ascii="Times New Roman" w:hAnsi="Times New Roman" w:eastAsia="仿宋_GB2312" w:cs="Times New Roman"/>
                <w:color w:val="auto"/>
                <w:kern w:val="28"/>
                <w:sz w:val="21"/>
                <w:szCs w:val="21"/>
              </w:rPr>
              <w:t>。</w:t>
            </w:r>
            <w:r>
              <w:rPr>
                <w:rFonts w:ascii="Times New Roman" w:hAnsi="Times New Roman" w:eastAsia="仿宋_GB2312" w:cs="Times New Roman"/>
                <w:color w:val="auto"/>
                <w:kern w:val="28"/>
                <w:sz w:val="21"/>
                <w:szCs w:val="21"/>
              </w:rPr>
              <w:t>因本</w:t>
            </w:r>
            <w:r>
              <w:rPr>
                <w:rFonts w:hint="eastAsia" w:ascii="Times New Roman" w:hAnsi="Times New Roman" w:eastAsia="仿宋_GB2312" w:cs="Times New Roman"/>
                <w:color w:val="auto"/>
                <w:kern w:val="28"/>
                <w:sz w:val="21"/>
                <w:szCs w:val="21"/>
              </w:rPr>
              <w:t>规划</w:t>
            </w:r>
            <w:r>
              <w:rPr>
                <w:rFonts w:ascii="Times New Roman" w:hAnsi="Times New Roman" w:eastAsia="仿宋_GB2312" w:cs="Times New Roman"/>
                <w:color w:val="auto"/>
                <w:kern w:val="28"/>
                <w:sz w:val="21"/>
                <w:szCs w:val="21"/>
              </w:rPr>
              <w:t>区域属南昌市区域性评估的青山湖区试点区域</w:t>
            </w:r>
            <w:r>
              <w:rPr>
                <w:rFonts w:hint="eastAsia" w:ascii="Times New Roman" w:hAnsi="Times New Roman" w:eastAsia="仿宋_GB2312" w:cs="Times New Roman"/>
                <w:color w:val="auto"/>
                <w:kern w:val="28"/>
                <w:sz w:val="21"/>
                <w:szCs w:val="21"/>
              </w:rPr>
              <w:t>，</w:t>
            </w:r>
            <w:r>
              <w:rPr>
                <w:rFonts w:eastAsia="仿宋_GB2312"/>
                <w:color w:val="auto"/>
                <w:sz w:val="21"/>
                <w:szCs w:val="21"/>
              </w:rPr>
              <w:t>选址无法避让水土流失重点预防区，本</w:t>
            </w:r>
            <w:r>
              <w:rPr>
                <w:rFonts w:hint="eastAsia" w:eastAsia="仿宋_GB2312"/>
                <w:color w:val="auto"/>
                <w:sz w:val="21"/>
                <w:szCs w:val="21"/>
                <w:lang w:val="en-US" w:eastAsia="zh-CN"/>
              </w:rPr>
              <w:t>区域评估报告</w:t>
            </w:r>
            <w:r>
              <w:rPr>
                <w:rFonts w:eastAsia="仿宋_GB2312"/>
                <w:color w:val="auto"/>
                <w:sz w:val="21"/>
                <w:szCs w:val="21"/>
              </w:rPr>
              <w:t>水土流失防治标准等级采用一级标准，并优化施工工艺</w:t>
            </w:r>
            <w:r>
              <w:rPr>
                <w:rFonts w:hint="eastAsia" w:eastAsia="仿宋_GB2312"/>
                <w:color w:val="auto"/>
                <w:sz w:val="21"/>
                <w:szCs w:val="21"/>
              </w:rPr>
              <w:t>，</w:t>
            </w:r>
            <w:r>
              <w:rPr>
                <w:rFonts w:hint="eastAsia" w:eastAsia="仿宋_GB2312"/>
                <w:color w:val="auto"/>
                <w:sz w:val="21"/>
                <w:szCs w:val="21"/>
              </w:rPr>
              <w:t>林草覆盖率防治目标值提高</w:t>
            </w:r>
            <w:r>
              <w:rPr>
                <w:rFonts w:ascii="Times New Roman" w:hAnsi="Times New Roman" w:eastAsia="仿宋_GB2312" w:cs="Times New Roman"/>
                <w:color w:val="auto"/>
                <w:sz w:val="21"/>
                <w:szCs w:val="21"/>
              </w:rPr>
              <w:t>1%</w:t>
            </w:r>
            <w:r>
              <w:rPr>
                <w:rFonts w:ascii="Times New Roman" w:eastAsia="仿宋_GB2312" w:cs="Times New Roman"/>
                <w:color w:val="auto"/>
                <w:sz w:val="21"/>
                <w:szCs w:val="21"/>
              </w:rPr>
              <w:t>，</w:t>
            </w:r>
            <w:r>
              <w:rPr>
                <w:rFonts w:eastAsia="仿宋_GB2312"/>
                <w:color w:val="auto"/>
                <w:sz w:val="21"/>
                <w:szCs w:val="21"/>
              </w:rPr>
              <w:t>尽量减少</w:t>
            </w:r>
            <w:r>
              <w:rPr>
                <w:rFonts w:hint="eastAsia" w:eastAsia="仿宋_GB2312"/>
                <w:color w:val="auto"/>
                <w:sz w:val="21"/>
                <w:szCs w:val="21"/>
              </w:rPr>
              <w:t>区域开发建设</w:t>
            </w:r>
            <w:r>
              <w:rPr>
                <w:rFonts w:eastAsia="仿宋_GB2312"/>
                <w:color w:val="auto"/>
                <w:sz w:val="21"/>
                <w:szCs w:val="21"/>
              </w:rPr>
              <w:t>过程中的水土流失。</w:t>
            </w:r>
          </w:p>
        </w:tc>
        <w:tc>
          <w:tcPr>
            <w:tcW w:w="1134" w:type="dxa"/>
            <w:vAlign w:val="center"/>
          </w:tcPr>
          <w:p>
            <w:pPr>
              <w:jc w:val="center"/>
              <w:rPr>
                <w:rFonts w:ascii="Times New Roman" w:hAnsi="Times New Roman" w:eastAsia="仿宋_GB2312" w:cs="Times New Roman"/>
                <w:color w:val="auto"/>
                <w:kern w:val="28"/>
                <w:sz w:val="21"/>
                <w:szCs w:val="21"/>
              </w:rPr>
            </w:pPr>
            <w:r>
              <w:rPr>
                <w:rFonts w:ascii="Times New Roman" w:hAnsi="Times New Roman" w:eastAsia="仿宋_GB2312" w:cs="Times New Roman"/>
                <w:color w:val="auto"/>
                <w:kern w:val="28"/>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3070" w:type="dxa"/>
            <w:vAlign w:val="center"/>
          </w:tcPr>
          <w:p>
            <w:pPr>
              <w:rPr>
                <w:rFonts w:ascii="Times New Roman" w:hAnsi="Times New Roman" w:eastAsia="仿宋_GB2312" w:cs="Times New Roman"/>
                <w:color w:val="auto"/>
                <w:kern w:val="28"/>
                <w:sz w:val="21"/>
                <w:szCs w:val="21"/>
              </w:rPr>
            </w:pPr>
            <w:r>
              <w:rPr>
                <w:rFonts w:ascii="Times New Roman" w:hAnsi="Times New Roman" w:eastAsia="仿宋_GB2312" w:cs="Times New Roman"/>
                <w:color w:val="auto"/>
                <w:kern w:val="28"/>
                <w:sz w:val="21"/>
                <w:szCs w:val="21"/>
              </w:rPr>
              <w:t>（2）选址应避开河流两岸、湖泊和水库周边的植物保护带。</w:t>
            </w:r>
          </w:p>
        </w:tc>
        <w:tc>
          <w:tcPr>
            <w:tcW w:w="4394" w:type="dxa"/>
            <w:vAlign w:val="center"/>
          </w:tcPr>
          <w:p>
            <w:pPr>
              <w:ind w:firstLine="420" w:firstLineChars="200"/>
              <w:rPr>
                <w:rFonts w:ascii="Times New Roman" w:hAnsi="Times New Roman" w:eastAsia="仿宋_GB2312" w:cs="Times New Roman"/>
                <w:color w:val="auto"/>
                <w:kern w:val="28"/>
                <w:sz w:val="21"/>
                <w:szCs w:val="21"/>
              </w:rPr>
            </w:pPr>
            <w:r>
              <w:rPr>
                <w:rFonts w:ascii="Times New Roman" w:hAnsi="Times New Roman" w:eastAsia="仿宋_GB2312" w:cs="Times New Roman"/>
                <w:color w:val="auto"/>
                <w:kern w:val="28"/>
                <w:sz w:val="21"/>
                <w:szCs w:val="21"/>
              </w:rPr>
              <w:t>本</w:t>
            </w:r>
            <w:r>
              <w:rPr>
                <w:rFonts w:hint="eastAsia" w:ascii="Times New Roman" w:hAnsi="Times New Roman" w:eastAsia="仿宋_GB2312" w:cs="Times New Roman"/>
                <w:color w:val="auto"/>
                <w:kern w:val="28"/>
                <w:sz w:val="21"/>
                <w:szCs w:val="21"/>
              </w:rPr>
              <w:t>规划区域东侧的F08、F14和F18地块紧邻</w:t>
            </w:r>
            <w:r>
              <w:rPr>
                <w:rFonts w:hint="eastAsia" w:ascii="Times New Roman" w:hAnsi="Times New Roman" w:eastAsia="仿宋_GB2312" w:cs="Times New Roman"/>
                <w:color w:val="auto"/>
                <w:kern w:val="0"/>
                <w:sz w:val="21"/>
                <w:szCs w:val="21"/>
                <w:lang w:val="zh-CN"/>
              </w:rPr>
              <w:t>西总干渠</w:t>
            </w:r>
            <w:r>
              <w:rPr>
                <w:rFonts w:hint="eastAsia" w:ascii="Times New Roman" w:hAnsi="Times New Roman" w:eastAsia="仿宋_GB2312" w:cs="Times New Roman"/>
                <w:color w:val="auto"/>
                <w:kern w:val="0"/>
                <w:sz w:val="21"/>
                <w:szCs w:val="21"/>
                <w:lang w:val="zh-CN"/>
              </w:rPr>
              <w:t>，</w:t>
            </w:r>
            <w:r>
              <w:rPr>
                <w:rFonts w:hint="eastAsia" w:ascii="Times New Roman" w:hAnsi="Times New Roman" w:eastAsia="仿宋_GB2312" w:cs="Times New Roman"/>
                <w:color w:val="auto"/>
                <w:kern w:val="28"/>
                <w:sz w:val="21"/>
                <w:szCs w:val="21"/>
              </w:rPr>
              <w:t>建设会破坏</w:t>
            </w:r>
            <w:r>
              <w:rPr>
                <w:rFonts w:hint="eastAsia" w:ascii="Times New Roman" w:hAnsi="Times New Roman" w:eastAsia="仿宋_GB2312" w:cs="Times New Roman"/>
                <w:color w:val="auto"/>
                <w:kern w:val="0"/>
                <w:sz w:val="21"/>
                <w:szCs w:val="21"/>
                <w:lang w:val="zh-CN"/>
              </w:rPr>
              <w:t>赣抚平原西总干渠东侧岸线原有的植物保护带，无法避让，因F08、F14和F18地块为绿地，建设内容包含营造西总干渠东岸的植物保护带，</w:t>
            </w:r>
            <w:r>
              <w:rPr>
                <w:rFonts w:hint="eastAsia" w:ascii="Times New Roman" w:hAnsi="Times New Roman" w:eastAsia="仿宋_GB2312" w:cs="Times New Roman"/>
                <w:color w:val="auto"/>
                <w:kern w:val="0"/>
                <w:sz w:val="21"/>
                <w:szCs w:val="21"/>
              </w:rPr>
              <w:t>包括区域造景，栽植景观植被，对原状长势不好的植物保护带进行修枝、改造、补植</w:t>
            </w:r>
            <w:r>
              <w:rPr>
                <w:rFonts w:hint="eastAsia" w:ascii="Times New Roman" w:hAnsi="Times New Roman" w:eastAsia="仿宋_GB2312" w:cs="Times New Roman"/>
                <w:color w:val="auto"/>
                <w:kern w:val="28"/>
                <w:sz w:val="21"/>
                <w:szCs w:val="21"/>
              </w:rPr>
              <w:t>。</w:t>
            </w:r>
            <w:r>
              <w:rPr>
                <w:rFonts w:hint="eastAsia" w:ascii="Times New Roman" w:hAnsi="Times New Roman" w:eastAsia="仿宋_GB2312" w:cs="Times New Roman"/>
                <w:color w:val="auto"/>
                <w:kern w:val="0"/>
                <w:sz w:val="21"/>
                <w:szCs w:val="21"/>
              </w:rPr>
              <w:t>建设完成后可以完全恢复并提升西总干渠东岸的植物保护带功能。</w:t>
            </w:r>
          </w:p>
        </w:tc>
        <w:tc>
          <w:tcPr>
            <w:tcW w:w="1134" w:type="dxa"/>
            <w:vAlign w:val="center"/>
          </w:tcPr>
          <w:p>
            <w:pPr>
              <w:jc w:val="center"/>
              <w:rPr>
                <w:rFonts w:ascii="Times New Roman" w:hAnsi="Times New Roman" w:eastAsia="仿宋_GB2312" w:cs="Times New Roman"/>
                <w:color w:val="auto"/>
                <w:kern w:val="28"/>
                <w:sz w:val="21"/>
                <w:szCs w:val="21"/>
              </w:rPr>
            </w:pPr>
            <w:r>
              <w:rPr>
                <w:rFonts w:ascii="Times New Roman" w:hAnsi="Times New Roman" w:eastAsia="仿宋_GB2312" w:cs="Times New Roman"/>
                <w:color w:val="auto"/>
                <w:kern w:val="28"/>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3070" w:type="dxa"/>
            <w:vAlign w:val="center"/>
          </w:tcPr>
          <w:p>
            <w:pPr>
              <w:rPr>
                <w:rFonts w:ascii="Times New Roman" w:hAnsi="Times New Roman" w:eastAsia="仿宋_GB2312" w:cs="Times New Roman"/>
                <w:color w:val="auto"/>
                <w:kern w:val="28"/>
                <w:sz w:val="21"/>
                <w:szCs w:val="21"/>
              </w:rPr>
            </w:pPr>
            <w:r>
              <w:rPr>
                <w:rFonts w:ascii="Times New Roman" w:hAnsi="Times New Roman" w:eastAsia="仿宋_GB2312" w:cs="Times New Roman"/>
                <w:color w:val="auto"/>
                <w:kern w:val="28"/>
                <w:sz w:val="21"/>
                <w:szCs w:val="21"/>
              </w:rPr>
              <w:t>（3）选址应避开全国水土保持监测网络中的水土保持监测站点、重点试验区及国家确定的水土保持长期定位观测站。</w:t>
            </w:r>
          </w:p>
        </w:tc>
        <w:tc>
          <w:tcPr>
            <w:tcW w:w="4394" w:type="dxa"/>
            <w:vAlign w:val="center"/>
          </w:tcPr>
          <w:p>
            <w:pPr>
              <w:ind w:firstLine="420" w:firstLineChars="200"/>
              <w:rPr>
                <w:rFonts w:ascii="Times New Roman" w:hAnsi="Times New Roman" w:eastAsia="仿宋_GB2312" w:cs="Times New Roman"/>
                <w:color w:val="auto"/>
                <w:kern w:val="28"/>
                <w:sz w:val="21"/>
                <w:szCs w:val="21"/>
              </w:rPr>
            </w:pPr>
            <w:r>
              <w:rPr>
                <w:rFonts w:ascii="Times New Roman" w:hAnsi="Times New Roman" w:eastAsia="仿宋_GB2312" w:cs="Times New Roman"/>
                <w:color w:val="auto"/>
                <w:kern w:val="28"/>
                <w:sz w:val="21"/>
                <w:szCs w:val="21"/>
              </w:rPr>
              <w:t>本</w:t>
            </w:r>
            <w:r>
              <w:rPr>
                <w:rFonts w:hint="eastAsia" w:ascii="Times New Roman" w:hAnsi="Times New Roman" w:eastAsia="仿宋_GB2312" w:cs="Times New Roman"/>
                <w:color w:val="auto"/>
                <w:kern w:val="28"/>
                <w:sz w:val="21"/>
                <w:szCs w:val="21"/>
              </w:rPr>
              <w:t>规划区域选址不</w:t>
            </w:r>
            <w:r>
              <w:rPr>
                <w:rFonts w:ascii="Times New Roman" w:hAnsi="Times New Roman" w:eastAsia="仿宋_GB2312" w:cs="Times New Roman"/>
                <w:color w:val="auto"/>
                <w:kern w:val="28"/>
                <w:sz w:val="21"/>
                <w:szCs w:val="21"/>
              </w:rPr>
              <w:t>涉及全国水土保持监测网络中的水土保持监测站点、重点试验区及国家确定的水土保持长期定位观测站。</w:t>
            </w:r>
          </w:p>
        </w:tc>
        <w:tc>
          <w:tcPr>
            <w:tcW w:w="1134" w:type="dxa"/>
            <w:vAlign w:val="center"/>
          </w:tcPr>
          <w:p>
            <w:pPr>
              <w:jc w:val="center"/>
              <w:rPr>
                <w:rFonts w:ascii="Times New Roman" w:hAnsi="Times New Roman" w:eastAsia="仿宋_GB2312" w:cs="Times New Roman"/>
                <w:color w:val="auto"/>
                <w:kern w:val="28"/>
                <w:sz w:val="21"/>
                <w:szCs w:val="21"/>
              </w:rPr>
            </w:pPr>
            <w:r>
              <w:rPr>
                <w:rFonts w:ascii="Times New Roman" w:hAnsi="Times New Roman" w:eastAsia="仿宋_GB2312" w:cs="Times New Roman"/>
                <w:color w:val="auto"/>
                <w:kern w:val="28"/>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3070" w:type="dxa"/>
            <w:vAlign w:val="center"/>
          </w:tcPr>
          <w:p>
            <w:pPr>
              <w:rPr>
                <w:rFonts w:ascii="Times New Roman" w:hAnsi="Times New Roman" w:eastAsia="仿宋_GB2312" w:cs="Times New Roman"/>
                <w:color w:val="auto"/>
                <w:kern w:val="28"/>
                <w:sz w:val="21"/>
                <w:szCs w:val="21"/>
              </w:rPr>
            </w:pPr>
            <w:r>
              <w:rPr>
                <w:rFonts w:hint="eastAsia" w:ascii="Times New Roman" w:hAnsi="Times New Roman" w:eastAsia="仿宋_GB2312" w:cs="Times New Roman"/>
                <w:color w:val="auto"/>
                <w:kern w:val="28"/>
                <w:sz w:val="21"/>
                <w:szCs w:val="21"/>
              </w:rPr>
              <w:t>（4）</w:t>
            </w:r>
            <w:r>
              <w:rPr>
                <w:rFonts w:ascii="Times New Roman" w:hAnsi="Times New Roman" w:eastAsia="仿宋_GB2312" w:cs="Times New Roman"/>
                <w:color w:val="auto"/>
                <w:kern w:val="28"/>
                <w:sz w:val="21"/>
                <w:szCs w:val="21"/>
              </w:rPr>
              <w:t>水土流失严重、生态脆弱的地区，应当限制或者禁止可能造成水土流失的生产建设活动</w:t>
            </w:r>
            <w:r>
              <w:rPr>
                <w:rFonts w:hint="eastAsia" w:ascii="Times New Roman" w:hAnsi="Times New Roman" w:eastAsia="仿宋_GB2312" w:cs="Times New Roman"/>
                <w:color w:val="auto"/>
                <w:kern w:val="28"/>
                <w:sz w:val="21"/>
                <w:szCs w:val="21"/>
              </w:rPr>
              <w:t>。</w:t>
            </w:r>
          </w:p>
        </w:tc>
        <w:tc>
          <w:tcPr>
            <w:tcW w:w="4394" w:type="dxa"/>
            <w:vAlign w:val="center"/>
          </w:tcPr>
          <w:p>
            <w:pPr>
              <w:ind w:firstLine="420" w:firstLineChars="200"/>
              <w:rPr>
                <w:rFonts w:ascii="Times New Roman" w:hAnsi="Times New Roman" w:eastAsia="仿宋_GB2312" w:cs="Times New Roman"/>
                <w:color w:val="auto"/>
                <w:kern w:val="28"/>
                <w:sz w:val="21"/>
                <w:szCs w:val="21"/>
              </w:rPr>
            </w:pPr>
            <w:r>
              <w:rPr>
                <w:rFonts w:ascii="Times New Roman" w:hAnsi="Times New Roman" w:eastAsia="仿宋_GB2312" w:cs="Times New Roman"/>
                <w:color w:val="auto"/>
                <w:kern w:val="28"/>
                <w:sz w:val="21"/>
                <w:szCs w:val="21"/>
              </w:rPr>
              <w:t>本</w:t>
            </w:r>
            <w:r>
              <w:rPr>
                <w:rFonts w:hint="eastAsia" w:ascii="Times New Roman" w:hAnsi="Times New Roman" w:eastAsia="仿宋_GB2312" w:cs="Times New Roman"/>
                <w:color w:val="auto"/>
                <w:kern w:val="28"/>
                <w:sz w:val="21"/>
                <w:szCs w:val="21"/>
              </w:rPr>
              <w:t>规划区域</w:t>
            </w:r>
            <w:r>
              <w:rPr>
                <w:rFonts w:ascii="Times New Roman" w:hAnsi="Times New Roman" w:eastAsia="仿宋_GB2312" w:cs="Times New Roman"/>
                <w:color w:val="auto"/>
                <w:kern w:val="28"/>
                <w:sz w:val="21"/>
                <w:szCs w:val="21"/>
              </w:rPr>
              <w:t>所在地位于江西省南昌市青山湖区罗家镇</w:t>
            </w:r>
            <w:r>
              <w:rPr>
                <w:rFonts w:hint="eastAsia" w:ascii="Times New Roman" w:hAnsi="Times New Roman" w:eastAsia="仿宋_GB2312" w:cs="Times New Roman"/>
                <w:color w:val="auto"/>
                <w:kern w:val="28"/>
                <w:sz w:val="21"/>
                <w:szCs w:val="21"/>
              </w:rPr>
              <w:t>，</w:t>
            </w:r>
            <w:r>
              <w:rPr>
                <w:rFonts w:ascii="Times New Roman" w:hAnsi="Times New Roman" w:eastAsia="仿宋_GB2312" w:cs="Times New Roman"/>
                <w:color w:val="auto"/>
                <w:kern w:val="28"/>
                <w:sz w:val="21"/>
                <w:szCs w:val="21"/>
              </w:rPr>
              <w:t>不涉及水土流失严重、生态脆弱的地区</w:t>
            </w:r>
            <w:r>
              <w:rPr>
                <w:rFonts w:hint="eastAsia" w:ascii="Times New Roman" w:hAnsi="Times New Roman" w:eastAsia="仿宋_GB2312" w:cs="Times New Roman"/>
                <w:color w:val="auto"/>
                <w:kern w:val="28"/>
                <w:sz w:val="21"/>
                <w:szCs w:val="21"/>
              </w:rPr>
              <w:t>。</w:t>
            </w:r>
          </w:p>
        </w:tc>
        <w:tc>
          <w:tcPr>
            <w:tcW w:w="1134" w:type="dxa"/>
            <w:vAlign w:val="center"/>
          </w:tcPr>
          <w:p>
            <w:pPr>
              <w:jc w:val="center"/>
              <w:rPr>
                <w:rFonts w:ascii="Times New Roman" w:hAnsi="Times New Roman" w:eastAsia="仿宋_GB2312" w:cs="Times New Roman"/>
                <w:color w:val="auto"/>
                <w:kern w:val="28"/>
                <w:sz w:val="21"/>
                <w:szCs w:val="21"/>
              </w:rPr>
            </w:pPr>
            <w:r>
              <w:rPr>
                <w:rFonts w:ascii="Times New Roman" w:hAnsi="Times New Roman" w:eastAsia="仿宋_GB2312" w:cs="Times New Roman"/>
                <w:color w:val="auto"/>
                <w:kern w:val="28"/>
                <w:sz w:val="21"/>
                <w:szCs w:val="21"/>
              </w:rPr>
              <w:t>符合要求</w:t>
            </w:r>
          </w:p>
        </w:tc>
      </w:tr>
    </w:tbl>
    <w:p>
      <w:pPr>
        <w:adjustRightIn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由</w:t>
      </w:r>
      <w:r>
        <w:rPr>
          <w:rFonts w:ascii="Times New Roman" w:hAnsi="Times New Roman" w:eastAsia="仿宋_GB2312" w:cs="Times New Roman"/>
          <w:color w:val="auto"/>
          <w:szCs w:val="24"/>
        </w:rPr>
        <w:t>表3</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1-1可知，本</w:t>
      </w:r>
      <w:r>
        <w:rPr>
          <w:rFonts w:hint="eastAsia" w:ascii="Times New Roman" w:hAnsi="Times New Roman" w:eastAsia="仿宋_GB2312" w:cs="Times New Roman"/>
          <w:color w:val="auto"/>
          <w:szCs w:val="24"/>
        </w:rPr>
        <w:t>规划区域</w:t>
      </w:r>
      <w:r>
        <w:rPr>
          <w:rFonts w:ascii="Times New Roman" w:hAnsi="Times New Roman" w:eastAsia="仿宋_GB2312" w:cs="Times New Roman"/>
          <w:color w:val="auto"/>
          <w:szCs w:val="24"/>
        </w:rPr>
        <w:t>选址符合《中华人民共和国水土保持法》、《生产建设项目水土保持技术标准（GB50433-2018）》及相关文件规定，</w:t>
      </w:r>
      <w:r>
        <w:rPr>
          <w:rFonts w:hint="eastAsia" w:ascii="Times New Roman" w:hAnsi="Times New Roman" w:eastAsia="仿宋_GB2312" w:cs="Times New Roman"/>
          <w:color w:val="auto"/>
          <w:szCs w:val="24"/>
        </w:rPr>
        <w:t>规划区域</w:t>
      </w:r>
      <w:r>
        <w:rPr>
          <w:rFonts w:ascii="Times New Roman" w:hAnsi="Times New Roman" w:eastAsia="仿宋_GB2312" w:cs="Times New Roman"/>
          <w:color w:val="auto"/>
          <w:szCs w:val="24"/>
        </w:rPr>
        <w:t>位于江西省</w:t>
      </w:r>
      <w:r>
        <w:rPr>
          <w:rFonts w:hint="eastAsia" w:ascii="Times New Roman" w:hAnsi="Times New Roman" w:eastAsia="仿宋_GB2312" w:cs="Times New Roman"/>
          <w:color w:val="auto"/>
          <w:szCs w:val="24"/>
        </w:rPr>
        <w:t>南昌市青山湖区罗家镇青山湖区水土流失重点预防区，</w:t>
      </w:r>
      <w:r>
        <w:rPr>
          <w:rFonts w:ascii="Times New Roman" w:hAnsi="Times New Roman" w:eastAsia="仿宋_GB2312" w:cs="Times New Roman"/>
          <w:color w:val="auto"/>
          <w:szCs w:val="24"/>
        </w:rPr>
        <w:t>因本区域属南昌市区域性评估的青山湖区试点区域，无法避让</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水土流失防治标准等级采用一级标准，</w:t>
      </w:r>
      <w:r>
        <w:rPr>
          <w:rFonts w:hint="eastAsia" w:ascii="Times New Roman" w:hAnsi="Times New Roman" w:eastAsia="仿宋_GB2312" w:cs="Times New Roman"/>
          <w:color w:val="auto"/>
          <w:szCs w:val="24"/>
        </w:rPr>
        <w:t>林草覆盖率防治目标值提高1%，</w:t>
      </w:r>
      <w:r>
        <w:rPr>
          <w:rFonts w:ascii="Times New Roman" w:hAnsi="Times New Roman" w:eastAsia="仿宋_GB2312" w:cs="Times New Roman"/>
          <w:color w:val="auto"/>
          <w:szCs w:val="24"/>
        </w:rPr>
        <w:t>尽量减少施工过程中的水土流失</w:t>
      </w:r>
      <w:r>
        <w:rPr>
          <w:rFonts w:hint="eastAsia" w:ascii="Times New Roman" w:hAnsi="Times New Roman" w:eastAsia="仿宋_GB2312" w:cs="Times New Roman"/>
          <w:color w:val="auto"/>
          <w:szCs w:val="24"/>
        </w:rPr>
        <w:t>；规划区域选址</w:t>
      </w:r>
      <w:r>
        <w:rPr>
          <w:rFonts w:ascii="Times New Roman" w:hAnsi="Times New Roman" w:eastAsia="仿宋_GB2312" w:cs="Times New Roman"/>
          <w:color w:val="auto"/>
          <w:szCs w:val="24"/>
        </w:rPr>
        <w:t>不占用全国水土保持监测网络中的水土保持监测站点、重点试验区和重点治理成果区；</w:t>
      </w:r>
      <w:r>
        <w:rPr>
          <w:rFonts w:hint="eastAsia" w:ascii="Times New Roman" w:hAnsi="Times New Roman" w:eastAsia="仿宋_GB2312" w:cs="Times New Roman"/>
          <w:color w:val="auto"/>
          <w:szCs w:val="24"/>
        </w:rPr>
        <w:t>规划区域选址</w:t>
      </w:r>
      <w:r>
        <w:rPr>
          <w:rFonts w:ascii="Times New Roman" w:hAnsi="Times New Roman" w:eastAsia="仿宋_GB2312" w:cs="Times New Roman"/>
          <w:color w:val="auto"/>
          <w:szCs w:val="24"/>
        </w:rPr>
        <w:t>涉及西总干渠河流东岸植物保护带</w:t>
      </w:r>
      <w:r>
        <w:rPr>
          <w:rFonts w:hint="eastAsia" w:ascii="Times New Roman" w:hAnsi="Times New Roman" w:eastAsia="仿宋_GB2312" w:cs="Times New Roman"/>
          <w:color w:val="auto"/>
          <w:szCs w:val="24"/>
        </w:rPr>
        <w:t>，无法避让，但涉及植物保护带区域属规划绿地，建设内容包含营造植物保护带并提升景观。规划区域</w:t>
      </w:r>
      <w:r>
        <w:rPr>
          <w:rFonts w:ascii="Times New Roman" w:hAnsi="Times New Roman" w:eastAsia="仿宋_GB2312" w:cs="Times New Roman"/>
          <w:color w:val="auto"/>
          <w:szCs w:val="24"/>
        </w:rPr>
        <w:t>所在地不</w:t>
      </w:r>
      <w:r>
        <w:rPr>
          <w:rFonts w:hint="eastAsia" w:ascii="Times New Roman" w:hAnsi="Times New Roman" w:eastAsia="仿宋_GB2312" w:cs="Times New Roman"/>
          <w:color w:val="auto"/>
          <w:szCs w:val="24"/>
        </w:rPr>
        <w:t>属于</w:t>
      </w:r>
      <w:r>
        <w:rPr>
          <w:rFonts w:ascii="Times New Roman" w:hAnsi="Times New Roman" w:eastAsia="仿宋_GB2312" w:cs="Times New Roman"/>
          <w:color w:val="auto"/>
          <w:szCs w:val="24"/>
        </w:rPr>
        <w:t>水土流失严重、生态脆弱的地区。综上所述，</w:t>
      </w:r>
      <w:r>
        <w:rPr>
          <w:rFonts w:hint="eastAsia" w:ascii="Times New Roman" w:hAnsi="Times New Roman" w:eastAsia="仿宋_GB2312" w:cs="Times New Roman"/>
          <w:color w:val="auto"/>
          <w:szCs w:val="24"/>
        </w:rPr>
        <w:t>规划区域选址</w:t>
      </w:r>
      <w:r>
        <w:rPr>
          <w:rFonts w:ascii="Times New Roman" w:hAnsi="Times New Roman" w:eastAsia="仿宋_GB2312" w:cs="Times New Roman"/>
          <w:color w:val="auto"/>
          <w:szCs w:val="24"/>
        </w:rPr>
        <w:t>存在无法避让青山湖区水土流失重点预防区和无法避让西总干渠河流东岸植物保护带的制约性因素</w:t>
      </w:r>
      <w:r>
        <w:rPr>
          <w:rFonts w:hint="eastAsia" w:ascii="Times New Roman" w:hAnsi="Times New Roman" w:eastAsia="仿宋_GB2312" w:cs="Times New Roman"/>
          <w:color w:val="auto"/>
          <w:szCs w:val="24"/>
        </w:rPr>
        <w:t>，</w:t>
      </w:r>
      <w:r>
        <w:rPr>
          <w:rFonts w:hint="eastAsia" w:eastAsia="仿宋_GB2312"/>
          <w:color w:val="auto"/>
        </w:rPr>
        <w:t>执行南方红壤区水土流失防治一级标准，不存在其他水土保持制约因素，</w:t>
      </w:r>
      <w:r>
        <w:rPr>
          <w:rFonts w:hint="eastAsia" w:ascii="Times New Roman" w:hAnsi="Times New Roman" w:eastAsia="仿宋_GB2312" w:cs="Times New Roman"/>
          <w:color w:val="auto"/>
          <w:szCs w:val="24"/>
        </w:rPr>
        <w:t>区域选址</w:t>
      </w:r>
      <w:r>
        <w:rPr>
          <w:rFonts w:hint="eastAsia" w:eastAsia="仿宋_GB2312"/>
          <w:color w:val="auto"/>
        </w:rPr>
        <w:t>可行。</w:t>
      </w:r>
    </w:p>
    <w:p>
      <w:pPr>
        <w:pStyle w:val="5"/>
        <w:rPr>
          <w:rFonts w:eastAsia="仿宋_GB2312"/>
          <w:color w:val="auto"/>
        </w:rPr>
      </w:pPr>
      <w:bookmarkStart w:id="262" w:name="_Toc3112"/>
      <w:r>
        <w:rPr>
          <w:rFonts w:eastAsia="仿宋_GB2312"/>
          <w:color w:val="auto"/>
        </w:rPr>
        <w:t>3.2</w:t>
      </w:r>
      <w:bookmarkEnd w:id="251"/>
      <w:bookmarkEnd w:id="252"/>
      <w:bookmarkEnd w:id="253"/>
      <w:bookmarkEnd w:id="254"/>
      <w:bookmarkEnd w:id="255"/>
      <w:bookmarkEnd w:id="256"/>
      <w:bookmarkEnd w:id="257"/>
      <w:bookmarkEnd w:id="258"/>
      <w:bookmarkEnd w:id="259"/>
      <w:bookmarkEnd w:id="260"/>
      <w:bookmarkEnd w:id="261"/>
      <w:r>
        <w:rPr>
          <w:rFonts w:eastAsia="仿宋_GB2312"/>
          <w:color w:val="auto"/>
        </w:rPr>
        <w:t>建设方案与布局水土保持评价</w:t>
      </w:r>
      <w:bookmarkEnd w:id="262"/>
    </w:p>
    <w:p>
      <w:pPr>
        <w:pStyle w:val="6"/>
        <w:spacing w:line="360" w:lineRule="auto"/>
        <w:rPr>
          <w:rFonts w:eastAsia="仿宋_GB2312"/>
          <w:bCs w:val="0"/>
          <w:color w:val="auto"/>
          <w:szCs w:val="30"/>
        </w:rPr>
      </w:pPr>
      <w:bookmarkStart w:id="263" w:name="_Toc22841"/>
      <w:r>
        <w:rPr>
          <w:rFonts w:eastAsia="仿宋_GB2312"/>
          <w:bCs w:val="0"/>
          <w:color w:val="auto"/>
          <w:szCs w:val="30"/>
        </w:rPr>
        <w:t>3.2.1</w:t>
      </w:r>
      <w:bookmarkEnd w:id="263"/>
      <w:r>
        <w:rPr>
          <w:rFonts w:eastAsia="仿宋_GB2312"/>
          <w:bCs w:val="0"/>
          <w:color w:val="auto"/>
          <w:szCs w:val="30"/>
        </w:rPr>
        <w:t>建设方案评价</w:t>
      </w:r>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根据《中华人民共和国水土保持法》和《生产建设项目水土保持技术标准》（GB50433-2018）等相关规范性文件中关于水土保持限制和约束性规定，进行建设方案评价。该工程的建设方案水土保持评价见表3</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2-1。</w:t>
      </w:r>
    </w:p>
    <w:p>
      <w:pPr>
        <w:snapToGrid w:val="0"/>
        <w:spacing w:line="360" w:lineRule="auto"/>
        <w:jc w:val="center"/>
        <w:rPr>
          <w:rFonts w:ascii="Times New Roman" w:hAnsi="Times New Roman" w:eastAsia="仿宋_GB2312" w:cs="Times New Roman"/>
          <w:color w:val="auto"/>
          <w:szCs w:val="24"/>
        </w:rPr>
      </w:pPr>
      <w:r>
        <w:rPr>
          <w:rFonts w:ascii="Times New Roman" w:hAnsi="Times New Roman" w:eastAsia="仿宋_GB2312" w:cs="Times New Roman"/>
          <w:b/>
          <w:bCs/>
          <w:color w:val="auto"/>
          <w:szCs w:val="24"/>
        </w:rPr>
        <w:t>表3</w:t>
      </w:r>
      <w:r>
        <w:rPr>
          <w:rFonts w:hint="eastAsia" w:ascii="Times New Roman" w:hAnsi="Times New Roman" w:eastAsia="仿宋_GB2312" w:cs="Times New Roman"/>
          <w:b/>
          <w:bCs/>
          <w:color w:val="auto"/>
          <w:szCs w:val="24"/>
        </w:rPr>
        <w:t>.</w:t>
      </w:r>
      <w:r>
        <w:rPr>
          <w:rFonts w:ascii="Times New Roman" w:hAnsi="Times New Roman" w:eastAsia="仿宋_GB2312" w:cs="Times New Roman"/>
          <w:b/>
          <w:bCs/>
          <w:color w:val="auto"/>
          <w:szCs w:val="24"/>
        </w:rPr>
        <w:t>2-1：</w:t>
      </w:r>
      <w:r>
        <w:rPr>
          <w:rFonts w:ascii="Times New Roman" w:hAnsi="Times New Roman" w:eastAsia="仿宋_GB2312" w:cs="Times New Roman"/>
          <w:b/>
          <w:bCs/>
          <w:color w:val="auto"/>
          <w:spacing w:val="1"/>
          <w:szCs w:val="24"/>
        </w:rPr>
        <w:t>对主体工程建设方案的水土保持评价表</w:t>
      </w:r>
    </w:p>
    <w:tbl>
      <w:tblPr>
        <w:tblStyle w:val="37"/>
        <w:tblW w:w="4950"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108" w:type="dxa"/>
          <w:bottom w:w="0" w:type="dxa"/>
          <w:right w:w="108" w:type="dxa"/>
        </w:tblCellMar>
      </w:tblPr>
      <w:tblGrid>
        <w:gridCol w:w="3049"/>
        <w:gridCol w:w="4291"/>
        <w:gridCol w:w="1097"/>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57" w:hRule="atLeast"/>
          <w:tblHeader/>
          <w:jc w:val="center"/>
        </w:trPr>
        <w:tc>
          <w:tcPr>
            <w:tcW w:w="1807" w:type="pct"/>
            <w:vAlign w:val="center"/>
          </w:tcPr>
          <w:p>
            <w:pPr>
              <w:widowControl/>
              <w:spacing w:line="288" w:lineRule="auto"/>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sz w:val="21"/>
                <w:szCs w:val="21"/>
              </w:rPr>
              <w:t>要求内容</w:t>
            </w:r>
          </w:p>
        </w:tc>
        <w:tc>
          <w:tcPr>
            <w:tcW w:w="2543" w:type="pct"/>
            <w:vAlign w:val="center"/>
          </w:tcPr>
          <w:p>
            <w:pPr>
              <w:widowControl/>
              <w:spacing w:line="288" w:lineRule="auto"/>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color w:val="auto"/>
                <w:kern w:val="0"/>
                <w:sz w:val="21"/>
                <w:szCs w:val="21"/>
              </w:rPr>
              <w:t>评价</w:t>
            </w:r>
          </w:p>
        </w:tc>
        <w:tc>
          <w:tcPr>
            <w:tcW w:w="650" w:type="pct"/>
            <w:vAlign w:val="center"/>
          </w:tcPr>
          <w:p>
            <w:pPr>
              <w:widowControl/>
              <w:spacing w:line="288" w:lineRule="auto"/>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color w:val="auto"/>
                <w:kern w:val="0"/>
                <w:sz w:val="21"/>
                <w:szCs w:val="21"/>
              </w:rPr>
              <w:t>结论</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1558" w:hRule="atLeast"/>
          <w:tblHeader/>
          <w:jc w:val="center"/>
        </w:trPr>
        <w:tc>
          <w:tcPr>
            <w:tcW w:w="1807" w:type="pct"/>
            <w:vAlign w:val="center"/>
          </w:tcPr>
          <w:p>
            <w:pPr>
              <w:autoSpaceDE w:val="0"/>
              <w:autoSpaceDN w:val="0"/>
              <w:adjustRightInd w:val="0"/>
              <w:rPr>
                <w:rFonts w:ascii="Times New Roman" w:hAnsi="Times New Roman" w:eastAsia="仿宋_GB2312" w:cs="Times New Roman"/>
                <w:color w:val="auto"/>
                <w:szCs w:val="21"/>
              </w:rPr>
            </w:pPr>
            <w:r>
              <w:rPr>
                <w:rFonts w:ascii="Times New Roman" w:hAnsi="Times New Roman" w:eastAsia="仿宋_GB2312" w:cs="Times New Roman"/>
                <w:color w:val="auto"/>
                <w:kern w:val="0"/>
                <w:sz w:val="21"/>
                <w:szCs w:val="21"/>
              </w:rPr>
              <w:t>（</w:t>
            </w:r>
            <w:r>
              <w:rPr>
                <w:rFonts w:hint="eastAsia" w:ascii="Times New Roman" w:hAnsi="Times New Roman" w:eastAsia="仿宋_GB2312" w:cs="Times New Roman"/>
                <w:color w:val="auto"/>
                <w:kern w:val="0"/>
                <w:sz w:val="21"/>
                <w:szCs w:val="21"/>
              </w:rPr>
              <w:t>1</w:t>
            </w:r>
            <w:r>
              <w:rPr>
                <w:rFonts w:ascii="Times New Roman" w:hAnsi="Times New Roman" w:eastAsia="仿宋_GB2312" w:cs="Times New Roman"/>
                <w:color w:val="auto"/>
                <w:kern w:val="0"/>
                <w:sz w:val="21"/>
                <w:szCs w:val="21"/>
              </w:rPr>
              <w:t>）公路工程在高填深挖路段，应加大桥隧比例的方案，减少大挖大填。</w:t>
            </w:r>
            <w:r>
              <w:rPr>
                <w:rFonts w:hint="eastAsia" w:ascii="Times New Roman" w:hAnsi="Times New Roman" w:eastAsia="仿宋_GB2312" w:cs="Times New Roman"/>
                <w:color w:val="auto"/>
                <w:kern w:val="0"/>
                <w:sz w:val="21"/>
                <w:szCs w:val="21"/>
              </w:rPr>
              <w:t>填高大于20m，挖深大于30m的，应进行桥隧替代方案论证；路堤、路堑在保证边坡稳定的基础上，应采用植物防护或工程与植物相结合的设计方案。</w:t>
            </w:r>
          </w:p>
        </w:tc>
        <w:tc>
          <w:tcPr>
            <w:tcW w:w="2543" w:type="pct"/>
            <w:vAlign w:val="center"/>
          </w:tcPr>
          <w:p>
            <w:pPr>
              <w:autoSpaceDE w:val="0"/>
              <w:autoSpaceDN w:val="0"/>
              <w:adjustRightInd w:val="0"/>
              <w:ind w:firstLine="420" w:firstLineChars="200"/>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本区域内各条道路控制标高依据上位规划的</w:t>
            </w:r>
            <w:r>
              <w:rPr>
                <w:rFonts w:hint="eastAsia" w:ascii="Times New Roman" w:hAnsi="Times New Roman" w:eastAsia="仿宋_GB2312" w:cs="Times New Roman"/>
                <w:color w:val="auto"/>
                <w:kern w:val="28"/>
                <w:sz w:val="21"/>
                <w:szCs w:val="21"/>
              </w:rPr>
              <w:t>南昌市高铁东站周边地区规划区域高程，结合</w:t>
            </w:r>
            <w:r>
              <w:rPr>
                <w:rFonts w:hint="eastAsia" w:ascii="Times New Roman" w:hAnsi="Times New Roman" w:eastAsia="仿宋_GB2312" w:cs="Times New Roman"/>
                <w:color w:val="auto"/>
                <w:kern w:val="0"/>
                <w:sz w:val="21"/>
                <w:szCs w:val="21"/>
              </w:rPr>
              <w:t>区域原始地形和土方平衡要求设计，</w:t>
            </w:r>
            <w:r>
              <w:rPr>
                <w:rFonts w:hint="eastAsia" w:ascii="Times New Roman" w:hAnsi="Times New Roman" w:eastAsia="仿宋_GB2312" w:cs="Times New Roman"/>
                <w:color w:val="auto"/>
                <w:kern w:val="0"/>
                <w:sz w:val="21"/>
                <w:szCs w:val="21"/>
              </w:rPr>
              <w:t>区域道路无填高大于20m，挖深大于30m的高填深挖路段。道路施工过程中与周边存在临时性的路基填方边坡，在后续区域地块开发建设后会顺接区域内道路，不会存在永久性路基边坡。道路建成后周边地块开发前采用铺植草皮的方式进行路基边坡防护。</w:t>
            </w:r>
          </w:p>
        </w:tc>
        <w:tc>
          <w:tcPr>
            <w:tcW w:w="650" w:type="pct"/>
            <w:vAlign w:val="center"/>
          </w:tcPr>
          <w:p>
            <w:pPr>
              <w:pStyle w:val="28"/>
              <w:rPr>
                <w:rFonts w:eastAsia="仿宋_GB2312"/>
                <w:color w:val="auto"/>
                <w:szCs w:val="21"/>
              </w:rPr>
            </w:pPr>
            <w:r>
              <w:rPr>
                <w:rFonts w:eastAsia="仿宋_GB2312"/>
                <w:color w:val="auto"/>
                <w:szCs w:val="21"/>
              </w:rPr>
              <w:t>符合要求</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1558" w:hRule="atLeast"/>
          <w:tblHeader/>
          <w:jc w:val="center"/>
        </w:trPr>
        <w:tc>
          <w:tcPr>
            <w:tcW w:w="1807" w:type="pct"/>
            <w:vAlign w:val="center"/>
          </w:tcPr>
          <w:p>
            <w:pPr>
              <w:autoSpaceDE w:val="0"/>
              <w:autoSpaceDN w:val="0"/>
              <w:adjustRightInd w:val="0"/>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w:t>
            </w:r>
            <w:r>
              <w:rPr>
                <w:rFonts w:ascii="Times New Roman" w:hAnsi="Times New Roman" w:eastAsia="仿宋_GB2312" w:cs="Times New Roman"/>
                <w:color w:val="auto"/>
                <w:kern w:val="0"/>
                <w:sz w:val="21"/>
                <w:szCs w:val="21"/>
              </w:rPr>
              <w:t>城镇区的建设项目应提高植被建设标准，注重景观效果，配套建设灌溉、排水和雨水利用设施。</w:t>
            </w:r>
          </w:p>
        </w:tc>
        <w:tc>
          <w:tcPr>
            <w:tcW w:w="2543" w:type="pct"/>
            <w:vAlign w:val="center"/>
          </w:tcPr>
          <w:p>
            <w:pPr>
              <w:autoSpaceDE w:val="0"/>
              <w:autoSpaceDN w:val="0"/>
              <w:adjustRightInd w:val="0"/>
              <w:ind w:firstLine="420" w:firstLineChars="200"/>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本</w:t>
            </w:r>
            <w:r>
              <w:rPr>
                <w:rFonts w:hint="eastAsia" w:ascii="Times New Roman" w:hAnsi="Times New Roman" w:eastAsia="仿宋_GB2312" w:cs="Times New Roman"/>
                <w:color w:val="auto"/>
                <w:kern w:val="0"/>
                <w:sz w:val="21"/>
                <w:szCs w:val="21"/>
              </w:rPr>
              <w:t>区域</w:t>
            </w:r>
            <w:r>
              <w:rPr>
                <w:rFonts w:ascii="Times New Roman" w:hAnsi="Times New Roman" w:eastAsia="仿宋_GB2312" w:cs="Times New Roman"/>
                <w:color w:val="auto"/>
                <w:kern w:val="0"/>
                <w:sz w:val="21"/>
                <w:szCs w:val="21"/>
              </w:rPr>
              <w:t>位于</w:t>
            </w:r>
            <w:r>
              <w:rPr>
                <w:rFonts w:hint="eastAsia" w:ascii="Times New Roman" w:hAnsi="Times New Roman" w:eastAsia="仿宋_GB2312" w:cs="Times New Roman"/>
                <w:color w:val="auto"/>
                <w:kern w:val="0"/>
                <w:sz w:val="21"/>
                <w:szCs w:val="21"/>
              </w:rPr>
              <w:t>南昌市</w:t>
            </w:r>
            <w:r>
              <w:rPr>
                <w:rFonts w:ascii="Times New Roman" w:hAnsi="Times New Roman" w:eastAsia="仿宋_GB2312" w:cs="Times New Roman"/>
                <w:color w:val="auto"/>
                <w:kern w:val="0"/>
                <w:sz w:val="21"/>
                <w:szCs w:val="21"/>
              </w:rPr>
              <w:t>青山湖区</w:t>
            </w:r>
            <w:r>
              <w:rPr>
                <w:rFonts w:ascii="Times New Roman" w:hAnsi="Times New Roman" w:eastAsia="仿宋_GB2312" w:cs="Times New Roman"/>
                <w:color w:val="auto"/>
                <w:kern w:val="0"/>
                <w:sz w:val="21"/>
                <w:szCs w:val="21"/>
              </w:rPr>
              <w:t>的规划</w:t>
            </w:r>
            <w:r>
              <w:rPr>
                <w:rFonts w:hint="eastAsia" w:ascii="Times New Roman" w:hAnsi="Times New Roman" w:eastAsia="仿宋_GB2312" w:cs="Times New Roman"/>
                <w:color w:val="auto"/>
                <w:kern w:val="0"/>
                <w:sz w:val="21"/>
                <w:szCs w:val="21"/>
              </w:rPr>
              <w:t>高铁新城</w:t>
            </w:r>
            <w:r>
              <w:rPr>
                <w:rFonts w:ascii="Times New Roman" w:hAnsi="Times New Roman" w:eastAsia="仿宋_GB2312" w:cs="Times New Roman"/>
                <w:color w:val="auto"/>
                <w:kern w:val="0"/>
                <w:sz w:val="21"/>
                <w:szCs w:val="21"/>
              </w:rPr>
              <w:t>城区</w:t>
            </w:r>
            <w:r>
              <w:rPr>
                <w:rFonts w:hint="eastAsia" w:ascii="Times New Roman" w:hAnsi="Times New Roman" w:eastAsia="仿宋_GB2312" w:cs="Times New Roman"/>
                <w:color w:val="auto"/>
                <w:kern w:val="0"/>
                <w:sz w:val="21"/>
                <w:szCs w:val="21"/>
              </w:rPr>
              <w:t>，评估区域内规划绿地中的F08</w:t>
            </w:r>
            <w:r>
              <w:rPr>
                <w:rFonts w:hint="eastAsia" w:ascii="Times New Roman" w:hAnsi="Times New Roman" w:eastAsia="仿宋_GB2312" w:cs="Times New Roman"/>
                <w:color w:val="auto"/>
                <w:kern w:val="28"/>
                <w:sz w:val="21"/>
                <w:szCs w:val="21"/>
              </w:rPr>
              <w:t>、F14和F18地块紧邻</w:t>
            </w:r>
            <w:r>
              <w:rPr>
                <w:rFonts w:hint="eastAsia" w:ascii="Times New Roman" w:hAnsi="Times New Roman" w:eastAsia="仿宋_GB2312" w:cs="Times New Roman"/>
                <w:color w:val="auto"/>
                <w:kern w:val="0"/>
                <w:sz w:val="21"/>
                <w:szCs w:val="21"/>
              </w:rPr>
              <w:t>高铁新城城区规划的赣抚平原西干渠水系形成的蓝绿景观廊道，故评估区域内绿化建设采用高标准的园林景观设计，同时评估区域内规划建设道路完善配套有市政雨水、污水管线。评估区域内亦充分考虑海绵城市建设，对区域内道路人行道设置有透水铺装的雨水利用设施，对绿地区域布置有透水铺装、下凹式绿地和植草沟等雨水蓄渗措施，对后续开发地块入驻企业推荐有海绵城市技术及工程。</w:t>
            </w:r>
          </w:p>
        </w:tc>
        <w:tc>
          <w:tcPr>
            <w:tcW w:w="650" w:type="pct"/>
            <w:vAlign w:val="center"/>
          </w:tcPr>
          <w:p>
            <w:pPr>
              <w:pStyle w:val="28"/>
              <w:rPr>
                <w:rFonts w:eastAsia="仿宋_GB2312"/>
                <w:color w:val="auto"/>
                <w:szCs w:val="21"/>
              </w:rPr>
            </w:pPr>
            <w:r>
              <w:rPr>
                <w:rFonts w:eastAsia="仿宋_GB2312"/>
                <w:color w:val="auto"/>
                <w:szCs w:val="21"/>
              </w:rPr>
              <w:t>符合要求</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291" w:hRule="atLeast"/>
          <w:tblHeader/>
          <w:jc w:val="center"/>
        </w:trPr>
        <w:tc>
          <w:tcPr>
            <w:tcW w:w="1807" w:type="pct"/>
            <w:vAlign w:val="center"/>
          </w:tcPr>
          <w:p>
            <w:pPr>
              <w:autoSpaceDE w:val="0"/>
              <w:autoSpaceDN w:val="0"/>
              <w:adjustRightInd w:val="0"/>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w:t>
            </w:r>
            <w:r>
              <w:rPr>
                <w:rFonts w:hint="eastAsia" w:ascii="Times New Roman" w:hAnsi="Times New Roman" w:eastAsia="仿宋_GB2312" w:cs="Times New Roman"/>
                <w:color w:val="auto"/>
                <w:kern w:val="0"/>
                <w:sz w:val="21"/>
                <w:szCs w:val="21"/>
              </w:rPr>
              <w:t>3</w:t>
            </w:r>
            <w:r>
              <w:rPr>
                <w:rFonts w:ascii="Times New Roman" w:hAnsi="Times New Roman" w:eastAsia="仿宋_GB2312" w:cs="Times New Roman"/>
                <w:color w:val="auto"/>
                <w:kern w:val="0"/>
                <w:sz w:val="21"/>
                <w:szCs w:val="21"/>
              </w:rPr>
              <w:t>）</w:t>
            </w:r>
            <w:r>
              <w:rPr>
                <w:rFonts w:ascii="Times New Roman" w:hAnsi="Times New Roman" w:eastAsia="仿宋_GB2312" w:cs="Times New Roman"/>
                <w:color w:val="auto"/>
                <w:sz w:val="21"/>
                <w:szCs w:val="21"/>
              </w:rPr>
              <w:t>对无法避让水土流失重点预防区和重点治理区的生产建设项目：应优化方案，减少工程占地和土石方量；</w:t>
            </w:r>
            <w:r>
              <w:rPr>
                <w:rFonts w:ascii="Times New Roman" w:hAnsi="Times New Roman" w:eastAsia="仿宋_GB2312" w:cs="Times New Roman"/>
                <w:bCs/>
                <w:color w:val="auto"/>
                <w:sz w:val="21"/>
                <w:szCs w:val="21"/>
              </w:rPr>
              <w:t>公路、铁路项目填高大于8m</w:t>
            </w:r>
            <w:r>
              <w:rPr>
                <w:rFonts w:hint="eastAsia" w:ascii="Times New Roman" w:hAnsi="Times New Roman" w:eastAsia="仿宋_GB2312" w:cs="Times New Roman"/>
                <w:bCs/>
                <w:color w:val="auto"/>
                <w:sz w:val="21"/>
                <w:szCs w:val="21"/>
              </w:rPr>
              <w:t>宜</w:t>
            </w:r>
            <w:r>
              <w:rPr>
                <w:rFonts w:ascii="Times New Roman" w:hAnsi="Times New Roman" w:eastAsia="仿宋_GB2312" w:cs="Times New Roman"/>
                <w:bCs/>
                <w:color w:val="auto"/>
                <w:sz w:val="21"/>
                <w:szCs w:val="21"/>
              </w:rPr>
              <w:t>优先考虑桥梁方案；</w:t>
            </w:r>
            <w:r>
              <w:rPr>
                <w:rFonts w:ascii="Times New Roman" w:hAnsi="Times New Roman" w:eastAsia="仿宋_GB2312" w:cs="Times New Roman"/>
                <w:color w:val="auto"/>
                <w:sz w:val="21"/>
                <w:szCs w:val="21"/>
              </w:rPr>
              <w:t>截排水工程、拦挡工程的工程等级和防洪标准应提高一级；宜布设雨洪集蓄、沉沙设施</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林草覆盖率应提高</w:t>
            </w:r>
            <w:r>
              <w:rPr>
                <w:rFonts w:hint="eastAsia" w:ascii="Times New Roman" w:hAnsi="Times New Roman" w:eastAsia="仿宋_GB2312" w:cs="Times New Roman"/>
                <w:color w:val="auto"/>
                <w:sz w:val="21"/>
                <w:szCs w:val="21"/>
              </w:rPr>
              <w:t>1个~2个百分点。</w:t>
            </w:r>
          </w:p>
        </w:tc>
        <w:tc>
          <w:tcPr>
            <w:tcW w:w="2543" w:type="pct"/>
            <w:vAlign w:val="center"/>
          </w:tcPr>
          <w:p>
            <w:pPr>
              <w:autoSpaceDE w:val="0"/>
              <w:autoSpaceDN w:val="0"/>
              <w:adjustRightInd w:val="0"/>
              <w:ind w:firstLine="420" w:firstLineChars="200"/>
              <w:rPr>
                <w:rFonts w:ascii="Times New Roman" w:hAnsi="Times New Roman" w:eastAsia="仿宋_GB2312" w:cs="Times New Roman"/>
                <w:color w:val="auto"/>
                <w:kern w:val="28"/>
                <w:sz w:val="21"/>
                <w:szCs w:val="21"/>
              </w:rPr>
            </w:pPr>
            <w:r>
              <w:rPr>
                <w:rFonts w:hint="eastAsia" w:ascii="Times New Roman" w:hAnsi="Times New Roman" w:eastAsia="仿宋_GB2312" w:cs="Times New Roman"/>
                <w:color w:val="auto"/>
                <w:kern w:val="0"/>
                <w:sz w:val="21"/>
                <w:szCs w:val="21"/>
              </w:rPr>
              <w:t>本区域位于江西省南昌市青山湖区罗家镇境内，</w:t>
            </w:r>
            <w:r>
              <w:rPr>
                <w:rFonts w:hint="eastAsia" w:ascii="Times New Roman" w:hAnsi="Times New Roman" w:eastAsia="仿宋_GB2312" w:cs="Times New Roman"/>
                <w:color w:val="auto"/>
                <w:kern w:val="28"/>
                <w:sz w:val="21"/>
                <w:szCs w:val="21"/>
              </w:rPr>
              <w:t>属青山湖区水土流失重点预防区。</w:t>
            </w:r>
            <w:r>
              <w:rPr>
                <w:rFonts w:ascii="Times New Roman" w:hAnsi="Times New Roman" w:eastAsia="仿宋_GB2312" w:cs="Times New Roman"/>
                <w:color w:val="auto"/>
                <w:kern w:val="28"/>
                <w:sz w:val="21"/>
                <w:szCs w:val="21"/>
              </w:rPr>
              <w:t>因本</w:t>
            </w:r>
            <w:r>
              <w:rPr>
                <w:rFonts w:hint="eastAsia" w:ascii="Times New Roman" w:hAnsi="Times New Roman" w:eastAsia="仿宋_GB2312" w:cs="Times New Roman"/>
                <w:color w:val="auto"/>
                <w:kern w:val="28"/>
                <w:sz w:val="21"/>
                <w:szCs w:val="21"/>
              </w:rPr>
              <w:t>规划</w:t>
            </w:r>
            <w:r>
              <w:rPr>
                <w:rFonts w:ascii="Times New Roman" w:hAnsi="Times New Roman" w:eastAsia="仿宋_GB2312" w:cs="Times New Roman"/>
                <w:color w:val="auto"/>
                <w:kern w:val="28"/>
                <w:sz w:val="21"/>
                <w:szCs w:val="21"/>
              </w:rPr>
              <w:t>区域属南昌市区域性评估的青山湖区试点区域</w:t>
            </w:r>
            <w:r>
              <w:rPr>
                <w:rFonts w:hint="eastAsia" w:ascii="Times New Roman" w:hAnsi="Times New Roman" w:eastAsia="仿宋_GB2312" w:cs="Times New Roman"/>
                <w:color w:val="auto"/>
                <w:kern w:val="28"/>
                <w:sz w:val="21"/>
                <w:szCs w:val="21"/>
              </w:rPr>
              <w:t>，</w:t>
            </w:r>
            <w:r>
              <w:rPr>
                <w:rFonts w:eastAsia="仿宋_GB2312"/>
                <w:color w:val="auto"/>
                <w:sz w:val="21"/>
                <w:szCs w:val="21"/>
              </w:rPr>
              <w:t>选址无法避让水土流失重点预防区</w:t>
            </w:r>
            <w:r>
              <w:rPr>
                <w:rFonts w:hint="eastAsia" w:eastAsia="仿宋_GB2312"/>
                <w:color w:val="auto"/>
                <w:sz w:val="21"/>
                <w:szCs w:val="21"/>
              </w:rPr>
              <w:t>。</w:t>
            </w:r>
            <w:r>
              <w:rPr>
                <w:rFonts w:eastAsia="仿宋_GB2312"/>
                <w:color w:val="auto"/>
                <w:sz w:val="21"/>
                <w:szCs w:val="21"/>
              </w:rPr>
              <w:t>评估区域规划施工过程中临时建筑及场地均布置与规划区域范围内</w:t>
            </w:r>
            <w:r>
              <w:rPr>
                <w:rFonts w:hint="eastAsia" w:eastAsia="仿宋_GB2312"/>
                <w:color w:val="auto"/>
                <w:sz w:val="21"/>
                <w:szCs w:val="21"/>
              </w:rPr>
              <w:t>，</w:t>
            </w:r>
            <w:r>
              <w:rPr>
                <w:rFonts w:eastAsia="仿宋_GB2312"/>
                <w:color w:val="auto"/>
                <w:sz w:val="21"/>
                <w:szCs w:val="21"/>
              </w:rPr>
              <w:t>不涉及临时占地</w:t>
            </w:r>
            <w:r>
              <w:rPr>
                <w:rFonts w:hint="eastAsia" w:eastAsia="仿宋_GB2312"/>
                <w:color w:val="auto"/>
                <w:sz w:val="21"/>
                <w:szCs w:val="21"/>
              </w:rPr>
              <w:t>。区域内道路控制标高依据区域原始标高设计，尽量减土石方开挖与回填，实现挖填方最优，不存在填高</w:t>
            </w:r>
            <w:r>
              <w:rPr>
                <w:rFonts w:ascii="Times New Roman" w:eastAsia="仿宋_GB2312" w:cs="Times New Roman"/>
                <w:color w:val="auto"/>
                <w:sz w:val="21"/>
                <w:szCs w:val="21"/>
              </w:rPr>
              <w:t>大于</w:t>
            </w:r>
            <w:r>
              <w:rPr>
                <w:rFonts w:ascii="Times New Roman" w:hAnsi="Times New Roman" w:eastAsia="仿宋_GB2312" w:cs="Times New Roman"/>
                <w:color w:val="auto"/>
                <w:sz w:val="21"/>
                <w:szCs w:val="21"/>
              </w:rPr>
              <w:t>8m</w:t>
            </w:r>
            <w:r>
              <w:rPr>
                <w:rFonts w:ascii="Times New Roman" w:eastAsia="仿宋_GB2312" w:cs="Times New Roman"/>
                <w:color w:val="auto"/>
                <w:sz w:val="21"/>
                <w:szCs w:val="21"/>
              </w:rPr>
              <w:t>路段。</w:t>
            </w:r>
            <w:r>
              <w:rPr>
                <w:rFonts w:hint="eastAsia" w:ascii="Times New Roman" w:hAnsi="Times New Roman" w:eastAsia="仿宋_GB2312" w:cs="Times New Roman"/>
                <w:color w:val="auto"/>
                <w:kern w:val="28"/>
                <w:sz w:val="21"/>
                <w:szCs w:val="21"/>
              </w:rPr>
              <w:t>截排水工程、拦挡工程的工程等级和防洪标准应提高一级，提高植物措施标准，</w:t>
            </w:r>
            <w:r>
              <w:rPr>
                <w:rFonts w:hint="eastAsia" w:ascii="Times New Roman" w:hAnsi="Times New Roman" w:eastAsia="仿宋_GB2312" w:cs="Times New Roman"/>
                <w:color w:val="auto"/>
                <w:kern w:val="28"/>
                <w:sz w:val="21"/>
                <w:szCs w:val="21"/>
              </w:rPr>
              <w:t>林草覆盖率应提高1%</w:t>
            </w:r>
            <w:r>
              <w:rPr>
                <w:rFonts w:hint="eastAsia" w:ascii="Times New Roman" w:hAnsi="Times New Roman" w:eastAsia="仿宋_GB2312" w:cs="Times New Roman"/>
                <w:color w:val="auto"/>
                <w:kern w:val="28"/>
                <w:sz w:val="21"/>
                <w:szCs w:val="21"/>
              </w:rPr>
              <w:t>。</w:t>
            </w:r>
            <w:r>
              <w:rPr>
                <w:rFonts w:hint="eastAsia" w:ascii="Times New Roman" w:hAnsi="Times New Roman" w:eastAsia="仿宋_GB2312" w:cs="Times New Roman"/>
                <w:color w:val="auto"/>
                <w:kern w:val="0"/>
                <w:sz w:val="21"/>
                <w:szCs w:val="21"/>
              </w:rPr>
              <w:t>区域内道路设置有透水铺装和生态树池的雨水利用设施，对绿地区域布置有透水铺装、下凹式绿地和植草沟等雨水蓄渗措施，对后续开发地块入驻企业推荐有诸如屋顶绿化、雨水花园等海绵城市技术。</w:t>
            </w:r>
          </w:p>
        </w:tc>
        <w:tc>
          <w:tcPr>
            <w:tcW w:w="650" w:type="pct"/>
            <w:vAlign w:val="center"/>
          </w:tcPr>
          <w:p>
            <w:pPr>
              <w:pStyle w:val="28"/>
              <w:rPr>
                <w:rFonts w:eastAsia="仿宋_GB2312"/>
                <w:color w:val="auto"/>
                <w:szCs w:val="21"/>
              </w:rPr>
            </w:pPr>
            <w:r>
              <w:rPr>
                <w:rFonts w:eastAsia="仿宋_GB2312"/>
                <w:color w:val="auto"/>
                <w:szCs w:val="21"/>
              </w:rPr>
              <w:t>符合要求</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65" w:hRule="atLeast"/>
          <w:tblHeader/>
          <w:jc w:val="center"/>
        </w:trPr>
        <w:tc>
          <w:tcPr>
            <w:tcW w:w="1807" w:type="pct"/>
            <w:vAlign w:val="center"/>
          </w:tcPr>
          <w:p>
            <w:pPr>
              <w:autoSpaceDE w:val="0"/>
              <w:autoSpaceDN w:val="0"/>
              <w:adjustRightInd w:val="0"/>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（4）项目涉及水土保持敏感区的，说明与本工程位置关系。</w:t>
            </w:r>
          </w:p>
        </w:tc>
        <w:tc>
          <w:tcPr>
            <w:tcW w:w="2543" w:type="pct"/>
            <w:vAlign w:val="center"/>
          </w:tcPr>
          <w:p>
            <w:pPr>
              <w:autoSpaceDE w:val="0"/>
              <w:autoSpaceDN w:val="0"/>
              <w:adjustRightInd w:val="0"/>
              <w:ind w:firstLine="420" w:firstLineChars="200"/>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本</w:t>
            </w:r>
            <w:r>
              <w:rPr>
                <w:rFonts w:hint="eastAsia" w:ascii="Times New Roman" w:hAnsi="Times New Roman" w:eastAsia="仿宋_GB2312" w:cs="Times New Roman"/>
                <w:color w:val="auto"/>
                <w:kern w:val="0"/>
                <w:sz w:val="21"/>
                <w:szCs w:val="21"/>
              </w:rPr>
              <w:t>区域不涉及水土保持敏感区。</w:t>
            </w:r>
          </w:p>
        </w:tc>
        <w:tc>
          <w:tcPr>
            <w:tcW w:w="650" w:type="pct"/>
            <w:vAlign w:val="center"/>
          </w:tcPr>
          <w:p>
            <w:pPr>
              <w:pStyle w:val="28"/>
              <w:rPr>
                <w:rFonts w:eastAsia="仿宋_GB2312"/>
                <w:color w:val="auto"/>
                <w:szCs w:val="21"/>
              </w:rPr>
            </w:pPr>
            <w:r>
              <w:rPr>
                <w:rFonts w:eastAsia="仿宋_GB2312"/>
                <w:color w:val="auto"/>
                <w:szCs w:val="21"/>
              </w:rPr>
              <w:t>符合要求</w:t>
            </w:r>
          </w:p>
        </w:tc>
      </w:tr>
    </w:tbl>
    <w:p>
      <w:pPr>
        <w:pStyle w:val="124"/>
        <w:snapToGrid w:val="0"/>
        <w:spacing w:beforeLines="15"/>
        <w:rPr>
          <w:rFonts w:ascii="Times New Roman" w:hAnsi="Times New Roman" w:eastAsia="仿宋_GB2312" w:cs="Times New Roman"/>
          <w:color w:val="auto"/>
          <w:kern w:val="0"/>
          <w:szCs w:val="24"/>
        </w:rPr>
      </w:pPr>
      <w:r>
        <w:rPr>
          <w:rFonts w:ascii="Times New Roman" w:hAnsi="Times New Roman" w:eastAsia="仿宋_GB2312" w:cs="Times New Roman"/>
          <w:color w:val="auto"/>
          <w:szCs w:val="24"/>
        </w:rPr>
        <w:t>结合现场实际情况和表3</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2-1，本</w:t>
      </w:r>
      <w:r>
        <w:rPr>
          <w:rFonts w:hint="eastAsia" w:ascii="Times New Roman" w:hAnsi="Times New Roman" w:eastAsia="仿宋_GB2312" w:cs="Times New Roman"/>
          <w:color w:val="auto"/>
          <w:szCs w:val="24"/>
        </w:rPr>
        <w:t>区域</w:t>
      </w:r>
      <w:r>
        <w:rPr>
          <w:rFonts w:ascii="Times New Roman" w:hAnsi="Times New Roman" w:eastAsia="仿宋_GB2312" w:cs="Times New Roman"/>
          <w:color w:val="auto"/>
          <w:kern w:val="0"/>
          <w:szCs w:val="24"/>
        </w:rPr>
        <w:t>位于</w:t>
      </w:r>
      <w:r>
        <w:rPr>
          <w:rFonts w:hint="eastAsia" w:ascii="Times New Roman" w:hAnsi="Times New Roman" w:eastAsia="仿宋_GB2312" w:cs="Times New Roman"/>
          <w:color w:val="auto"/>
          <w:kern w:val="0"/>
          <w:szCs w:val="24"/>
        </w:rPr>
        <w:t>南昌市青山湖区罗家镇城区</w:t>
      </w:r>
      <w:r>
        <w:rPr>
          <w:rFonts w:ascii="Times New Roman" w:hAnsi="Times New Roman" w:eastAsia="仿宋_GB2312" w:cs="Times New Roman"/>
          <w:color w:val="auto"/>
          <w:kern w:val="0"/>
          <w:szCs w:val="24"/>
        </w:rPr>
        <w:t>，存在无法避让青山湖区水土流失重点预防区情况</w:t>
      </w:r>
      <w:r>
        <w:rPr>
          <w:rFonts w:hint="eastAsia" w:ascii="Times New Roman" w:hAnsi="Times New Roman" w:eastAsia="仿宋_GB2312" w:cs="Times New Roman"/>
          <w:color w:val="auto"/>
          <w:kern w:val="0"/>
          <w:szCs w:val="24"/>
        </w:rPr>
        <w:t>，但通过优化主体设计建设方案、施工工艺和加强施工管理，避免了区域临时占地，结合原始地形地势、城市规划和防洪排涝等要求优化了区域规划竖向和土石方挖填量，设计标准能满足城市规划和相应标准；区域内道路</w:t>
      </w:r>
      <w:r>
        <w:rPr>
          <w:rFonts w:ascii="Times New Roman" w:hAnsi="Times New Roman" w:eastAsia="仿宋_GB2312" w:cs="Times New Roman"/>
          <w:color w:val="auto"/>
          <w:kern w:val="0"/>
          <w:szCs w:val="24"/>
        </w:rPr>
        <w:t>不存在高填深挖路段，设置的沿线排水设施能满足</w:t>
      </w:r>
      <w:r>
        <w:rPr>
          <w:rFonts w:hint="eastAsia" w:ascii="Times New Roman" w:hAnsi="Times New Roman" w:eastAsia="仿宋_GB2312" w:cs="Times New Roman"/>
          <w:color w:val="auto"/>
          <w:kern w:val="0"/>
          <w:szCs w:val="24"/>
        </w:rPr>
        <w:t>区域</w:t>
      </w:r>
      <w:r>
        <w:rPr>
          <w:rFonts w:ascii="Times New Roman" w:hAnsi="Times New Roman" w:eastAsia="仿宋_GB2312" w:cs="Times New Roman"/>
          <w:color w:val="auto"/>
          <w:kern w:val="0"/>
          <w:szCs w:val="24"/>
        </w:rPr>
        <w:t>排水和城市规划的要求</w:t>
      </w:r>
      <w:r>
        <w:rPr>
          <w:rFonts w:hint="eastAsia" w:ascii="Times New Roman" w:hAnsi="Times New Roman" w:eastAsia="仿宋_GB2312" w:cs="Times New Roman"/>
          <w:color w:val="auto"/>
          <w:kern w:val="0"/>
          <w:szCs w:val="24"/>
        </w:rPr>
        <w:t>，</w:t>
      </w:r>
      <w:r>
        <w:rPr>
          <w:rFonts w:ascii="Times New Roman" w:hAnsi="Times New Roman" w:eastAsia="仿宋_GB2312" w:cs="Times New Roman"/>
          <w:color w:val="auto"/>
          <w:kern w:val="0"/>
          <w:szCs w:val="24"/>
        </w:rPr>
        <w:t>在道路和绿地区域布置有透水铺装</w:t>
      </w:r>
      <w:r>
        <w:rPr>
          <w:rFonts w:hint="eastAsia" w:ascii="Times New Roman" w:hAnsi="Times New Roman" w:eastAsia="仿宋_GB2312" w:cs="Times New Roman"/>
          <w:color w:val="auto"/>
          <w:kern w:val="0"/>
          <w:szCs w:val="24"/>
        </w:rPr>
        <w:t>、</w:t>
      </w:r>
      <w:r>
        <w:rPr>
          <w:rFonts w:ascii="Times New Roman" w:hAnsi="Times New Roman" w:eastAsia="仿宋_GB2312" w:cs="Times New Roman"/>
          <w:color w:val="auto"/>
          <w:kern w:val="0"/>
          <w:szCs w:val="24"/>
        </w:rPr>
        <w:t>生态树池</w:t>
      </w:r>
      <w:r>
        <w:rPr>
          <w:rFonts w:hint="eastAsia" w:ascii="Times New Roman" w:hAnsi="Times New Roman" w:eastAsia="仿宋_GB2312" w:cs="Times New Roman"/>
          <w:color w:val="auto"/>
          <w:kern w:val="0"/>
          <w:szCs w:val="24"/>
        </w:rPr>
        <w:t>、</w:t>
      </w:r>
      <w:r>
        <w:rPr>
          <w:rFonts w:ascii="Times New Roman" w:hAnsi="Times New Roman" w:eastAsia="仿宋_GB2312" w:cs="Times New Roman"/>
          <w:color w:val="auto"/>
          <w:kern w:val="0"/>
          <w:szCs w:val="24"/>
        </w:rPr>
        <w:t>下凹式绿地等雨水蓄渗利用设施。</w:t>
      </w:r>
      <w:r>
        <w:rPr>
          <w:rFonts w:ascii="Times New Roman" w:hAnsi="Times New Roman" w:eastAsia="仿宋_GB2312" w:cs="Times New Roman"/>
          <w:color w:val="auto"/>
          <w:szCs w:val="24"/>
        </w:rPr>
        <w:t>经综合分析，本</w:t>
      </w:r>
      <w:r>
        <w:rPr>
          <w:rFonts w:hint="eastAsia" w:ascii="Times New Roman" w:hAnsi="Times New Roman" w:eastAsia="仿宋_GB2312" w:cs="Times New Roman"/>
          <w:color w:val="auto"/>
          <w:szCs w:val="24"/>
        </w:rPr>
        <w:t>区域</w:t>
      </w:r>
      <w:r>
        <w:rPr>
          <w:rFonts w:ascii="Times New Roman" w:hAnsi="Times New Roman" w:eastAsia="仿宋_GB2312" w:cs="Times New Roman"/>
          <w:color w:val="auto"/>
          <w:szCs w:val="24"/>
        </w:rPr>
        <w:t>建设方案通过合理优化后能满足水土保持相关规定。</w:t>
      </w:r>
    </w:p>
    <w:p>
      <w:pPr>
        <w:pStyle w:val="6"/>
        <w:spacing w:line="360" w:lineRule="auto"/>
        <w:rPr>
          <w:bCs w:val="0"/>
          <w:color w:val="auto"/>
          <w:szCs w:val="30"/>
        </w:rPr>
      </w:pPr>
      <w:bookmarkStart w:id="264" w:name="_Toc25686"/>
      <w:r>
        <w:rPr>
          <w:bCs w:val="0"/>
          <w:color w:val="auto"/>
          <w:szCs w:val="30"/>
        </w:rPr>
        <w:t>3.2.2</w:t>
      </w:r>
      <w:r>
        <w:rPr>
          <w:rFonts w:eastAsia="仿宋_GB2312"/>
          <w:bCs w:val="0"/>
          <w:color w:val="auto"/>
          <w:szCs w:val="30"/>
        </w:rPr>
        <w:t>工程占地评价</w:t>
      </w:r>
      <w:bookmarkEnd w:id="264"/>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本</w:t>
      </w:r>
      <w:r>
        <w:rPr>
          <w:rFonts w:hint="eastAsia" w:ascii="Times New Roman" w:hAnsi="Times New Roman" w:eastAsia="仿宋_GB2312" w:cs="Times New Roman"/>
          <w:color w:val="auto"/>
          <w:szCs w:val="24"/>
          <w:lang w:val="en-US" w:eastAsia="zh-CN"/>
        </w:rPr>
        <w:t>区域评估报告</w:t>
      </w:r>
      <w:r>
        <w:rPr>
          <w:rFonts w:ascii="Times New Roman" w:hAnsi="Times New Roman" w:eastAsia="仿宋_GB2312" w:cs="Times New Roman"/>
          <w:color w:val="auto"/>
          <w:szCs w:val="24"/>
        </w:rPr>
        <w:t>评估范围总面积</w:t>
      </w:r>
      <w:r>
        <w:rPr>
          <w:rFonts w:hint="eastAsia" w:ascii="Times New Roman" w:hAnsi="Times New Roman" w:eastAsia="仿宋_GB2312" w:cs="Times New Roman"/>
          <w:color w:val="auto"/>
          <w:szCs w:val="24"/>
        </w:rPr>
        <w:t>100hm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，位于南昌市青山湖区罗家镇，均为永久占地。区域规划功能区占地面积55.46hm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，占总面积的55.46%；公共基础设施区占地面积44.54hm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占总面积的44.54%。区域内原始占地类型包括耕地、林地、草地、水域及水利设施用地、住宅用地、工矿仓储用地、交通运输用地和其他土地。关于明确南昌市区域性评估评价试点区域的请示》（洪发改文[2020]148号），本区域现全为城市建设用地。区域占地类型符合水土保持要求。</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（1）工程占地是否漏项</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区域开发建设过程中，充分考虑了施工组织，区域内施工用水、排水、供电等均可就近利用现有市政设施，周边交通便利，对外交通可直接利用已建成的南嵩路、谢佛路、杨家山路等现状道路，不涉及临时占地。区域内占地面积较大，施工场地、临时堆料、堆土场、苗木移栽区等均可设置在永久征地范围内，无需征占范围外的临时占地。区域开发过程中根据企业入驻情况进行建设，入驻前原有地貌能较好保留，入驻后建设工期短，可避免长时间大范围水土保持设施损毁。</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分析认为，工程占地不存在漏项，统计全面。</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（2）用地规划分析</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主体工程设计中充分考虑地形条件及场地空间，在满足工程布置的同时，严格控制施工场地的面积，尽量少占地。同时，施工临时设施布设在项目永久占地范围内，无临时占地，有利于水土流失防治。但是在施工过程中，需对其采取合理有效的临时措施，尽量减少水土流失，施工结束后及时采取植被恢复或恢复原地类。</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区内各个地块经济技术指标均符合相关规划；区域内拆迁由青山湖区罗家镇拆迁办负责，无需新增安置点。评估区域内外交通便利，施工期临时道路可结合永久道路布设。施工用电、用水等利用已有设施或就近引接，综合管线设计均埋入地下，基本不占用地上面积。根据设计资料及现场查看，工程施工场地设置可满足施工需要。</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综上所述，主体工程确定的布局总体上较为合理，对施工临时设施占地考虑较周全，既满足工程布置，同时又响应了国家政策，不存在占地漏项，符合相关政策及规定。工程占地不存在水土保持制约性因素，符合水土保持要求。</w:t>
      </w:r>
    </w:p>
    <w:p>
      <w:pPr>
        <w:pStyle w:val="6"/>
        <w:spacing w:line="360" w:lineRule="auto"/>
        <w:rPr>
          <w:bCs w:val="0"/>
          <w:color w:val="auto"/>
          <w:szCs w:val="30"/>
        </w:rPr>
      </w:pPr>
      <w:bookmarkStart w:id="265" w:name="_Toc13163"/>
      <w:r>
        <w:rPr>
          <w:bCs w:val="0"/>
          <w:color w:val="auto"/>
          <w:szCs w:val="30"/>
        </w:rPr>
        <w:t>3.2.3</w:t>
      </w:r>
      <w:r>
        <w:rPr>
          <w:rFonts w:eastAsia="仿宋_GB2312"/>
          <w:bCs w:val="0"/>
          <w:color w:val="auto"/>
          <w:szCs w:val="30"/>
        </w:rPr>
        <w:t>土石方平衡评价</w:t>
      </w:r>
      <w:bookmarkEnd w:id="265"/>
    </w:p>
    <w:p>
      <w:pPr>
        <w:snapToGrid w:val="0"/>
        <w:spacing w:line="360" w:lineRule="auto"/>
        <w:ind w:firstLine="480" w:firstLineChars="200"/>
        <w:rPr>
          <w:rFonts w:ascii="Times New Roman" w:hAnsi="Times New Roman" w:eastAsia="仿宋_GB2312" w:cs="Times New Roman"/>
          <w:color w:val="auto"/>
          <w:szCs w:val="24"/>
        </w:rPr>
      </w:pPr>
      <w:bookmarkStart w:id="266" w:name="_Toc1553"/>
      <w:r>
        <w:rPr>
          <w:rFonts w:hint="eastAsia" w:ascii="Times New Roman" w:hAnsi="Times New Roman" w:eastAsia="仿宋_GB2312" w:cs="Times New Roman"/>
          <w:color w:val="auto"/>
          <w:szCs w:val="24"/>
        </w:rPr>
        <w:t>（1）</w:t>
      </w:r>
      <w:r>
        <w:rPr>
          <w:rFonts w:ascii="Times New Roman" w:hAnsi="Times New Roman" w:eastAsia="仿宋_GB2312" w:cs="Times New Roman"/>
          <w:color w:val="auto"/>
          <w:szCs w:val="24"/>
        </w:rPr>
        <w:t>土石方平衡评价</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经本</w:t>
      </w:r>
      <w:r>
        <w:rPr>
          <w:rFonts w:hint="eastAsia" w:ascii="Times New Roman" w:hAnsi="Times New Roman" w:eastAsia="仿宋_GB2312" w:cs="Times New Roman"/>
          <w:color w:val="auto"/>
          <w:szCs w:val="24"/>
          <w:lang w:val="en-US" w:eastAsia="zh-CN"/>
        </w:rPr>
        <w:t>区域评估报告</w:t>
      </w:r>
      <w:r>
        <w:rPr>
          <w:rFonts w:hint="eastAsia" w:ascii="Times New Roman" w:hAnsi="Times New Roman" w:eastAsia="仿宋_GB2312" w:cs="Times New Roman"/>
          <w:color w:val="auto"/>
          <w:szCs w:val="24"/>
        </w:rPr>
        <w:t>“章节2.4土石方平衡”土石方数量计算分析表明，</w:t>
      </w:r>
      <w:r>
        <w:rPr>
          <w:rFonts w:hint="eastAsia" w:ascii="Times New Roman" w:hAnsi="Times New Roman" w:eastAsia="仿宋_GB2312" w:cs="Times New Roman"/>
          <w:color w:val="auto"/>
          <w:szCs w:val="24"/>
        </w:rPr>
        <w:t>本次规划区域</w:t>
      </w:r>
      <w:r>
        <w:rPr>
          <w:rFonts w:ascii="Times New Roman" w:hAnsi="Times New Roman" w:eastAsia="仿宋_GB2312" w:cs="Times New Roman"/>
          <w:color w:val="auto"/>
          <w:szCs w:val="24"/>
        </w:rPr>
        <w:t>挖填土石方总量为</w:t>
      </w:r>
      <w:r>
        <w:rPr>
          <w:rFonts w:hint="eastAsia" w:ascii="Times New Roman" w:hAnsi="Times New Roman" w:eastAsia="仿宋_GB2312" w:cs="Times New Roman"/>
          <w:color w:val="auto"/>
          <w:szCs w:val="24"/>
        </w:rPr>
        <w:t>157.77</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，其中开挖</w:t>
      </w:r>
      <w:r>
        <w:rPr>
          <w:rFonts w:hint="eastAsia" w:ascii="Times New Roman" w:hAnsi="Times New Roman" w:eastAsia="仿宋_GB2312" w:cs="Times New Roman"/>
          <w:color w:val="auto"/>
          <w:szCs w:val="24"/>
          <w:lang w:val="en-US" w:eastAsia="zh-CN"/>
        </w:rPr>
        <w:t>土石方</w:t>
      </w:r>
      <w:r>
        <w:rPr>
          <w:rFonts w:ascii="Times New Roman" w:hAnsi="Times New Roman" w:eastAsia="仿宋_GB2312" w:cs="Times New Roman"/>
          <w:color w:val="auto"/>
          <w:szCs w:val="24"/>
        </w:rPr>
        <w:t>量为</w:t>
      </w:r>
      <w:r>
        <w:rPr>
          <w:rFonts w:hint="eastAsia" w:ascii="Times New Roman" w:hAnsi="Times New Roman" w:eastAsia="仿宋_GB2312" w:cs="Times New Roman"/>
          <w:color w:val="auto"/>
          <w:szCs w:val="24"/>
        </w:rPr>
        <w:t>25.91</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（含剥离表土</w:t>
      </w:r>
      <w:r>
        <w:rPr>
          <w:rFonts w:hint="eastAsia" w:ascii="Times New Roman" w:hAnsi="Times New Roman" w:eastAsia="仿宋_GB2312" w:cs="Times New Roman"/>
          <w:color w:val="auto"/>
          <w:szCs w:val="24"/>
        </w:rPr>
        <w:t>4.91</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，淤泥4.73万m</w:t>
      </w:r>
      <w:r>
        <w:rPr>
          <w:rFonts w:hint="eastAsia"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）；回填</w:t>
      </w:r>
      <w:r>
        <w:rPr>
          <w:rFonts w:hint="eastAsia" w:ascii="Times New Roman" w:hAnsi="Times New Roman" w:eastAsia="仿宋_GB2312" w:cs="Times New Roman"/>
          <w:color w:val="auto"/>
          <w:szCs w:val="24"/>
          <w:lang w:val="en-US" w:eastAsia="zh-CN"/>
        </w:rPr>
        <w:t>土石方量</w:t>
      </w:r>
      <w:r>
        <w:rPr>
          <w:rFonts w:ascii="Times New Roman" w:hAnsi="Times New Roman" w:eastAsia="仿宋_GB2312" w:cs="Times New Roman"/>
          <w:color w:val="auto"/>
          <w:szCs w:val="24"/>
        </w:rPr>
        <w:t>为</w:t>
      </w:r>
      <w:r>
        <w:rPr>
          <w:rFonts w:hint="eastAsia" w:ascii="Times New Roman" w:hAnsi="Times New Roman" w:eastAsia="仿宋_GB2312" w:cs="Times New Roman"/>
          <w:color w:val="auto"/>
          <w:szCs w:val="24"/>
        </w:rPr>
        <w:t>131.86</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（含回覆表土</w:t>
      </w:r>
      <w:r>
        <w:rPr>
          <w:rFonts w:hint="eastAsia" w:ascii="Times New Roman" w:hAnsi="Times New Roman" w:eastAsia="仿宋_GB2312" w:cs="Times New Roman"/>
          <w:color w:val="auto"/>
          <w:szCs w:val="24"/>
        </w:rPr>
        <w:t>4.91</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，淤泥4.73万m</w:t>
      </w:r>
      <w:r>
        <w:rPr>
          <w:rFonts w:hint="eastAsia"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lang w:val="en-US" w:eastAsia="zh-CN"/>
        </w:rPr>
        <w:t>土石方经</w:t>
      </w:r>
      <w:r>
        <w:rPr>
          <w:rFonts w:ascii="Times New Roman" w:hAnsi="Times New Roman" w:eastAsia="仿宋_GB2312" w:cs="Times New Roman"/>
          <w:color w:val="auto"/>
          <w:szCs w:val="24"/>
        </w:rPr>
        <w:t>内部调配平衡后</w:t>
      </w:r>
      <w:r>
        <w:rPr>
          <w:rFonts w:hint="eastAsia" w:ascii="Times New Roman" w:hAnsi="Times New Roman" w:eastAsia="仿宋_GB2312" w:cs="Times New Roman"/>
          <w:color w:val="auto"/>
          <w:szCs w:val="24"/>
          <w:lang w:eastAsia="zh-CN"/>
        </w:rPr>
        <w:t>，</w:t>
      </w:r>
      <w:r>
        <w:rPr>
          <w:rFonts w:hint="eastAsia" w:ascii="Times New Roman" w:hAnsi="Times New Roman" w:eastAsia="仿宋_GB2312" w:cs="Times New Roman"/>
          <w:color w:val="auto"/>
          <w:szCs w:val="24"/>
          <w:lang w:val="en-US" w:eastAsia="zh-CN"/>
        </w:rPr>
        <w:t>不产生</w:t>
      </w:r>
      <w:r>
        <w:rPr>
          <w:rFonts w:hint="eastAsia" w:ascii="Times New Roman" w:hAnsi="Times New Roman" w:eastAsia="仿宋_GB2312" w:cs="Times New Roman"/>
          <w:color w:val="auto"/>
          <w:szCs w:val="24"/>
        </w:rPr>
        <w:t>余方，需借方105.95</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借方结合建设工期和后期实际情况，利用</w:t>
      </w:r>
      <w:r>
        <w:rPr>
          <w:rFonts w:hint="eastAsia" w:ascii="Times New Roman" w:hAnsi="Times New Roman" w:eastAsia="仿宋_GB2312" w:cs="Times New Roman"/>
          <w:color w:val="auto"/>
          <w:szCs w:val="24"/>
        </w:rPr>
        <w:t>南昌市高铁东站周边地区</w:t>
      </w:r>
      <w:r>
        <w:rPr>
          <w:rFonts w:hint="eastAsia" w:ascii="Times New Roman" w:hAnsi="Times New Roman" w:eastAsia="仿宋_GB2312" w:cs="Times New Roman"/>
          <w:color w:val="auto"/>
          <w:szCs w:val="24"/>
        </w:rPr>
        <w:t>项目的余土进行回填</w:t>
      </w:r>
      <w:r>
        <w:rPr>
          <w:rFonts w:ascii="Times New Roman" w:hAnsi="Times New Roman" w:eastAsia="仿宋_GB2312" w:cs="Times New Roman"/>
          <w:color w:val="auto"/>
          <w:szCs w:val="24"/>
        </w:rPr>
        <w:t>。</w:t>
      </w:r>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具体土石方平衡详见章节2.4</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土石方挖填平衡的水土保持评价详见表3</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2-</w:t>
      </w:r>
      <w:r>
        <w:rPr>
          <w:rFonts w:hint="eastAsia" w:ascii="Times New Roman" w:hAnsi="Times New Roman" w:eastAsia="仿宋_GB2312" w:cs="Times New Roman"/>
          <w:color w:val="auto"/>
          <w:szCs w:val="24"/>
        </w:rPr>
        <w:t>2</w:t>
      </w:r>
      <w:r>
        <w:rPr>
          <w:rFonts w:ascii="Times New Roman" w:hAnsi="Times New Roman" w:eastAsia="仿宋_GB2312" w:cs="Times New Roman"/>
          <w:color w:val="auto"/>
          <w:szCs w:val="24"/>
        </w:rPr>
        <w:t>。</w:t>
      </w:r>
    </w:p>
    <w:p>
      <w:pPr>
        <w:snapToGrid w:val="0"/>
        <w:spacing w:line="360" w:lineRule="auto"/>
        <w:jc w:val="center"/>
        <w:rPr>
          <w:rFonts w:ascii="Times New Roman" w:hAnsi="Times New Roman" w:eastAsia="仿宋_GB2312" w:cs="Times New Roman"/>
          <w:color w:val="auto"/>
          <w:szCs w:val="24"/>
        </w:rPr>
      </w:pPr>
      <w:r>
        <w:rPr>
          <w:rFonts w:ascii="Times New Roman" w:hAnsi="Times New Roman" w:eastAsia="仿宋_GB2312" w:cs="Times New Roman"/>
          <w:b/>
          <w:color w:val="auto"/>
          <w:szCs w:val="24"/>
        </w:rPr>
        <w:t>表3</w:t>
      </w:r>
      <w:r>
        <w:rPr>
          <w:rFonts w:hint="eastAsia" w:ascii="Times New Roman" w:hAnsi="Times New Roman" w:eastAsia="仿宋_GB2312" w:cs="Times New Roman"/>
          <w:b/>
          <w:color w:val="auto"/>
          <w:szCs w:val="24"/>
        </w:rPr>
        <w:t>.</w:t>
      </w:r>
      <w:r>
        <w:rPr>
          <w:rFonts w:ascii="Times New Roman" w:hAnsi="Times New Roman" w:eastAsia="仿宋_GB2312" w:cs="Times New Roman"/>
          <w:b/>
          <w:color w:val="auto"/>
          <w:szCs w:val="24"/>
        </w:rPr>
        <w:t>2-</w:t>
      </w:r>
      <w:r>
        <w:rPr>
          <w:rFonts w:hint="eastAsia" w:ascii="Times New Roman" w:hAnsi="Times New Roman" w:eastAsia="仿宋_GB2312" w:cs="Times New Roman"/>
          <w:b/>
          <w:color w:val="auto"/>
          <w:szCs w:val="24"/>
        </w:rPr>
        <w:t>2</w:t>
      </w:r>
      <w:r>
        <w:rPr>
          <w:rFonts w:ascii="Times New Roman" w:hAnsi="Times New Roman" w:eastAsia="仿宋_GB2312" w:cs="Times New Roman"/>
          <w:color w:val="auto"/>
          <w:szCs w:val="24"/>
        </w:rPr>
        <w:t>：</w:t>
      </w:r>
      <w:r>
        <w:rPr>
          <w:rFonts w:ascii="Times New Roman" w:hAnsi="Times New Roman" w:eastAsia="仿宋_GB2312" w:cs="Times New Roman"/>
          <w:b/>
          <w:color w:val="auto"/>
          <w:szCs w:val="24"/>
        </w:rPr>
        <w:t>土石方挖填平衡的水土保持评价表</w:t>
      </w:r>
    </w:p>
    <w:tbl>
      <w:tblPr>
        <w:tblStyle w:val="37"/>
        <w:tblW w:w="882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34"/>
        <w:gridCol w:w="2276"/>
        <w:gridCol w:w="4269"/>
        <w:gridCol w:w="114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6" w:hRule="atLeast"/>
          <w:tblHeader/>
          <w:jc w:val="center"/>
        </w:trPr>
        <w:tc>
          <w:tcPr>
            <w:tcW w:w="1134" w:type="dxa"/>
            <w:vAlign w:val="center"/>
          </w:tcPr>
          <w:p>
            <w:pPr>
              <w:spacing w:beforeLines="25" w:afterLines="25" w:line="240" w:lineRule="exact"/>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基本规定</w:t>
            </w:r>
          </w:p>
        </w:tc>
        <w:tc>
          <w:tcPr>
            <w:tcW w:w="2276" w:type="dxa"/>
            <w:vAlign w:val="center"/>
          </w:tcPr>
          <w:p>
            <w:pPr>
              <w:spacing w:beforeLines="25" w:afterLines="25" w:line="240" w:lineRule="exact"/>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要求内容</w:t>
            </w:r>
          </w:p>
        </w:tc>
        <w:tc>
          <w:tcPr>
            <w:tcW w:w="4269" w:type="dxa"/>
            <w:vAlign w:val="center"/>
          </w:tcPr>
          <w:p>
            <w:pPr>
              <w:spacing w:beforeLines="25" w:afterLines="25" w:line="240" w:lineRule="exact"/>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评价</w:t>
            </w:r>
          </w:p>
        </w:tc>
        <w:tc>
          <w:tcPr>
            <w:tcW w:w="1145" w:type="dxa"/>
            <w:vAlign w:val="center"/>
          </w:tcPr>
          <w:p>
            <w:pPr>
              <w:spacing w:beforeLines="25" w:afterLines="25" w:line="240" w:lineRule="exact"/>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结论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7" w:hRule="atLeast"/>
          <w:tblHeader/>
          <w:jc w:val="center"/>
        </w:trPr>
        <w:tc>
          <w:tcPr>
            <w:tcW w:w="1134" w:type="dxa"/>
            <w:vMerge w:val="restart"/>
            <w:vAlign w:val="center"/>
          </w:tcPr>
          <w:p>
            <w:pPr>
              <w:spacing w:beforeLines="25" w:afterLines="25"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一般性规定</w:t>
            </w:r>
          </w:p>
        </w:tc>
        <w:tc>
          <w:tcPr>
            <w:tcW w:w="2276" w:type="dxa"/>
            <w:vAlign w:val="center"/>
          </w:tcPr>
          <w:p>
            <w:pPr>
              <w:spacing w:beforeLines="25" w:afterLines="25" w:line="240" w:lineRule="exact"/>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（1）土石方挖填数量应符合最优化原则。</w:t>
            </w:r>
          </w:p>
        </w:tc>
        <w:tc>
          <w:tcPr>
            <w:tcW w:w="4269" w:type="dxa"/>
            <w:vAlign w:val="center"/>
          </w:tcPr>
          <w:p>
            <w:pPr>
              <w:spacing w:beforeLines="25" w:afterLines="25" w:line="240" w:lineRule="exact"/>
              <w:ind w:firstLine="420" w:firstLineChars="200"/>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评估</w:t>
            </w:r>
            <w:r>
              <w:rPr>
                <w:rFonts w:ascii="Times New Roman" w:hAnsi="Times New Roman" w:eastAsia="仿宋_GB2312" w:cs="Times New Roman"/>
                <w:color w:val="auto"/>
                <w:kern w:val="0"/>
                <w:sz w:val="21"/>
                <w:szCs w:val="21"/>
              </w:rPr>
              <w:t>区域整体地势较低</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根据</w:t>
            </w:r>
            <w:r>
              <w:rPr>
                <w:rFonts w:ascii="Times New Roman" w:hAnsi="Times New Roman" w:eastAsia="仿宋_GB2312" w:cs="Times New Roman"/>
                <w:color w:val="auto"/>
                <w:kern w:val="0"/>
                <w:sz w:val="21"/>
                <w:szCs w:val="21"/>
              </w:rPr>
              <w:t>城市整体规划</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上位规划和城区防洪排涝</w:t>
            </w:r>
            <w:r>
              <w:rPr>
                <w:rFonts w:ascii="Times New Roman" w:hAnsi="Times New Roman" w:eastAsia="仿宋_GB2312" w:cs="Times New Roman"/>
                <w:color w:val="auto"/>
                <w:kern w:val="0"/>
                <w:sz w:val="21"/>
                <w:szCs w:val="21"/>
              </w:rPr>
              <w:t>要求</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整体需外借填土以抬高地势</w:t>
            </w:r>
            <w:r>
              <w:rPr>
                <w:rFonts w:hint="eastAsia" w:ascii="Times New Roman" w:hAnsi="Times New Roman" w:eastAsia="仿宋_GB2312" w:cs="Times New Roman"/>
                <w:color w:val="auto"/>
                <w:kern w:val="0"/>
                <w:sz w:val="21"/>
                <w:szCs w:val="21"/>
              </w:rPr>
              <w:t>。规划区域内土石方挖填量主要为表土剥离、市政施工、各地块施工的土方量，各区块填方均利用自身挖方回填，不足或剩余运至周边地块利用，实现区域内开挖土方不外运，全部利用，以减少外借土方。综合管廊、</w:t>
            </w:r>
            <w:r>
              <w:rPr>
                <w:rFonts w:ascii="Times New Roman" w:hAnsi="Times New Roman" w:eastAsia="仿宋_GB2312" w:cs="Times New Roman"/>
                <w:color w:val="auto"/>
                <w:kern w:val="0"/>
                <w:sz w:val="21"/>
                <w:szCs w:val="21"/>
              </w:rPr>
              <w:t>管道埋设与道路铺设同期进行，各种工程管线同步建设，避免了重复开挖、敷设，</w:t>
            </w:r>
            <w:r>
              <w:rPr>
                <w:rFonts w:hint="eastAsia" w:ascii="Times New Roman" w:hAnsi="Times New Roman" w:eastAsia="仿宋_GB2312" w:cs="Times New Roman"/>
                <w:color w:val="auto"/>
                <w:kern w:val="0"/>
                <w:sz w:val="21"/>
                <w:szCs w:val="21"/>
              </w:rPr>
              <w:t>做到</w:t>
            </w:r>
            <w:r>
              <w:rPr>
                <w:rFonts w:ascii="Times New Roman" w:hAnsi="Times New Roman" w:eastAsia="仿宋_GB2312" w:cs="Times New Roman"/>
                <w:color w:val="auto"/>
                <w:kern w:val="0"/>
                <w:sz w:val="21"/>
                <w:szCs w:val="21"/>
              </w:rPr>
              <w:t>不弃少借。</w:t>
            </w:r>
          </w:p>
        </w:tc>
        <w:tc>
          <w:tcPr>
            <w:tcW w:w="1145" w:type="dxa"/>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0" w:hRule="atLeast"/>
          <w:tblHeader/>
          <w:jc w:val="center"/>
        </w:trPr>
        <w:tc>
          <w:tcPr>
            <w:tcW w:w="1134" w:type="dxa"/>
            <w:vMerge w:val="continue"/>
            <w:vAlign w:val="center"/>
          </w:tcPr>
          <w:p>
            <w:pPr>
              <w:spacing w:beforeLines="25" w:afterLines="25" w:line="240" w:lineRule="exact"/>
              <w:jc w:val="center"/>
              <w:rPr>
                <w:rFonts w:ascii="Times New Roman" w:hAnsi="Times New Roman" w:eastAsia="仿宋_GB2312" w:cs="Times New Roman"/>
                <w:color w:val="auto"/>
                <w:kern w:val="0"/>
                <w:sz w:val="21"/>
                <w:szCs w:val="21"/>
              </w:rPr>
            </w:pPr>
          </w:p>
        </w:tc>
        <w:tc>
          <w:tcPr>
            <w:tcW w:w="2276" w:type="dxa"/>
            <w:vAlign w:val="center"/>
          </w:tcPr>
          <w:p>
            <w:pPr>
              <w:spacing w:beforeLines="25" w:afterLines="25" w:line="240" w:lineRule="exact"/>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（2）土石方调运应符合节点适宜、时序可行、运距合理原则。</w:t>
            </w:r>
          </w:p>
        </w:tc>
        <w:tc>
          <w:tcPr>
            <w:tcW w:w="4269" w:type="dxa"/>
            <w:vAlign w:val="center"/>
          </w:tcPr>
          <w:p>
            <w:pPr>
              <w:spacing w:beforeLines="25" w:afterLines="25" w:line="240" w:lineRule="exact"/>
              <w:ind w:firstLine="420" w:firstLineChars="200"/>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规划</w:t>
            </w:r>
            <w:r>
              <w:rPr>
                <w:rFonts w:ascii="Times New Roman" w:hAnsi="Times New Roman" w:eastAsia="仿宋_GB2312" w:cs="Times New Roman"/>
                <w:color w:val="auto"/>
                <w:kern w:val="0"/>
                <w:sz w:val="21"/>
                <w:szCs w:val="21"/>
              </w:rPr>
              <w:t>区域内开挖土方就近回填利用，</w:t>
            </w:r>
            <w:r>
              <w:rPr>
                <w:rFonts w:hint="eastAsia" w:ascii="Times New Roman" w:hAnsi="Times New Roman" w:eastAsia="仿宋_GB2312" w:cs="Times New Roman"/>
                <w:color w:val="auto"/>
                <w:kern w:val="0"/>
                <w:sz w:val="21"/>
                <w:szCs w:val="21"/>
              </w:rPr>
              <w:t>土方</w:t>
            </w:r>
            <w:r>
              <w:rPr>
                <w:rFonts w:ascii="Times New Roman" w:hAnsi="Times New Roman" w:eastAsia="仿宋_GB2312" w:cs="Times New Roman"/>
                <w:color w:val="auto"/>
                <w:kern w:val="0"/>
                <w:sz w:val="21"/>
                <w:szCs w:val="21"/>
              </w:rPr>
              <w:t>结合开发建设进度综合调配</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在区域内设置有临时表土堆场和</w:t>
            </w:r>
            <w:r>
              <w:rPr>
                <w:rFonts w:hint="eastAsia" w:ascii="Times New Roman" w:hAnsi="Times New Roman" w:eastAsia="仿宋_GB2312" w:cs="Times New Roman"/>
                <w:color w:val="auto"/>
                <w:kern w:val="0"/>
                <w:sz w:val="21"/>
                <w:szCs w:val="21"/>
              </w:rPr>
              <w:t>晾干淤泥堆场</w:t>
            </w:r>
            <w:r>
              <w:rPr>
                <w:rFonts w:ascii="Times New Roman" w:hAnsi="Times New Roman" w:eastAsia="仿宋_GB2312" w:cs="Times New Roman"/>
                <w:color w:val="auto"/>
                <w:kern w:val="0"/>
                <w:sz w:val="21"/>
                <w:szCs w:val="21"/>
              </w:rPr>
              <w:t>进行堆放</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便于区域内土石方时序可行</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运距合理。</w:t>
            </w:r>
          </w:p>
        </w:tc>
        <w:tc>
          <w:tcPr>
            <w:tcW w:w="1145" w:type="dxa"/>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tblHeader/>
          <w:jc w:val="center"/>
        </w:trPr>
        <w:tc>
          <w:tcPr>
            <w:tcW w:w="1134" w:type="dxa"/>
            <w:vMerge w:val="continue"/>
            <w:vAlign w:val="center"/>
          </w:tcPr>
          <w:p>
            <w:pPr>
              <w:spacing w:beforeLines="25" w:afterLines="25" w:line="240" w:lineRule="exact"/>
              <w:jc w:val="center"/>
              <w:rPr>
                <w:rFonts w:ascii="Times New Roman" w:hAnsi="Times New Roman" w:eastAsia="仿宋_GB2312" w:cs="Times New Roman"/>
                <w:color w:val="auto"/>
                <w:kern w:val="0"/>
                <w:sz w:val="21"/>
                <w:szCs w:val="21"/>
              </w:rPr>
            </w:pPr>
          </w:p>
        </w:tc>
        <w:tc>
          <w:tcPr>
            <w:tcW w:w="2276" w:type="dxa"/>
            <w:vAlign w:val="center"/>
          </w:tcPr>
          <w:p>
            <w:pPr>
              <w:spacing w:beforeLines="25" w:afterLines="25" w:line="240" w:lineRule="exact"/>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（3）余方应首先考虑综合利用。</w:t>
            </w:r>
          </w:p>
        </w:tc>
        <w:tc>
          <w:tcPr>
            <w:tcW w:w="4269" w:type="dxa"/>
            <w:vAlign w:val="center"/>
          </w:tcPr>
          <w:p>
            <w:pPr>
              <w:spacing w:beforeLines="25" w:afterLines="25" w:line="240" w:lineRule="exact"/>
              <w:ind w:firstLine="420" w:firstLineChars="200"/>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评估区域体地势较低</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根据城市整体规划和城区防洪排涝要求</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整体需外借填土以抬高地势</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开发建设过程中</w:t>
            </w:r>
            <w:r>
              <w:rPr>
                <w:rFonts w:hint="eastAsia" w:ascii="Times New Roman" w:hAnsi="Times New Roman" w:eastAsia="仿宋_GB2312" w:cs="Times New Roman"/>
                <w:color w:val="auto"/>
                <w:kern w:val="0"/>
                <w:sz w:val="21"/>
                <w:szCs w:val="21"/>
              </w:rPr>
              <w:t>，区域内开挖土石方全部就近回填利用以抬高地势，无余方的产生。</w:t>
            </w:r>
          </w:p>
        </w:tc>
        <w:tc>
          <w:tcPr>
            <w:tcW w:w="1145" w:type="dxa"/>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tblHeader/>
          <w:jc w:val="center"/>
        </w:trPr>
        <w:tc>
          <w:tcPr>
            <w:tcW w:w="1134" w:type="dxa"/>
            <w:vMerge w:val="continue"/>
            <w:vAlign w:val="center"/>
          </w:tcPr>
          <w:p>
            <w:pPr>
              <w:spacing w:beforeLines="25" w:afterLines="25" w:line="240" w:lineRule="exact"/>
              <w:jc w:val="center"/>
              <w:rPr>
                <w:rFonts w:ascii="Times New Roman" w:hAnsi="Times New Roman" w:eastAsia="仿宋_GB2312" w:cs="Times New Roman"/>
                <w:color w:val="auto"/>
                <w:kern w:val="0"/>
                <w:sz w:val="21"/>
                <w:szCs w:val="21"/>
              </w:rPr>
            </w:pPr>
          </w:p>
        </w:tc>
        <w:tc>
          <w:tcPr>
            <w:tcW w:w="2276" w:type="dxa"/>
            <w:vAlign w:val="center"/>
          </w:tcPr>
          <w:p>
            <w:pPr>
              <w:spacing w:beforeLines="25" w:afterLines="25" w:line="240" w:lineRule="exact"/>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w:t>
            </w:r>
            <w:r>
              <w:rPr>
                <w:rFonts w:hint="eastAsia" w:ascii="Times New Roman" w:hAnsi="Times New Roman" w:eastAsia="仿宋_GB2312" w:cs="Times New Roman"/>
                <w:color w:val="auto"/>
                <w:kern w:val="0"/>
                <w:sz w:val="21"/>
                <w:szCs w:val="21"/>
              </w:rPr>
              <w:t>4</w:t>
            </w:r>
            <w:r>
              <w:rPr>
                <w:rFonts w:ascii="Times New Roman" w:hAnsi="Times New Roman" w:eastAsia="仿宋_GB2312" w:cs="Times New Roman"/>
                <w:color w:val="auto"/>
                <w:kern w:val="0"/>
                <w:sz w:val="21"/>
                <w:szCs w:val="21"/>
              </w:rPr>
              <w:t>）外借土石方应优先考虑利用其他工程废弃的土（石、渣），外购土（石、料）应选择合规的料场。</w:t>
            </w:r>
          </w:p>
        </w:tc>
        <w:tc>
          <w:tcPr>
            <w:tcW w:w="4269" w:type="dxa"/>
            <w:vAlign w:val="center"/>
          </w:tcPr>
          <w:p>
            <w:pPr>
              <w:spacing w:beforeLines="25" w:afterLines="25" w:line="240" w:lineRule="exact"/>
              <w:ind w:firstLine="420" w:firstLineChars="200"/>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评估区域共计需外借土方</w:t>
            </w:r>
            <w:r>
              <w:rPr>
                <w:rFonts w:hint="eastAsia" w:ascii="Times New Roman" w:hAnsi="Times New Roman" w:eastAsia="仿宋_GB2312" w:cs="Times New Roman"/>
                <w:color w:val="auto"/>
                <w:sz w:val="21"/>
                <w:szCs w:val="21"/>
              </w:rPr>
              <w:t>105.95</w:t>
            </w:r>
            <w:r>
              <w:rPr>
                <w:rFonts w:ascii="Times New Roman" w:hAnsi="Times New Roman" w:eastAsia="仿宋_GB2312" w:cs="Times New Roman"/>
                <w:color w:val="auto"/>
                <w:sz w:val="21"/>
                <w:szCs w:val="21"/>
              </w:rPr>
              <w:t>万m</w:t>
            </w:r>
            <w:r>
              <w:rPr>
                <w:rFonts w:ascii="Times New Roman" w:hAnsi="Times New Roman" w:eastAsia="仿宋_GB2312" w:cs="Times New Roman"/>
                <w:color w:val="auto"/>
                <w:sz w:val="21"/>
                <w:szCs w:val="21"/>
                <w:vertAlign w:val="superscript"/>
              </w:rPr>
              <w:t>3</w:t>
            </w:r>
            <w:r>
              <w:rPr>
                <w:rFonts w:hint="eastAsia" w:ascii="Times New Roman" w:hAnsi="Times New Roman" w:eastAsia="仿宋_GB2312" w:cs="Times New Roman"/>
                <w:color w:val="auto"/>
                <w:kern w:val="0"/>
                <w:sz w:val="21"/>
                <w:szCs w:val="21"/>
              </w:rPr>
              <w:t>，借方结合建设工期和后期实际情况，利用</w:t>
            </w:r>
            <w:r>
              <w:rPr>
                <w:rFonts w:hint="eastAsia" w:ascii="Times New Roman" w:hAnsi="Times New Roman" w:eastAsia="仿宋_GB2312" w:cs="Times New Roman"/>
                <w:color w:val="auto"/>
                <w:kern w:val="0"/>
                <w:sz w:val="21"/>
                <w:szCs w:val="21"/>
              </w:rPr>
              <w:t>南昌市高铁东站周边地区</w:t>
            </w:r>
            <w:r>
              <w:rPr>
                <w:rFonts w:hint="eastAsia" w:ascii="Times New Roman" w:hAnsi="Times New Roman" w:eastAsia="仿宋_GB2312" w:cs="Times New Roman"/>
                <w:color w:val="auto"/>
                <w:kern w:val="0"/>
                <w:sz w:val="21"/>
                <w:szCs w:val="21"/>
              </w:rPr>
              <w:t>的项目的余土进行回填</w:t>
            </w:r>
            <w:r>
              <w:rPr>
                <w:rFonts w:ascii="Times New Roman" w:hAnsi="Times New Roman" w:eastAsia="仿宋_GB2312" w:cs="Times New Roman"/>
                <w:color w:val="auto"/>
                <w:kern w:val="0"/>
                <w:sz w:val="21"/>
                <w:szCs w:val="21"/>
              </w:rPr>
              <w:t>。</w:t>
            </w:r>
          </w:p>
        </w:tc>
        <w:tc>
          <w:tcPr>
            <w:tcW w:w="1145" w:type="dxa"/>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59" w:hRule="atLeast"/>
          <w:tblHeader/>
          <w:jc w:val="center"/>
        </w:trPr>
        <w:tc>
          <w:tcPr>
            <w:tcW w:w="1134" w:type="dxa"/>
            <w:vMerge w:val="continue"/>
            <w:vAlign w:val="center"/>
          </w:tcPr>
          <w:p>
            <w:pPr>
              <w:spacing w:beforeLines="25" w:afterLines="25" w:line="240" w:lineRule="exact"/>
              <w:jc w:val="center"/>
              <w:rPr>
                <w:rFonts w:ascii="Times New Roman" w:hAnsi="Times New Roman" w:eastAsia="仿宋_GB2312" w:cs="Times New Roman"/>
                <w:color w:val="auto"/>
                <w:kern w:val="0"/>
                <w:sz w:val="21"/>
                <w:szCs w:val="21"/>
              </w:rPr>
            </w:pPr>
          </w:p>
        </w:tc>
        <w:tc>
          <w:tcPr>
            <w:tcW w:w="2276" w:type="dxa"/>
            <w:vAlign w:val="center"/>
          </w:tcPr>
          <w:p>
            <w:pPr>
              <w:spacing w:beforeLines="25" w:afterLines="25" w:line="240" w:lineRule="exact"/>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w:t>
            </w:r>
            <w:r>
              <w:rPr>
                <w:rFonts w:hint="eastAsia" w:ascii="Times New Roman" w:hAnsi="Times New Roman" w:eastAsia="仿宋_GB2312" w:cs="Times New Roman"/>
                <w:color w:val="auto"/>
                <w:kern w:val="0"/>
                <w:sz w:val="21"/>
                <w:szCs w:val="21"/>
              </w:rPr>
              <w:t>5</w:t>
            </w:r>
            <w:r>
              <w:rPr>
                <w:rFonts w:ascii="Times New Roman" w:hAnsi="Times New Roman" w:eastAsia="仿宋_GB2312" w:cs="Times New Roman"/>
                <w:color w:val="auto"/>
                <w:kern w:val="0"/>
                <w:sz w:val="21"/>
                <w:szCs w:val="21"/>
              </w:rPr>
              <w:t>）工程标段划分应考虑合理调配土石方，减少取土（石）方、弃土（石、渣）方和临时占地数量。</w:t>
            </w:r>
          </w:p>
        </w:tc>
        <w:tc>
          <w:tcPr>
            <w:tcW w:w="4269" w:type="dxa"/>
            <w:vAlign w:val="center"/>
          </w:tcPr>
          <w:p>
            <w:pPr>
              <w:spacing w:beforeLines="25" w:afterLines="25" w:line="240" w:lineRule="exact"/>
              <w:ind w:firstLine="420" w:firstLineChars="200"/>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评估区域开发建设未划分标段</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整体为由东向西的方向进行开发建设</w:t>
            </w:r>
            <w:r>
              <w:rPr>
                <w:rFonts w:hint="eastAsia" w:ascii="Times New Roman" w:hAnsi="Times New Roman" w:eastAsia="仿宋_GB2312" w:cs="Times New Roman"/>
                <w:color w:val="auto"/>
                <w:kern w:val="0"/>
                <w:sz w:val="21"/>
                <w:szCs w:val="21"/>
              </w:rPr>
              <w:t>，先道路后周边地块。</w:t>
            </w:r>
            <w:r>
              <w:rPr>
                <w:rFonts w:ascii="Times New Roman" w:hAnsi="Times New Roman" w:eastAsia="仿宋_GB2312" w:cs="Times New Roman"/>
                <w:color w:val="auto"/>
                <w:kern w:val="0"/>
                <w:sz w:val="21"/>
                <w:szCs w:val="21"/>
              </w:rPr>
              <w:t>评估区域体地势较低</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根据城市整体规划和城区防洪排涝要求</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整体需外借填土以抬高地势</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开发建设过程中</w:t>
            </w:r>
            <w:r>
              <w:rPr>
                <w:rFonts w:hint="eastAsia" w:ascii="Times New Roman" w:hAnsi="Times New Roman" w:eastAsia="仿宋_GB2312" w:cs="Times New Roman"/>
                <w:color w:val="auto"/>
                <w:kern w:val="0"/>
                <w:sz w:val="21"/>
                <w:szCs w:val="21"/>
              </w:rPr>
              <w:t>，区域内开挖土石方全部就近回填利用以抬高地势，无余方的产生。</w:t>
            </w:r>
            <w:r>
              <w:rPr>
                <w:rFonts w:ascii="Times New Roman" w:hAnsi="Times New Roman" w:eastAsia="仿宋_GB2312" w:cs="Times New Roman"/>
                <w:color w:val="auto"/>
                <w:kern w:val="0"/>
                <w:sz w:val="21"/>
                <w:szCs w:val="21"/>
              </w:rPr>
              <w:t>区域内各独立子项单独施工</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结合入驻企业用地实际情况进行地块平整回填</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区域内设置有临时表土堆场和</w:t>
            </w:r>
            <w:r>
              <w:rPr>
                <w:rFonts w:hint="eastAsia" w:ascii="Times New Roman" w:hAnsi="Times New Roman" w:eastAsia="仿宋_GB2312" w:cs="Times New Roman"/>
                <w:color w:val="auto"/>
                <w:kern w:val="0"/>
                <w:sz w:val="21"/>
                <w:szCs w:val="21"/>
              </w:rPr>
              <w:t>晾干淤泥堆场</w:t>
            </w:r>
            <w:r>
              <w:rPr>
                <w:rFonts w:ascii="Times New Roman" w:hAnsi="Times New Roman" w:eastAsia="仿宋_GB2312" w:cs="Times New Roman"/>
                <w:color w:val="auto"/>
                <w:kern w:val="0"/>
                <w:sz w:val="21"/>
                <w:szCs w:val="21"/>
              </w:rPr>
              <w:t>用于临时进行堆放</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便于区域内土石方时序可行</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运距合理。临时表土堆场和</w:t>
            </w:r>
            <w:r>
              <w:rPr>
                <w:rFonts w:hint="eastAsia" w:ascii="Times New Roman" w:hAnsi="Times New Roman" w:eastAsia="仿宋_GB2312" w:cs="Times New Roman"/>
                <w:color w:val="auto"/>
                <w:kern w:val="0"/>
                <w:sz w:val="21"/>
                <w:szCs w:val="21"/>
              </w:rPr>
              <w:t>晾干淤泥堆场</w:t>
            </w:r>
            <w:r>
              <w:rPr>
                <w:rFonts w:ascii="Times New Roman" w:hAnsi="Times New Roman" w:eastAsia="仿宋_GB2312" w:cs="Times New Roman"/>
                <w:color w:val="auto"/>
                <w:kern w:val="0"/>
                <w:sz w:val="21"/>
                <w:szCs w:val="21"/>
              </w:rPr>
              <w:t>均设置于区域征地范围内</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无需占用范围外的临时占地</w:t>
            </w:r>
            <w:r>
              <w:rPr>
                <w:rFonts w:hint="eastAsia" w:ascii="Times New Roman" w:hAnsi="Times New Roman" w:eastAsia="仿宋_GB2312" w:cs="Times New Roman"/>
                <w:color w:val="auto"/>
                <w:kern w:val="0"/>
                <w:sz w:val="21"/>
                <w:szCs w:val="21"/>
              </w:rPr>
              <w:t>。</w:t>
            </w:r>
          </w:p>
        </w:tc>
        <w:tc>
          <w:tcPr>
            <w:tcW w:w="1145" w:type="dxa"/>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符合要求</w:t>
            </w:r>
          </w:p>
        </w:tc>
      </w:tr>
    </w:tbl>
    <w:p>
      <w:pPr>
        <w:snapToGrid w:val="0"/>
        <w:spacing w:beforeLines="50"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（2）</w:t>
      </w:r>
      <w:r>
        <w:rPr>
          <w:rFonts w:ascii="Times New Roman" w:hAnsi="Times New Roman" w:eastAsia="仿宋_GB2312" w:cs="Times New Roman"/>
          <w:color w:val="auto"/>
          <w:szCs w:val="24"/>
        </w:rPr>
        <w:t>表土资源保护评价</w:t>
      </w:r>
    </w:p>
    <w:p>
      <w:pPr>
        <w:snapToGrid w:val="0"/>
        <w:spacing w:line="360" w:lineRule="auto"/>
        <w:ind w:firstLine="480"/>
        <w:rPr>
          <w:rFonts w:ascii="Times New Roman" w:hAnsi="Times New Roman" w:eastAsia="仿宋_GB2312" w:cs="Times New Roman"/>
          <w:color w:val="auto"/>
          <w:szCs w:val="24"/>
        </w:rPr>
      </w:pPr>
      <w:r>
        <w:rPr>
          <w:rFonts w:ascii="Times New Roman" w:hAnsi="Times New Roman" w:eastAsia="仿宋_GB2312" w:cs="Times New Roman"/>
          <w:color w:val="auto"/>
          <w:szCs w:val="24"/>
        </w:rPr>
        <w:t>根据</w:t>
      </w:r>
      <w:r>
        <w:rPr>
          <w:rFonts w:hint="eastAsia" w:ascii="Times New Roman" w:hAnsi="Times New Roman" w:eastAsia="仿宋_GB2312" w:cs="Times New Roman"/>
          <w:color w:val="auto"/>
          <w:szCs w:val="24"/>
        </w:rPr>
        <w:t>区域</w:t>
      </w:r>
      <w:r>
        <w:rPr>
          <w:rFonts w:ascii="Times New Roman" w:hAnsi="Times New Roman" w:eastAsia="仿宋_GB2312" w:cs="Times New Roman"/>
          <w:color w:val="auto"/>
          <w:szCs w:val="24"/>
        </w:rPr>
        <w:t>规划设计资料</w:t>
      </w:r>
      <w:r>
        <w:rPr>
          <w:rFonts w:hint="eastAsia" w:ascii="Times New Roman" w:hAnsi="Times New Roman" w:eastAsia="仿宋_GB2312" w:cs="Times New Roman"/>
          <w:color w:val="auto"/>
          <w:szCs w:val="24"/>
        </w:rPr>
        <w:t>和</w:t>
      </w:r>
      <w:r>
        <w:rPr>
          <w:rFonts w:ascii="Times New Roman" w:hAnsi="Times New Roman" w:eastAsia="仿宋_GB2312" w:cs="Times New Roman"/>
          <w:color w:val="auto"/>
          <w:szCs w:val="24"/>
        </w:rPr>
        <w:t>现场调查，评估区域范围内原始占地</w:t>
      </w:r>
      <w:r>
        <w:rPr>
          <w:rFonts w:hint="eastAsia" w:ascii="Times New Roman" w:hAnsi="Times New Roman" w:eastAsia="仿宋_GB2312" w:cs="Times New Roman"/>
          <w:color w:val="auto"/>
          <w:szCs w:val="24"/>
        </w:rPr>
        <w:t>类型包括耕地、林地、草地、水域及水利设施用地、住宅用地、工矿仓储用地、交通运输用地和其他土地。其中耕地、林地、草地部分均有可用表土剥离。其中耕地、林地表土剥离平均厚度按0.3m计，草地表土剥离平均厚度按0.2m计。可剥离表土面积16.96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。其中耕地面积12.11hm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，林地面积3.06hm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，草地面积1.79hm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。区域内可剥离剥离表土4.91万m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。规划区剥离表土全部用于项目区内部绿化附土使用。</w:t>
      </w:r>
    </w:p>
    <w:p>
      <w:pPr>
        <w:snapToGrid w:val="0"/>
        <w:spacing w:line="360" w:lineRule="auto"/>
        <w:ind w:firstLine="48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根据开发建设时序安排，各地块施工前剥离的表土集中临时堆置于</w:t>
      </w:r>
      <w:r>
        <w:rPr>
          <w:rFonts w:hint="eastAsia" w:ascii="Times New Roman" w:hAnsi="Times New Roman" w:eastAsia="仿宋_GB2312" w:cs="Times New Roman"/>
          <w:color w:val="auto"/>
          <w:szCs w:val="24"/>
        </w:rPr>
        <w:t>E22</w:t>
      </w:r>
      <w:r>
        <w:rPr>
          <w:rFonts w:hint="eastAsia" w:ascii="Times New Roman" w:hAnsi="Times New Roman" w:eastAsia="仿宋_GB2312" w:cs="Times New Roman"/>
          <w:color w:val="auto"/>
          <w:szCs w:val="24"/>
        </w:rPr>
        <w:t>地块的临时表土堆场内，绿化建设时根据自身需要从表土堆存点调运。临时表土堆场占地面积为2.45hm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，表土最大堆放高度3m。表土临时堆放过程中需采取临时拦挡、排水、沉沙、覆盖、撒播草籽等临时性防护措施，防止表土流失，符合水土保持要求。</w:t>
      </w:r>
    </w:p>
    <w:p>
      <w:pPr>
        <w:pStyle w:val="6"/>
        <w:spacing w:line="360" w:lineRule="auto"/>
        <w:rPr>
          <w:rFonts w:eastAsia="仿宋_GB2312"/>
          <w:bCs w:val="0"/>
          <w:color w:val="auto"/>
          <w:szCs w:val="30"/>
        </w:rPr>
      </w:pPr>
      <w:r>
        <w:rPr>
          <w:rFonts w:eastAsia="仿宋_GB2312"/>
          <w:bCs w:val="0"/>
          <w:color w:val="auto"/>
          <w:szCs w:val="30"/>
        </w:rPr>
        <w:t>3.2.4取土场设置评价</w:t>
      </w:r>
    </w:p>
    <w:p>
      <w:pPr>
        <w:snapToGrid w:val="0"/>
        <w:spacing w:line="360" w:lineRule="auto"/>
        <w:ind w:firstLine="480" w:firstLineChars="200"/>
        <w:rPr>
          <w:rFonts w:eastAsia="仿宋_GB2312"/>
          <w:color w:val="auto"/>
        </w:rPr>
      </w:pPr>
      <w:r>
        <w:rPr>
          <w:rFonts w:eastAsia="仿宋_GB2312"/>
          <w:color w:val="auto"/>
        </w:rPr>
        <w:t>本</w:t>
      </w:r>
      <w:r>
        <w:rPr>
          <w:rFonts w:hint="eastAsia" w:ascii="Times New Roman" w:hAnsi="Times New Roman" w:eastAsia="仿宋_GB2312" w:cs="Times New Roman"/>
          <w:color w:val="auto"/>
          <w:szCs w:val="24"/>
        </w:rPr>
        <w:t>区域</w:t>
      </w:r>
      <w:r>
        <w:rPr>
          <w:rFonts w:eastAsia="仿宋_GB2312"/>
          <w:color w:val="auto"/>
        </w:rPr>
        <w:t>经场地内土石方调配平衡后</w:t>
      </w:r>
      <w:r>
        <w:rPr>
          <w:rFonts w:hint="eastAsia" w:eastAsia="仿宋_GB2312"/>
          <w:color w:val="auto"/>
        </w:rPr>
        <w:t>需</w:t>
      </w:r>
      <w:r>
        <w:rPr>
          <w:rFonts w:eastAsia="仿宋_GB2312"/>
          <w:color w:val="auto"/>
        </w:rPr>
        <w:t>借</w:t>
      </w:r>
      <w:r>
        <w:rPr>
          <w:rFonts w:ascii="Times New Roman" w:eastAsia="仿宋_GB2312" w:cs="Times New Roman"/>
          <w:color w:val="auto"/>
        </w:rPr>
        <w:t>土</w:t>
      </w:r>
      <w:r>
        <w:rPr>
          <w:rFonts w:ascii="Times New Roman" w:hAnsi="Times New Roman" w:eastAsia="仿宋_GB2312" w:cs="Times New Roman"/>
          <w:color w:val="auto"/>
        </w:rPr>
        <w:t>105.95</w:t>
      </w:r>
      <w:r>
        <w:rPr>
          <w:rFonts w:ascii="Times New Roman" w:eastAsia="仿宋_GB2312" w:cs="Times New Roman"/>
          <w:color w:val="auto"/>
        </w:rPr>
        <w:t>万</w:t>
      </w:r>
      <w:r>
        <w:rPr>
          <w:rFonts w:ascii="Times New Roman" w:hAnsi="Times New Roman" w:eastAsia="仿宋_GB2312" w:cs="Times New Roman"/>
          <w:color w:val="auto"/>
        </w:rPr>
        <w:t>m</w:t>
      </w:r>
      <w:r>
        <w:rPr>
          <w:rFonts w:ascii="Times New Roman" w:hAnsi="Times New Roman" w:eastAsia="仿宋_GB2312" w:cs="Times New Roman"/>
          <w:color w:val="auto"/>
          <w:vertAlign w:val="superscript"/>
        </w:rPr>
        <w:t>3</w:t>
      </w:r>
      <w:r>
        <w:rPr>
          <w:rFonts w:ascii="Times New Roman" w:eastAsia="仿宋_GB2312" w:cs="Times New Roman"/>
          <w:color w:val="auto"/>
        </w:rPr>
        <w:t>，</w:t>
      </w:r>
      <w:r>
        <w:rPr>
          <w:rFonts w:ascii="Times New Roman" w:hAnsi="Times New Roman" w:eastAsia="仿宋_GB2312" w:cs="Times New Roman"/>
          <w:color w:val="auto"/>
          <w:szCs w:val="24"/>
        </w:rPr>
        <w:t>借方结合建</w:t>
      </w:r>
      <w:r>
        <w:rPr>
          <w:rFonts w:hint="eastAsia" w:ascii="Times New Roman" w:hAnsi="Times New Roman" w:eastAsia="仿宋_GB2312" w:cs="Times New Roman"/>
          <w:color w:val="auto"/>
          <w:szCs w:val="24"/>
        </w:rPr>
        <w:t>设工期和后期实际情况，利用</w:t>
      </w:r>
      <w:r>
        <w:rPr>
          <w:rFonts w:hint="eastAsia" w:ascii="Times New Roman" w:hAnsi="Times New Roman" w:eastAsia="仿宋_GB2312" w:cs="Times New Roman"/>
          <w:color w:val="auto"/>
          <w:szCs w:val="24"/>
        </w:rPr>
        <w:t>南昌市高铁东站周边地区项目</w:t>
      </w:r>
      <w:r>
        <w:rPr>
          <w:rFonts w:hint="eastAsia" w:ascii="Times New Roman" w:hAnsi="Times New Roman" w:eastAsia="仿宋_GB2312" w:cs="Times New Roman"/>
          <w:color w:val="auto"/>
          <w:szCs w:val="24"/>
        </w:rPr>
        <w:t>的余土进行回填，</w:t>
      </w:r>
      <w:r>
        <w:rPr>
          <w:rFonts w:eastAsia="仿宋_GB2312"/>
          <w:color w:val="auto"/>
        </w:rPr>
        <w:t>不设置取土场。</w:t>
      </w:r>
    </w:p>
    <w:p>
      <w:pPr>
        <w:pStyle w:val="6"/>
        <w:spacing w:line="360" w:lineRule="auto"/>
        <w:rPr>
          <w:rFonts w:eastAsia="仿宋_GB2312"/>
          <w:bCs w:val="0"/>
          <w:color w:val="auto"/>
          <w:szCs w:val="30"/>
        </w:rPr>
      </w:pPr>
      <w:r>
        <w:rPr>
          <w:rFonts w:eastAsia="仿宋_GB2312"/>
          <w:bCs w:val="0"/>
          <w:color w:val="auto"/>
          <w:szCs w:val="30"/>
        </w:rPr>
        <w:t>3.2.5弃土场设置评价</w:t>
      </w:r>
    </w:p>
    <w:p>
      <w:pPr>
        <w:snapToGrid w:val="0"/>
        <w:spacing w:line="360" w:lineRule="auto"/>
        <w:ind w:firstLine="480" w:firstLineChars="200"/>
        <w:rPr>
          <w:rFonts w:eastAsia="仿宋_GB2312"/>
          <w:color w:val="auto"/>
        </w:rPr>
      </w:pPr>
      <w:r>
        <w:rPr>
          <w:rFonts w:eastAsia="仿宋_GB2312"/>
          <w:color w:val="auto"/>
        </w:rPr>
        <w:t>本</w:t>
      </w:r>
      <w:r>
        <w:rPr>
          <w:rFonts w:hint="eastAsia" w:ascii="Times New Roman" w:hAnsi="Times New Roman" w:eastAsia="仿宋_GB2312" w:cs="Times New Roman"/>
          <w:color w:val="auto"/>
          <w:szCs w:val="24"/>
        </w:rPr>
        <w:t>区域建设需大量借土，场地内开挖土石方充分利用，用于平整、抬高地势等，</w:t>
      </w:r>
      <w:r>
        <w:rPr>
          <w:rFonts w:eastAsia="仿宋_GB2312"/>
          <w:color w:val="auto"/>
        </w:rPr>
        <w:t>无弃土</w:t>
      </w:r>
      <w:r>
        <w:rPr>
          <w:rFonts w:hint="eastAsia" w:ascii="Times New Roman" w:hAnsi="Times New Roman" w:eastAsia="仿宋_GB2312" w:cs="Times New Roman"/>
          <w:color w:val="auto"/>
          <w:szCs w:val="24"/>
        </w:rPr>
        <w:t>，不设置弃土场</w:t>
      </w:r>
      <w:r>
        <w:rPr>
          <w:rFonts w:ascii="Times New Roman" w:hAnsi="Times New Roman" w:eastAsia="仿宋_GB2312" w:cs="Times New Roman"/>
          <w:color w:val="auto"/>
          <w:szCs w:val="24"/>
        </w:rPr>
        <w:t>。</w:t>
      </w:r>
    </w:p>
    <w:p>
      <w:pPr>
        <w:pStyle w:val="6"/>
        <w:spacing w:line="360" w:lineRule="auto"/>
        <w:rPr>
          <w:bCs w:val="0"/>
          <w:color w:val="auto"/>
          <w:szCs w:val="30"/>
        </w:rPr>
      </w:pPr>
      <w:r>
        <w:rPr>
          <w:bCs w:val="0"/>
          <w:color w:val="auto"/>
          <w:szCs w:val="30"/>
        </w:rPr>
        <w:t>3.2.</w:t>
      </w:r>
      <w:r>
        <w:rPr>
          <w:rFonts w:hint="eastAsia"/>
          <w:bCs w:val="0"/>
          <w:color w:val="auto"/>
          <w:szCs w:val="30"/>
        </w:rPr>
        <w:t>6</w:t>
      </w:r>
      <w:r>
        <w:rPr>
          <w:rFonts w:eastAsia="仿宋_GB2312"/>
          <w:bCs w:val="0"/>
          <w:color w:val="auto"/>
          <w:szCs w:val="30"/>
        </w:rPr>
        <w:t>施工方法与工艺评价</w:t>
      </w:r>
      <w:bookmarkEnd w:id="266"/>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对本工程</w:t>
      </w:r>
      <w:r>
        <w:rPr>
          <w:rFonts w:hint="eastAsia" w:ascii="Times New Roman" w:hAnsi="Times New Roman" w:eastAsia="仿宋_GB2312" w:cs="Times New Roman"/>
          <w:color w:val="auto"/>
          <w:szCs w:val="24"/>
        </w:rPr>
        <w:t>施工</w:t>
      </w:r>
      <w:r>
        <w:rPr>
          <w:rFonts w:ascii="Times New Roman" w:hAnsi="Times New Roman" w:eastAsia="仿宋_GB2312" w:cs="Times New Roman"/>
          <w:color w:val="auto"/>
          <w:szCs w:val="24"/>
        </w:rPr>
        <w:t>方法与工艺的水土保持评价见表3</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2-</w:t>
      </w:r>
      <w:r>
        <w:rPr>
          <w:rFonts w:hint="eastAsia" w:ascii="Times New Roman" w:hAnsi="Times New Roman" w:eastAsia="仿宋_GB2312" w:cs="Times New Roman"/>
          <w:color w:val="auto"/>
          <w:szCs w:val="24"/>
        </w:rPr>
        <w:t>3</w:t>
      </w:r>
      <w:r>
        <w:rPr>
          <w:rFonts w:ascii="Times New Roman" w:hAnsi="Times New Roman" w:eastAsia="仿宋_GB2312" w:cs="Times New Roman"/>
          <w:color w:val="auto"/>
          <w:szCs w:val="24"/>
        </w:rPr>
        <w:t>。</w:t>
      </w:r>
    </w:p>
    <w:p>
      <w:pPr>
        <w:spacing w:line="360" w:lineRule="auto"/>
        <w:jc w:val="center"/>
        <w:rPr>
          <w:rFonts w:ascii="Times New Roman" w:hAnsi="Times New Roman" w:eastAsia="仿宋_GB2312" w:cs="Times New Roman"/>
          <w:color w:val="auto"/>
          <w:szCs w:val="24"/>
        </w:rPr>
      </w:pPr>
      <w:r>
        <w:rPr>
          <w:rFonts w:ascii="Times New Roman" w:hAnsi="Times New Roman" w:eastAsia="仿宋_GB2312" w:cs="Times New Roman"/>
          <w:b/>
          <w:bCs/>
          <w:color w:val="auto"/>
          <w:szCs w:val="24"/>
        </w:rPr>
        <w:t>表3</w:t>
      </w:r>
      <w:r>
        <w:rPr>
          <w:rFonts w:hint="eastAsia" w:ascii="Times New Roman" w:hAnsi="Times New Roman" w:eastAsia="仿宋_GB2312" w:cs="Times New Roman"/>
          <w:b/>
          <w:bCs/>
          <w:color w:val="auto"/>
          <w:szCs w:val="24"/>
        </w:rPr>
        <w:t>.</w:t>
      </w:r>
      <w:r>
        <w:rPr>
          <w:rFonts w:ascii="Times New Roman" w:hAnsi="Times New Roman" w:eastAsia="仿宋_GB2312" w:cs="Times New Roman"/>
          <w:b/>
          <w:bCs/>
          <w:color w:val="auto"/>
          <w:szCs w:val="24"/>
        </w:rPr>
        <w:t>2-</w:t>
      </w:r>
      <w:r>
        <w:rPr>
          <w:rFonts w:hint="eastAsia" w:ascii="Times New Roman" w:hAnsi="Times New Roman" w:eastAsia="仿宋_GB2312" w:cs="Times New Roman"/>
          <w:b/>
          <w:bCs/>
          <w:color w:val="auto"/>
          <w:szCs w:val="24"/>
        </w:rPr>
        <w:t>3</w:t>
      </w:r>
      <w:r>
        <w:rPr>
          <w:rFonts w:ascii="Times New Roman" w:hAnsi="Times New Roman" w:eastAsia="仿宋_GB2312" w:cs="Times New Roman"/>
          <w:b/>
          <w:bCs/>
          <w:color w:val="auto"/>
          <w:szCs w:val="24"/>
        </w:rPr>
        <w:t>：</w:t>
      </w:r>
      <w:bookmarkStart w:id="267" w:name="_Toc28251"/>
      <w:r>
        <w:rPr>
          <w:rFonts w:ascii="Times New Roman" w:hAnsi="Times New Roman" w:eastAsia="仿宋_GB2312" w:cs="Times New Roman"/>
          <w:b/>
          <w:color w:val="auto"/>
          <w:szCs w:val="24"/>
        </w:rPr>
        <w:t>对主体工程施工</w:t>
      </w:r>
      <w:r>
        <w:rPr>
          <w:rFonts w:hint="eastAsia" w:ascii="Times New Roman" w:hAnsi="Times New Roman" w:eastAsia="仿宋_GB2312" w:cs="Times New Roman"/>
          <w:b/>
          <w:color w:val="auto"/>
          <w:szCs w:val="24"/>
        </w:rPr>
        <w:t>方法</w:t>
      </w:r>
      <w:r>
        <w:rPr>
          <w:rFonts w:ascii="Times New Roman" w:hAnsi="Times New Roman" w:eastAsia="仿宋_GB2312" w:cs="Times New Roman"/>
          <w:b/>
          <w:color w:val="auto"/>
          <w:szCs w:val="24"/>
        </w:rPr>
        <w:t>与工艺的水土保持评价表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632"/>
        <w:gridCol w:w="4066"/>
        <w:gridCol w:w="182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5" w:hRule="atLeast"/>
          <w:tblHeader/>
          <w:jc w:val="center"/>
        </w:trPr>
        <w:tc>
          <w:tcPr>
            <w:tcW w:w="1544" w:type="pct"/>
            <w:vAlign w:val="center"/>
          </w:tcPr>
          <w:p>
            <w:pPr>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要求内容</w:t>
            </w:r>
          </w:p>
        </w:tc>
        <w:tc>
          <w:tcPr>
            <w:tcW w:w="2385" w:type="pct"/>
            <w:vAlign w:val="center"/>
          </w:tcPr>
          <w:p>
            <w:pPr>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评价</w:t>
            </w:r>
          </w:p>
        </w:tc>
        <w:tc>
          <w:tcPr>
            <w:tcW w:w="1070" w:type="pct"/>
            <w:vAlign w:val="center"/>
          </w:tcPr>
          <w:p>
            <w:pPr>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结论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81" w:hRule="atLeast"/>
          <w:jc w:val="center"/>
        </w:trPr>
        <w:tc>
          <w:tcPr>
            <w:tcW w:w="1544" w:type="pct"/>
            <w:vAlign w:val="center"/>
          </w:tcPr>
          <w:p>
            <w:pPr>
              <w:spacing w:line="240" w:lineRule="atLeast"/>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（1）施工方法是否符合减少水土流失的要求。</w:t>
            </w:r>
          </w:p>
        </w:tc>
        <w:tc>
          <w:tcPr>
            <w:tcW w:w="2385" w:type="pct"/>
            <w:vAlign w:val="center"/>
          </w:tcPr>
          <w:p>
            <w:pPr>
              <w:spacing w:line="240" w:lineRule="atLeast"/>
              <w:ind w:firstLine="420" w:firstLineChars="200"/>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评估</w:t>
            </w:r>
            <w:r>
              <w:rPr>
                <w:rFonts w:ascii="Times New Roman" w:hAnsi="Times New Roman" w:eastAsia="仿宋_GB2312" w:cs="Times New Roman"/>
                <w:color w:val="auto"/>
                <w:kern w:val="0"/>
                <w:sz w:val="21"/>
                <w:szCs w:val="21"/>
              </w:rPr>
              <w:t>区域主要采用机械化施工方法</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局部为机械和人工配合施工</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加快了工程施工进度</w:t>
            </w:r>
            <w:r>
              <w:rPr>
                <w:rFonts w:hint="eastAsia" w:ascii="Times New Roman" w:hAnsi="Times New Roman" w:eastAsia="仿宋_GB2312" w:cs="Times New Roman"/>
                <w:color w:val="auto"/>
                <w:kern w:val="0"/>
                <w:sz w:val="21"/>
                <w:szCs w:val="21"/>
              </w:rPr>
              <w:t>。主体设计中有表土剥离保护措施；区域</w:t>
            </w:r>
            <w:r>
              <w:rPr>
                <w:rFonts w:ascii="Times New Roman" w:hAnsi="Times New Roman" w:eastAsia="仿宋_GB2312" w:cs="Times New Roman"/>
                <w:color w:val="auto"/>
                <w:kern w:val="0"/>
                <w:sz w:val="21"/>
                <w:szCs w:val="21"/>
              </w:rPr>
              <w:t>内各地块根据入驻企业时段采用</w:t>
            </w:r>
            <w:r>
              <w:rPr>
                <w:rFonts w:hint="eastAsia" w:ascii="Times New Roman" w:hAnsi="Times New Roman" w:eastAsia="仿宋_GB2312" w:cs="Times New Roman"/>
                <w:color w:val="auto"/>
                <w:kern w:val="0"/>
                <w:sz w:val="21"/>
                <w:szCs w:val="21"/>
              </w:rPr>
              <w:t>分片分地块</w:t>
            </w:r>
            <w:r>
              <w:rPr>
                <w:rFonts w:ascii="Times New Roman" w:hAnsi="Times New Roman" w:eastAsia="仿宋_GB2312" w:cs="Times New Roman"/>
                <w:color w:val="auto"/>
                <w:kern w:val="0"/>
                <w:sz w:val="21"/>
                <w:szCs w:val="21"/>
              </w:rPr>
              <w:t>施工的方式进行，减少了施工造成的裸露时段</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土方采用高挖低填、以挖作填和即挖即填的方式，开挖的土方就近回填，减少了土方开挖量及运距</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结合</w:t>
            </w:r>
            <w:r>
              <w:rPr>
                <w:rFonts w:hint="eastAsia" w:ascii="Times New Roman" w:hAnsi="Times New Roman" w:eastAsia="仿宋_GB2312" w:cs="Times New Roman"/>
                <w:color w:val="auto"/>
                <w:kern w:val="0"/>
                <w:sz w:val="21"/>
                <w:szCs w:val="21"/>
              </w:rPr>
              <w:t>区域</w:t>
            </w:r>
            <w:r>
              <w:rPr>
                <w:rFonts w:ascii="Times New Roman" w:hAnsi="Times New Roman" w:eastAsia="仿宋_GB2312" w:cs="Times New Roman"/>
                <w:color w:val="auto"/>
                <w:kern w:val="0"/>
                <w:sz w:val="21"/>
                <w:szCs w:val="21"/>
              </w:rPr>
              <w:t>内各道路</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各地块分布进行分片施工，管线施工前于路面施工，能防止重复开挖和多次倒运，减少地表裸露的时间和范围。</w:t>
            </w:r>
          </w:p>
        </w:tc>
        <w:tc>
          <w:tcPr>
            <w:tcW w:w="1070" w:type="pct"/>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主体工程中未考虑施工期间的临时排水</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沉沙</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拦挡</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覆盖等临时性防护措施</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本</w:t>
            </w:r>
            <w:r>
              <w:rPr>
                <w:rFonts w:hint="eastAsia" w:ascii="Times New Roman" w:hAnsi="Times New Roman" w:eastAsia="仿宋_GB2312" w:cs="Times New Roman"/>
                <w:color w:val="auto"/>
                <w:sz w:val="21"/>
                <w:szCs w:val="21"/>
                <w:lang w:val="en-US" w:eastAsia="zh-CN"/>
              </w:rPr>
              <w:t>区域评估报告</w:t>
            </w:r>
            <w:r>
              <w:rPr>
                <w:rFonts w:ascii="Times New Roman" w:hAnsi="Times New Roman" w:eastAsia="仿宋_GB2312" w:cs="Times New Roman"/>
                <w:color w:val="auto"/>
                <w:sz w:val="21"/>
                <w:szCs w:val="21"/>
              </w:rPr>
              <w:t>将进行补充完善</w:t>
            </w:r>
            <w:r>
              <w:rPr>
                <w:rFonts w:hint="eastAsia" w:ascii="Times New Roman" w:hAnsi="Times New Roman" w:eastAsia="仿宋_GB2312" w:cs="Times New Roman"/>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81" w:hRule="atLeast"/>
          <w:jc w:val="center"/>
        </w:trPr>
        <w:tc>
          <w:tcPr>
            <w:tcW w:w="1544" w:type="pct"/>
            <w:vAlign w:val="center"/>
          </w:tcPr>
          <w:p>
            <w:pPr>
              <w:spacing w:line="240" w:lineRule="atLeast"/>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w:t>
            </w:r>
            <w:r>
              <w:rPr>
                <w:rFonts w:hint="eastAsia" w:ascii="Times New Roman" w:hAnsi="Times New Roman" w:eastAsia="仿宋_GB2312" w:cs="Times New Roman"/>
                <w:color w:val="auto"/>
                <w:kern w:val="0"/>
                <w:sz w:val="21"/>
                <w:szCs w:val="21"/>
              </w:rPr>
              <w:t>2</w:t>
            </w:r>
            <w:r>
              <w:rPr>
                <w:rFonts w:ascii="Times New Roman" w:hAnsi="Times New Roman" w:eastAsia="仿宋_GB2312" w:cs="Times New Roman"/>
                <w:color w:val="auto"/>
                <w:kern w:val="0"/>
                <w:sz w:val="21"/>
                <w:szCs w:val="21"/>
              </w:rPr>
              <w:t>）施工场地是否避开植被相对良好的区域和基本农田区。</w:t>
            </w:r>
          </w:p>
        </w:tc>
        <w:tc>
          <w:tcPr>
            <w:tcW w:w="2385" w:type="pct"/>
            <w:vAlign w:val="center"/>
          </w:tcPr>
          <w:p>
            <w:pPr>
              <w:spacing w:line="240" w:lineRule="atLeast"/>
              <w:ind w:firstLine="420" w:firstLineChars="200"/>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评估区域开发</w:t>
            </w:r>
            <w:r>
              <w:rPr>
                <w:rFonts w:ascii="Times New Roman" w:hAnsi="Times New Roman" w:eastAsia="仿宋_GB2312" w:cs="Times New Roman"/>
                <w:color w:val="auto"/>
                <w:kern w:val="0"/>
                <w:sz w:val="21"/>
                <w:szCs w:val="21"/>
              </w:rPr>
              <w:t>建设过程中施工场地严格控制在</w:t>
            </w:r>
            <w:r>
              <w:rPr>
                <w:rFonts w:hint="eastAsia" w:ascii="Times New Roman" w:hAnsi="Times New Roman" w:eastAsia="仿宋_GB2312" w:cs="Times New Roman"/>
                <w:color w:val="auto"/>
                <w:kern w:val="0"/>
                <w:sz w:val="21"/>
                <w:szCs w:val="21"/>
              </w:rPr>
              <w:t>规划</w:t>
            </w:r>
            <w:r>
              <w:rPr>
                <w:rFonts w:ascii="Times New Roman" w:hAnsi="Times New Roman" w:eastAsia="仿宋_GB2312" w:cs="Times New Roman"/>
                <w:color w:val="auto"/>
                <w:kern w:val="0"/>
                <w:sz w:val="21"/>
                <w:szCs w:val="21"/>
              </w:rPr>
              <w:t>区域征占地范围线内，施工</w:t>
            </w:r>
            <w:r>
              <w:rPr>
                <w:rFonts w:hint="eastAsia" w:ascii="Times New Roman" w:hAnsi="Times New Roman" w:eastAsia="仿宋_GB2312" w:cs="Times New Roman"/>
                <w:color w:val="auto"/>
                <w:kern w:val="0"/>
                <w:sz w:val="21"/>
                <w:szCs w:val="21"/>
              </w:rPr>
              <w:t>临时</w:t>
            </w:r>
            <w:r>
              <w:rPr>
                <w:rFonts w:ascii="Times New Roman" w:hAnsi="Times New Roman" w:eastAsia="仿宋_GB2312" w:cs="Times New Roman"/>
                <w:color w:val="auto"/>
                <w:kern w:val="0"/>
                <w:sz w:val="21"/>
                <w:szCs w:val="21"/>
              </w:rPr>
              <w:t>设施的临时表土堆场和</w:t>
            </w:r>
            <w:r>
              <w:rPr>
                <w:rFonts w:hint="eastAsia" w:ascii="Times New Roman" w:hAnsi="Times New Roman" w:eastAsia="仿宋_GB2312" w:cs="Times New Roman"/>
                <w:color w:val="auto"/>
                <w:kern w:val="0"/>
                <w:sz w:val="21"/>
                <w:szCs w:val="21"/>
              </w:rPr>
              <w:t>晾干淤泥堆场</w:t>
            </w:r>
            <w:r>
              <w:rPr>
                <w:rFonts w:ascii="Times New Roman" w:hAnsi="Times New Roman" w:eastAsia="仿宋_GB2312" w:cs="Times New Roman"/>
                <w:color w:val="auto"/>
                <w:kern w:val="0"/>
                <w:sz w:val="21"/>
                <w:szCs w:val="21"/>
              </w:rPr>
              <w:t>布置在场地内平整过</w:t>
            </w:r>
            <w:r>
              <w:rPr>
                <w:rFonts w:hint="eastAsia" w:ascii="Times New Roman" w:hAnsi="Times New Roman" w:eastAsia="仿宋_GB2312" w:cs="Times New Roman"/>
                <w:color w:val="auto"/>
                <w:kern w:val="0"/>
                <w:sz w:val="21"/>
                <w:szCs w:val="21"/>
              </w:rPr>
              <w:t>E22和E20</w:t>
            </w:r>
            <w:r>
              <w:rPr>
                <w:rFonts w:hint="eastAsia" w:ascii="Times New Roman" w:hAnsi="Times New Roman" w:eastAsia="仿宋_GB2312" w:cs="Times New Roman"/>
                <w:color w:val="auto"/>
                <w:kern w:val="0"/>
                <w:sz w:val="21"/>
                <w:szCs w:val="21"/>
              </w:rPr>
              <w:t>地块</w:t>
            </w:r>
            <w:r>
              <w:rPr>
                <w:rFonts w:ascii="Times New Roman" w:hAnsi="Times New Roman" w:eastAsia="仿宋_GB2312" w:cs="Times New Roman"/>
                <w:color w:val="auto"/>
                <w:kern w:val="0"/>
                <w:sz w:val="21"/>
                <w:szCs w:val="21"/>
              </w:rPr>
              <w:t>的空地内</w:t>
            </w:r>
            <w:r>
              <w:rPr>
                <w:rFonts w:hint="eastAsia" w:ascii="Times New Roman" w:hAnsi="Times New Roman" w:eastAsia="仿宋_GB2312" w:cs="Times New Roman"/>
                <w:color w:val="auto"/>
                <w:kern w:val="0"/>
                <w:sz w:val="21"/>
                <w:szCs w:val="21"/>
              </w:rPr>
              <w:t>，苗木移栽区布置在F08地块的空地内，</w:t>
            </w:r>
            <w:r>
              <w:rPr>
                <w:rFonts w:ascii="Times New Roman" w:hAnsi="Times New Roman" w:eastAsia="仿宋_GB2312" w:cs="Times New Roman"/>
                <w:color w:val="auto"/>
                <w:kern w:val="0"/>
                <w:sz w:val="21"/>
                <w:szCs w:val="21"/>
              </w:rPr>
              <w:t>未占用植被良好区和基本农田。</w:t>
            </w:r>
          </w:p>
        </w:tc>
        <w:tc>
          <w:tcPr>
            <w:tcW w:w="1070" w:type="pct"/>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81" w:hRule="atLeast"/>
          <w:jc w:val="center"/>
        </w:trPr>
        <w:tc>
          <w:tcPr>
            <w:tcW w:w="1544" w:type="pct"/>
            <w:vAlign w:val="center"/>
          </w:tcPr>
          <w:p>
            <w:pPr>
              <w:spacing w:line="240" w:lineRule="atLeast"/>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（3）在河道陡坡开挖土石方，以及开挖边坡下方有河渠、公路、铁路、居民点和其他重要基础设施时，是否设计渣石渡槽、溜渣洞等专门导渣或防护设施。</w:t>
            </w:r>
          </w:p>
        </w:tc>
        <w:tc>
          <w:tcPr>
            <w:tcW w:w="2385" w:type="pct"/>
            <w:vAlign w:val="center"/>
          </w:tcPr>
          <w:p>
            <w:pPr>
              <w:spacing w:line="240" w:lineRule="atLeast"/>
              <w:ind w:firstLine="420" w:firstLineChars="200"/>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评估区域开发</w:t>
            </w:r>
            <w:r>
              <w:rPr>
                <w:rFonts w:ascii="Times New Roman" w:hAnsi="Times New Roman" w:eastAsia="仿宋_GB2312" w:cs="Times New Roman"/>
                <w:color w:val="auto"/>
                <w:kern w:val="0"/>
                <w:sz w:val="21"/>
                <w:szCs w:val="21"/>
              </w:rPr>
              <w:t>建设过程中主要为填土抬高地势</w:t>
            </w:r>
            <w:r>
              <w:rPr>
                <w:rFonts w:hint="eastAsia" w:ascii="Times New Roman" w:hAnsi="Times New Roman" w:eastAsia="仿宋_GB2312" w:cs="Times New Roman"/>
                <w:color w:val="auto"/>
                <w:kern w:val="0"/>
                <w:sz w:val="21"/>
                <w:szCs w:val="21"/>
              </w:rPr>
              <w:t>，不存在河道陡坡开挖及开挖边坡下方有河渠、公路、铁路、居民点和其他重要基础设施情况。</w:t>
            </w:r>
          </w:p>
        </w:tc>
        <w:tc>
          <w:tcPr>
            <w:tcW w:w="1070" w:type="pct"/>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81" w:hRule="atLeast"/>
          <w:jc w:val="center"/>
        </w:trPr>
        <w:tc>
          <w:tcPr>
            <w:tcW w:w="1544" w:type="pct"/>
            <w:vAlign w:val="center"/>
          </w:tcPr>
          <w:p>
            <w:pPr>
              <w:spacing w:line="240" w:lineRule="atLeast"/>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（4）大型料场宜分台阶开采，控制开挖深度。爆破开挖应控制装药量和爆破范围。</w:t>
            </w:r>
          </w:p>
        </w:tc>
        <w:tc>
          <w:tcPr>
            <w:tcW w:w="2385" w:type="pct"/>
            <w:vAlign w:val="center"/>
          </w:tcPr>
          <w:p>
            <w:pPr>
              <w:spacing w:line="240" w:lineRule="atLeast"/>
              <w:ind w:firstLine="420" w:firstLineChars="200"/>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评估区域抬高地势的借土结合建设工期和后期实际情况，利用</w:t>
            </w:r>
            <w:r>
              <w:rPr>
                <w:rFonts w:hint="eastAsia" w:ascii="Times New Roman" w:hAnsi="Times New Roman" w:eastAsia="仿宋_GB2312" w:cs="Times New Roman"/>
                <w:color w:val="auto"/>
                <w:kern w:val="0"/>
                <w:sz w:val="21"/>
                <w:szCs w:val="21"/>
              </w:rPr>
              <w:t>南昌市高铁东站周边地区项目</w:t>
            </w:r>
            <w:r>
              <w:rPr>
                <w:rFonts w:hint="eastAsia" w:ascii="Times New Roman" w:hAnsi="Times New Roman" w:eastAsia="仿宋_GB2312" w:cs="Times New Roman"/>
                <w:color w:val="auto"/>
                <w:kern w:val="0"/>
                <w:sz w:val="21"/>
                <w:szCs w:val="21"/>
              </w:rPr>
              <w:t>的余土进行回填，</w:t>
            </w:r>
            <w:r>
              <w:rPr>
                <w:rFonts w:ascii="Times New Roman" w:hAnsi="Times New Roman" w:eastAsia="仿宋_GB2312" w:cs="Times New Roman"/>
                <w:color w:val="auto"/>
                <w:kern w:val="0"/>
                <w:sz w:val="21"/>
                <w:szCs w:val="21"/>
              </w:rPr>
              <w:t>所需的砂</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石等建筑材料均就近采购</w:t>
            </w:r>
            <w:r>
              <w:rPr>
                <w:rFonts w:hint="eastAsia" w:ascii="Times New Roman" w:hAnsi="Times New Roman" w:eastAsia="仿宋_GB2312" w:cs="Times New Roman"/>
                <w:color w:val="auto"/>
                <w:kern w:val="0"/>
                <w:sz w:val="21"/>
                <w:szCs w:val="21"/>
              </w:rPr>
              <w:t>，无需设置大型料场。</w:t>
            </w:r>
          </w:p>
        </w:tc>
        <w:tc>
          <w:tcPr>
            <w:tcW w:w="1070" w:type="pct"/>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81" w:hRule="atLeast"/>
          <w:jc w:val="center"/>
        </w:trPr>
        <w:tc>
          <w:tcPr>
            <w:tcW w:w="1544" w:type="pct"/>
            <w:vAlign w:val="center"/>
          </w:tcPr>
          <w:p>
            <w:pPr>
              <w:spacing w:line="240" w:lineRule="atLeast"/>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（5）土石方在运输过程中是否采取防止岩土撒溢等保护措施。</w:t>
            </w:r>
          </w:p>
        </w:tc>
        <w:tc>
          <w:tcPr>
            <w:tcW w:w="2385" w:type="pct"/>
            <w:vAlign w:val="center"/>
          </w:tcPr>
          <w:p>
            <w:pPr>
              <w:spacing w:line="240" w:lineRule="atLeast"/>
              <w:ind w:firstLine="420" w:firstLineChars="200"/>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评估区域开发</w:t>
            </w:r>
            <w:r>
              <w:rPr>
                <w:rFonts w:ascii="Times New Roman" w:hAnsi="Times New Roman" w:eastAsia="仿宋_GB2312" w:cs="Times New Roman"/>
                <w:color w:val="auto"/>
                <w:kern w:val="0"/>
                <w:sz w:val="21"/>
                <w:szCs w:val="21"/>
              </w:rPr>
              <w:t>建设过程中土石方运输主要</w:t>
            </w:r>
            <w:r>
              <w:rPr>
                <w:rFonts w:hint="eastAsia" w:ascii="Times New Roman" w:hAnsi="Times New Roman" w:eastAsia="仿宋_GB2312" w:cs="Times New Roman"/>
                <w:color w:val="auto"/>
                <w:kern w:val="0"/>
                <w:sz w:val="21"/>
                <w:szCs w:val="21"/>
              </w:rPr>
              <w:t>区域</w:t>
            </w:r>
            <w:r>
              <w:rPr>
                <w:rFonts w:ascii="Times New Roman" w:hAnsi="Times New Roman" w:eastAsia="仿宋_GB2312" w:cs="Times New Roman"/>
                <w:color w:val="auto"/>
                <w:kern w:val="0"/>
                <w:sz w:val="21"/>
                <w:szCs w:val="21"/>
              </w:rPr>
              <w:t>内挖方调配至低洼地块回填</w:t>
            </w:r>
            <w:r>
              <w:rPr>
                <w:rFonts w:hint="eastAsia" w:ascii="Times New Roman" w:hAnsi="Times New Roman" w:eastAsia="仿宋_GB2312" w:cs="Times New Roman"/>
                <w:color w:val="auto"/>
                <w:kern w:val="0"/>
                <w:sz w:val="21"/>
                <w:szCs w:val="21"/>
              </w:rPr>
              <w:t>，通过</w:t>
            </w:r>
            <w:r>
              <w:rPr>
                <w:rFonts w:ascii="Times New Roman" w:hAnsi="Times New Roman" w:eastAsia="仿宋_GB2312" w:cs="Times New Roman"/>
                <w:color w:val="auto"/>
                <w:kern w:val="0"/>
                <w:sz w:val="21"/>
                <w:szCs w:val="21"/>
              </w:rPr>
              <w:t>挖掘机挖装</w:t>
            </w:r>
            <w:r>
              <w:rPr>
                <w:rFonts w:hint="eastAsia" w:ascii="Times New Roman" w:hAnsi="Times New Roman" w:eastAsia="仿宋_GB2312" w:cs="Times New Roman"/>
                <w:color w:val="auto"/>
                <w:kern w:val="0"/>
                <w:sz w:val="21"/>
                <w:szCs w:val="21"/>
              </w:rPr>
              <w:t>，带盖的自卸汽车进行运输，能避免运输过程中的沿途</w:t>
            </w:r>
            <w:r>
              <w:rPr>
                <w:rFonts w:ascii="Times New Roman" w:hAnsi="Times New Roman" w:eastAsia="仿宋_GB2312" w:cs="Times New Roman"/>
                <w:color w:val="auto"/>
                <w:kern w:val="0"/>
                <w:sz w:val="21"/>
                <w:szCs w:val="21"/>
              </w:rPr>
              <w:t>散溢</w:t>
            </w:r>
            <w:r>
              <w:rPr>
                <w:rFonts w:ascii="Times New Roman" w:hAnsi="Times New Roman" w:eastAsia="仿宋_GB2312" w:cs="Times New Roman"/>
                <w:color w:val="auto"/>
                <w:sz w:val="21"/>
                <w:szCs w:val="21"/>
              </w:rPr>
              <w:t>。</w:t>
            </w:r>
          </w:p>
        </w:tc>
        <w:tc>
          <w:tcPr>
            <w:tcW w:w="1070" w:type="pct"/>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81" w:hRule="atLeast"/>
          <w:jc w:val="center"/>
        </w:trPr>
        <w:tc>
          <w:tcPr>
            <w:tcW w:w="1544" w:type="pct"/>
            <w:vAlign w:val="center"/>
          </w:tcPr>
          <w:p>
            <w:pPr>
              <w:spacing w:line="240" w:lineRule="atLeast"/>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（6）是否采取表土剥离或保护措施及具体施工方法。</w:t>
            </w:r>
          </w:p>
        </w:tc>
        <w:tc>
          <w:tcPr>
            <w:tcW w:w="2385" w:type="pct"/>
            <w:vAlign w:val="center"/>
          </w:tcPr>
          <w:p>
            <w:pPr>
              <w:spacing w:line="240" w:lineRule="atLeast"/>
              <w:ind w:firstLine="420" w:firstLineChars="200"/>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主体工程施工前对场地内有表土的区域进行表土剥离保护</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剥离出的表土集中堆放在临时堆土场内</w:t>
            </w:r>
            <w:r>
              <w:rPr>
                <w:rFonts w:hint="eastAsia" w:ascii="Times New Roman" w:hAnsi="Times New Roman" w:eastAsia="仿宋_GB2312" w:cs="Times New Roman"/>
                <w:color w:val="auto"/>
                <w:kern w:val="0"/>
                <w:sz w:val="21"/>
                <w:szCs w:val="21"/>
              </w:rPr>
              <w:t>。</w:t>
            </w:r>
          </w:p>
        </w:tc>
        <w:tc>
          <w:tcPr>
            <w:tcW w:w="1070" w:type="pct"/>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主体工程未考虑表土临时堆放过程中临时排水</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拦挡</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沉沙</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覆盖等措施</w:t>
            </w:r>
            <w:r>
              <w:rPr>
                <w:rFonts w:hint="eastAsia" w:ascii="Times New Roman" w:hAnsi="Times New Roman" w:eastAsia="仿宋_GB2312" w:cs="Times New Roman"/>
                <w:color w:val="auto"/>
                <w:sz w:val="21"/>
                <w:szCs w:val="21"/>
              </w:rPr>
              <w:t>，本</w:t>
            </w:r>
            <w:r>
              <w:rPr>
                <w:rFonts w:hint="eastAsia" w:ascii="Times New Roman" w:hAnsi="Times New Roman" w:eastAsia="仿宋_GB2312" w:cs="Times New Roman"/>
                <w:color w:val="auto"/>
                <w:sz w:val="21"/>
                <w:szCs w:val="21"/>
                <w:lang w:val="en-US" w:eastAsia="zh-CN"/>
              </w:rPr>
              <w:t>区域评估报告</w:t>
            </w:r>
            <w:r>
              <w:rPr>
                <w:rFonts w:ascii="Times New Roman" w:hAnsi="Times New Roman" w:eastAsia="仿宋_GB2312" w:cs="Times New Roman"/>
                <w:color w:val="auto"/>
                <w:sz w:val="21"/>
                <w:szCs w:val="21"/>
              </w:rPr>
              <w:t>将进行补充完善</w:t>
            </w:r>
            <w:r>
              <w:rPr>
                <w:rFonts w:hint="eastAsia" w:ascii="Times New Roman" w:hAnsi="Times New Roman" w:eastAsia="仿宋_GB2312" w:cs="Times New Roman"/>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81" w:hRule="atLeast"/>
          <w:jc w:val="center"/>
        </w:trPr>
        <w:tc>
          <w:tcPr>
            <w:tcW w:w="1544" w:type="pct"/>
            <w:vAlign w:val="center"/>
          </w:tcPr>
          <w:p>
            <w:pPr>
              <w:spacing w:line="240" w:lineRule="atLeast"/>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（7）裸露地表是否及时采取防护措施，填筑土方是否做到随挖、随运、随填、随压。</w:t>
            </w:r>
          </w:p>
        </w:tc>
        <w:tc>
          <w:tcPr>
            <w:tcW w:w="2385" w:type="pct"/>
            <w:vAlign w:val="center"/>
          </w:tcPr>
          <w:p>
            <w:pPr>
              <w:spacing w:line="240" w:lineRule="atLeast"/>
              <w:ind w:firstLine="420" w:firstLineChars="200"/>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评估区域</w:t>
            </w:r>
            <w:r>
              <w:rPr>
                <w:rFonts w:ascii="Times New Roman" w:hAnsi="Times New Roman" w:eastAsia="仿宋_GB2312" w:cs="Times New Roman"/>
                <w:color w:val="auto"/>
                <w:kern w:val="0"/>
                <w:sz w:val="21"/>
                <w:szCs w:val="21"/>
              </w:rPr>
              <w:t>开发进度</w:t>
            </w:r>
            <w:r>
              <w:rPr>
                <w:rFonts w:hint="eastAsia" w:ascii="Times New Roman" w:hAnsi="Times New Roman" w:eastAsia="仿宋_GB2312" w:cs="Times New Roman"/>
                <w:color w:val="auto"/>
                <w:kern w:val="0"/>
                <w:sz w:val="21"/>
                <w:szCs w:val="21"/>
              </w:rPr>
              <w:t>区域</w:t>
            </w:r>
            <w:r>
              <w:rPr>
                <w:rFonts w:ascii="Times New Roman" w:hAnsi="Times New Roman" w:eastAsia="仿宋_GB2312" w:cs="Times New Roman"/>
                <w:color w:val="auto"/>
                <w:kern w:val="0"/>
                <w:sz w:val="21"/>
                <w:szCs w:val="21"/>
              </w:rPr>
              <w:t>内各地块根据入驻企业时段采用</w:t>
            </w:r>
            <w:r>
              <w:rPr>
                <w:rFonts w:hint="eastAsia" w:ascii="Times New Roman" w:hAnsi="Times New Roman" w:eastAsia="仿宋_GB2312" w:cs="Times New Roman"/>
                <w:color w:val="auto"/>
                <w:kern w:val="0"/>
                <w:sz w:val="21"/>
                <w:szCs w:val="21"/>
              </w:rPr>
              <w:t>分片分地块</w:t>
            </w:r>
            <w:r>
              <w:rPr>
                <w:rFonts w:ascii="Times New Roman" w:hAnsi="Times New Roman" w:eastAsia="仿宋_GB2312" w:cs="Times New Roman"/>
                <w:color w:val="auto"/>
                <w:kern w:val="0"/>
                <w:sz w:val="21"/>
                <w:szCs w:val="21"/>
              </w:rPr>
              <w:t>施工的方式进行，减少了施工造成的裸露时段</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区域内各地块平整完成后会进行撒播草籽植被恢复</w:t>
            </w:r>
            <w:r>
              <w:rPr>
                <w:rFonts w:hint="eastAsia" w:ascii="Times New Roman" w:hAnsi="Times New Roman" w:eastAsia="仿宋_GB2312" w:cs="Times New Roman"/>
                <w:color w:val="auto"/>
                <w:kern w:val="0"/>
                <w:sz w:val="21"/>
                <w:szCs w:val="21"/>
              </w:rPr>
              <w:t>，待入驻企业进场后水土保持责任相应转移。</w:t>
            </w:r>
            <w:r>
              <w:rPr>
                <w:rFonts w:ascii="Times New Roman" w:hAnsi="Times New Roman" w:eastAsia="仿宋_GB2312" w:cs="Times New Roman"/>
                <w:color w:val="auto"/>
                <w:kern w:val="0"/>
                <w:sz w:val="21"/>
                <w:szCs w:val="21"/>
              </w:rPr>
              <w:t>土方采用高挖低填、以挖作填和即挖即填的方式，开挖的土方就近回填，土方施工工艺有随挖</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随运</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随填</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随压</w:t>
            </w:r>
            <w:r>
              <w:rPr>
                <w:rFonts w:hint="eastAsia" w:ascii="Times New Roman" w:hAnsi="Times New Roman" w:eastAsia="仿宋_GB2312" w:cs="Times New Roman"/>
                <w:color w:val="auto"/>
                <w:kern w:val="0"/>
                <w:sz w:val="21"/>
                <w:szCs w:val="21"/>
              </w:rPr>
              <w:t>。</w:t>
            </w:r>
          </w:p>
        </w:tc>
        <w:tc>
          <w:tcPr>
            <w:tcW w:w="1070" w:type="pct"/>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主体工程未考虑施工期裸露地表的临时防护措施，本</w:t>
            </w:r>
            <w:r>
              <w:rPr>
                <w:rFonts w:hint="eastAsia" w:ascii="Times New Roman" w:hAnsi="Times New Roman" w:eastAsia="仿宋_GB2312" w:cs="Times New Roman"/>
                <w:color w:val="auto"/>
                <w:sz w:val="21"/>
                <w:szCs w:val="21"/>
                <w:lang w:val="en-US" w:eastAsia="zh-CN"/>
              </w:rPr>
              <w:t>区域评估报告</w:t>
            </w:r>
            <w:r>
              <w:rPr>
                <w:rFonts w:hint="eastAsia" w:ascii="Times New Roman" w:hAnsi="Times New Roman" w:eastAsia="仿宋_GB2312" w:cs="Times New Roman"/>
                <w:color w:val="auto"/>
                <w:sz w:val="21"/>
                <w:szCs w:val="21"/>
              </w:rPr>
              <w:t>将补充施工期间的临时排水、沉沙、覆盖等临时防护措施。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81" w:hRule="atLeast"/>
          <w:jc w:val="center"/>
        </w:trPr>
        <w:tc>
          <w:tcPr>
            <w:tcW w:w="1544" w:type="pct"/>
            <w:vAlign w:val="center"/>
          </w:tcPr>
          <w:p>
            <w:pPr>
              <w:spacing w:line="240" w:lineRule="atLeast"/>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（8）临时堆土应集中堆放，并采取临时拦挡、苫盖、排水、沉沙等措施。</w:t>
            </w:r>
          </w:p>
        </w:tc>
        <w:tc>
          <w:tcPr>
            <w:tcW w:w="2385" w:type="pct"/>
            <w:vAlign w:val="center"/>
          </w:tcPr>
          <w:p>
            <w:pPr>
              <w:spacing w:line="240" w:lineRule="atLeast"/>
              <w:ind w:firstLine="420" w:firstLineChars="200"/>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区域</w:t>
            </w:r>
            <w:r>
              <w:rPr>
                <w:rFonts w:ascii="Times New Roman" w:hAnsi="Times New Roman" w:eastAsia="仿宋_GB2312" w:cs="Times New Roman"/>
                <w:color w:val="auto"/>
                <w:kern w:val="0"/>
                <w:sz w:val="21"/>
                <w:szCs w:val="21"/>
              </w:rPr>
              <w:t>内土方尽量做到即挖即填和即挖即运，剥离出的表土就近集中堆放至设计的临时堆土场内。</w:t>
            </w:r>
          </w:p>
        </w:tc>
        <w:tc>
          <w:tcPr>
            <w:tcW w:w="1070" w:type="pct"/>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主体工程未考虑临时堆土过程中临时排水</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拦挡</w:t>
            </w: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沉沙</w:t>
            </w:r>
            <w:r>
              <w:rPr>
                <w:rFonts w:hint="eastAsia" w:ascii="Times New Roman" w:hAnsi="Times New Roman" w:eastAsia="仿宋_GB2312" w:cs="Times New Roman"/>
                <w:color w:val="auto"/>
                <w:sz w:val="21"/>
                <w:szCs w:val="21"/>
              </w:rPr>
              <w:t>、覆盖</w:t>
            </w:r>
            <w:r>
              <w:rPr>
                <w:rFonts w:ascii="Times New Roman" w:hAnsi="Times New Roman" w:eastAsia="仿宋_GB2312" w:cs="Times New Roman"/>
                <w:color w:val="auto"/>
                <w:sz w:val="21"/>
                <w:szCs w:val="21"/>
              </w:rPr>
              <w:t>措施</w:t>
            </w:r>
            <w:r>
              <w:rPr>
                <w:rFonts w:hint="eastAsia" w:ascii="Times New Roman" w:hAnsi="Times New Roman" w:eastAsia="仿宋_GB2312" w:cs="Times New Roman"/>
                <w:color w:val="auto"/>
                <w:sz w:val="21"/>
                <w:szCs w:val="21"/>
              </w:rPr>
              <w:t>，本</w:t>
            </w:r>
            <w:r>
              <w:rPr>
                <w:rFonts w:hint="eastAsia" w:ascii="Times New Roman" w:hAnsi="Times New Roman" w:eastAsia="仿宋_GB2312" w:cs="Times New Roman"/>
                <w:color w:val="auto"/>
                <w:sz w:val="21"/>
                <w:szCs w:val="21"/>
                <w:lang w:val="en-US" w:eastAsia="zh-CN"/>
              </w:rPr>
              <w:t>区域评估报告</w:t>
            </w:r>
            <w:r>
              <w:rPr>
                <w:rFonts w:ascii="Times New Roman" w:hAnsi="Times New Roman" w:eastAsia="仿宋_GB2312" w:cs="Times New Roman"/>
                <w:color w:val="auto"/>
                <w:sz w:val="21"/>
                <w:szCs w:val="21"/>
              </w:rPr>
              <w:t>将进行补充完善</w:t>
            </w:r>
            <w:r>
              <w:rPr>
                <w:rFonts w:hint="eastAsia" w:ascii="Times New Roman" w:hAnsi="Times New Roman" w:eastAsia="仿宋_GB2312" w:cs="Times New Roman"/>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81" w:hRule="atLeast"/>
          <w:jc w:val="center"/>
        </w:trPr>
        <w:tc>
          <w:tcPr>
            <w:tcW w:w="1544" w:type="pct"/>
            <w:vAlign w:val="center"/>
          </w:tcPr>
          <w:p>
            <w:pPr>
              <w:spacing w:line="240" w:lineRule="atLeast"/>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（9）施工产生的泥浆是否设置泥浆沉淀池，泥浆沉淀后的处置措施是否明确。</w:t>
            </w:r>
          </w:p>
        </w:tc>
        <w:tc>
          <w:tcPr>
            <w:tcW w:w="2385" w:type="pct"/>
            <w:vAlign w:val="center"/>
          </w:tcPr>
          <w:p>
            <w:pPr>
              <w:spacing w:line="240" w:lineRule="atLeast"/>
              <w:ind w:firstLine="420" w:firstLineChars="200"/>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区域</w:t>
            </w:r>
            <w:r>
              <w:rPr>
                <w:rFonts w:ascii="Times New Roman" w:hAnsi="Times New Roman" w:eastAsia="仿宋_GB2312" w:cs="Times New Roman"/>
                <w:color w:val="auto"/>
                <w:kern w:val="0"/>
                <w:sz w:val="21"/>
                <w:szCs w:val="21"/>
              </w:rPr>
              <w:t>内存在现状水塘</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施工前抽干水塘</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就地晾晒淤泥</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晾干后全部运至</w:t>
            </w:r>
            <w:r>
              <w:rPr>
                <w:rFonts w:hint="eastAsia" w:ascii="Times New Roman" w:hAnsi="Times New Roman" w:eastAsia="仿宋_GB2312" w:cs="Times New Roman"/>
                <w:color w:val="auto"/>
                <w:kern w:val="0"/>
                <w:sz w:val="21"/>
                <w:szCs w:val="21"/>
              </w:rPr>
              <w:t>晾干淤泥堆场</w:t>
            </w:r>
            <w:r>
              <w:rPr>
                <w:rFonts w:ascii="Times New Roman" w:hAnsi="Times New Roman" w:eastAsia="仿宋_GB2312" w:cs="Times New Roman"/>
                <w:color w:val="auto"/>
                <w:kern w:val="0"/>
                <w:sz w:val="21"/>
                <w:szCs w:val="21"/>
              </w:rPr>
              <w:t>用于后期绿地区域地势抬高</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区域建设过程中无钻渣泥浆产生</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无需设置泥浆沉淀池</w:t>
            </w:r>
            <w:r>
              <w:rPr>
                <w:rFonts w:hint="eastAsia" w:ascii="Times New Roman" w:hAnsi="Times New Roman" w:eastAsia="仿宋_GB2312" w:cs="Times New Roman"/>
                <w:color w:val="auto"/>
                <w:kern w:val="0"/>
                <w:sz w:val="21"/>
                <w:szCs w:val="21"/>
              </w:rPr>
              <w:t>。</w:t>
            </w:r>
          </w:p>
        </w:tc>
        <w:tc>
          <w:tcPr>
            <w:tcW w:w="1070" w:type="pct"/>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81" w:hRule="atLeast"/>
          <w:jc w:val="center"/>
        </w:trPr>
        <w:tc>
          <w:tcPr>
            <w:tcW w:w="1544" w:type="pct"/>
            <w:vAlign w:val="center"/>
          </w:tcPr>
          <w:p>
            <w:pPr>
              <w:spacing w:line="240" w:lineRule="atLeast"/>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（10）围堰填筑、拆除是否采取减少流失的有效措施。</w:t>
            </w:r>
          </w:p>
        </w:tc>
        <w:tc>
          <w:tcPr>
            <w:tcW w:w="2385" w:type="pct"/>
            <w:vAlign w:val="center"/>
          </w:tcPr>
          <w:p>
            <w:pPr>
              <w:spacing w:line="240" w:lineRule="atLeast"/>
              <w:ind w:firstLine="420" w:firstLineChars="200"/>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评估</w:t>
            </w:r>
            <w:r>
              <w:rPr>
                <w:rFonts w:ascii="Times New Roman" w:hAnsi="Times New Roman" w:eastAsia="仿宋_GB2312" w:cs="Times New Roman"/>
                <w:color w:val="auto"/>
                <w:kern w:val="0"/>
                <w:sz w:val="21"/>
                <w:szCs w:val="21"/>
              </w:rPr>
              <w:t>区域内不涉及河道</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湖泊等水域内建设</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无需设置施工围堰</w:t>
            </w:r>
            <w:r>
              <w:rPr>
                <w:rFonts w:hint="eastAsia" w:ascii="Times New Roman" w:hAnsi="Times New Roman" w:eastAsia="仿宋_GB2312" w:cs="Times New Roman"/>
                <w:color w:val="auto"/>
                <w:kern w:val="0"/>
                <w:sz w:val="21"/>
                <w:szCs w:val="21"/>
              </w:rPr>
              <w:t>。</w:t>
            </w:r>
          </w:p>
        </w:tc>
        <w:tc>
          <w:tcPr>
            <w:tcW w:w="1070" w:type="pct"/>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81" w:hRule="atLeast"/>
          <w:jc w:val="center"/>
        </w:trPr>
        <w:tc>
          <w:tcPr>
            <w:tcW w:w="1544" w:type="pct"/>
            <w:vAlign w:val="center"/>
          </w:tcPr>
          <w:p>
            <w:pPr>
              <w:spacing w:line="240" w:lineRule="atLeast"/>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（11）弃渣场是否满足“先拦后弃”原则。</w:t>
            </w:r>
          </w:p>
        </w:tc>
        <w:tc>
          <w:tcPr>
            <w:tcW w:w="2385" w:type="pct"/>
            <w:vAlign w:val="center"/>
          </w:tcPr>
          <w:p>
            <w:pPr>
              <w:spacing w:line="240" w:lineRule="atLeast"/>
              <w:ind w:firstLine="420" w:firstLineChars="200"/>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评估区域内需借土回填，</w:t>
            </w:r>
            <w:r>
              <w:rPr>
                <w:rFonts w:ascii="Times New Roman" w:hAnsi="Times New Roman" w:eastAsia="仿宋_GB2312" w:cs="Times New Roman"/>
                <w:color w:val="auto"/>
                <w:kern w:val="0"/>
                <w:sz w:val="21"/>
                <w:szCs w:val="21"/>
              </w:rPr>
              <w:t>以抬高地势</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kern w:val="0"/>
                <w:sz w:val="21"/>
                <w:szCs w:val="21"/>
              </w:rPr>
              <w:t>开发建设过程中</w:t>
            </w:r>
            <w:r>
              <w:rPr>
                <w:rFonts w:hint="eastAsia" w:ascii="Times New Roman" w:hAnsi="Times New Roman" w:eastAsia="仿宋_GB2312" w:cs="Times New Roman"/>
                <w:color w:val="auto"/>
                <w:kern w:val="0"/>
                <w:sz w:val="21"/>
                <w:szCs w:val="21"/>
              </w:rPr>
              <w:t>，区域内开挖土石方全部就近回填利用以抬高地势，无余方的产生，不设置弃土场</w:t>
            </w:r>
            <w:r>
              <w:rPr>
                <w:rFonts w:ascii="Times New Roman" w:hAnsi="Times New Roman" w:eastAsia="仿宋_GB2312" w:cs="Times New Roman"/>
                <w:color w:val="auto"/>
                <w:kern w:val="0"/>
                <w:sz w:val="21"/>
                <w:szCs w:val="21"/>
              </w:rPr>
              <w:t>。</w:t>
            </w:r>
          </w:p>
        </w:tc>
        <w:tc>
          <w:tcPr>
            <w:tcW w:w="1070" w:type="pct"/>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90" w:hRule="atLeast"/>
          <w:jc w:val="center"/>
        </w:trPr>
        <w:tc>
          <w:tcPr>
            <w:tcW w:w="1544" w:type="pct"/>
            <w:vAlign w:val="center"/>
          </w:tcPr>
          <w:p>
            <w:pPr>
              <w:spacing w:line="240" w:lineRule="atLeast"/>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w:t>
            </w:r>
            <w:r>
              <w:rPr>
                <w:rFonts w:hint="eastAsia" w:ascii="Times New Roman" w:hAnsi="Times New Roman" w:eastAsia="仿宋_GB2312" w:cs="Times New Roman"/>
                <w:color w:val="auto"/>
                <w:kern w:val="0"/>
                <w:sz w:val="21"/>
                <w:szCs w:val="21"/>
              </w:rPr>
              <w:t>1</w:t>
            </w:r>
            <w:r>
              <w:rPr>
                <w:rFonts w:ascii="Times New Roman" w:hAnsi="Times New Roman" w:eastAsia="仿宋_GB2312" w:cs="Times New Roman"/>
                <w:color w:val="auto"/>
                <w:kern w:val="0"/>
                <w:sz w:val="21"/>
                <w:szCs w:val="21"/>
              </w:rPr>
              <w:t>2）取土场开挖前是否按要求设置截</w:t>
            </w:r>
            <w:r>
              <w:rPr>
                <w:rFonts w:hint="eastAsia" w:ascii="Times New Roman" w:hAnsi="Times New Roman" w:eastAsia="仿宋_GB2312" w:cs="Times New Roman"/>
                <w:color w:val="auto"/>
                <w:kern w:val="0"/>
                <w:sz w:val="21"/>
                <w:szCs w:val="21"/>
              </w:rPr>
              <w:t>（排、拦）水、沉沙等措施。</w:t>
            </w:r>
          </w:p>
        </w:tc>
        <w:tc>
          <w:tcPr>
            <w:tcW w:w="2385" w:type="pct"/>
            <w:vAlign w:val="center"/>
          </w:tcPr>
          <w:p>
            <w:pPr>
              <w:spacing w:line="240" w:lineRule="atLeast"/>
              <w:ind w:firstLine="420" w:firstLineChars="200"/>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评估区域共计需外借土方</w:t>
            </w:r>
            <w:r>
              <w:rPr>
                <w:rFonts w:hint="eastAsia" w:ascii="Times New Roman" w:hAnsi="Times New Roman" w:eastAsia="仿宋_GB2312" w:cs="Times New Roman"/>
                <w:color w:val="auto"/>
                <w:sz w:val="21"/>
                <w:szCs w:val="21"/>
              </w:rPr>
              <w:t>105.95</w:t>
            </w:r>
            <w:r>
              <w:rPr>
                <w:rFonts w:ascii="Times New Roman" w:hAnsi="Times New Roman" w:eastAsia="仿宋_GB2312" w:cs="Times New Roman"/>
                <w:color w:val="auto"/>
                <w:sz w:val="21"/>
                <w:szCs w:val="21"/>
              </w:rPr>
              <w:t>万m</w:t>
            </w:r>
            <w:r>
              <w:rPr>
                <w:rFonts w:ascii="Times New Roman" w:hAnsi="Times New Roman" w:eastAsia="仿宋_GB2312" w:cs="Times New Roman"/>
                <w:color w:val="auto"/>
                <w:sz w:val="21"/>
                <w:szCs w:val="21"/>
                <w:vertAlign w:val="superscript"/>
              </w:rPr>
              <w:t>3</w:t>
            </w:r>
            <w:r>
              <w:rPr>
                <w:rFonts w:hint="eastAsia" w:ascii="Times New Roman" w:hAnsi="Times New Roman" w:eastAsia="仿宋_GB2312" w:cs="Times New Roman"/>
                <w:color w:val="auto"/>
                <w:kern w:val="0"/>
                <w:sz w:val="21"/>
                <w:szCs w:val="21"/>
              </w:rPr>
              <w:t>，借方结合建设工期和后期实际情况，利用</w:t>
            </w:r>
            <w:r>
              <w:rPr>
                <w:rFonts w:hint="eastAsia" w:ascii="Times New Roman" w:hAnsi="Times New Roman" w:eastAsia="仿宋_GB2312" w:cs="Times New Roman"/>
                <w:color w:val="auto"/>
                <w:kern w:val="0"/>
                <w:sz w:val="21"/>
                <w:szCs w:val="21"/>
              </w:rPr>
              <w:t>南昌市高铁东站周边地区项目</w:t>
            </w:r>
            <w:r>
              <w:rPr>
                <w:rFonts w:hint="eastAsia" w:ascii="Times New Roman" w:hAnsi="Times New Roman" w:eastAsia="仿宋_GB2312" w:cs="Times New Roman"/>
                <w:color w:val="auto"/>
                <w:kern w:val="0"/>
                <w:sz w:val="21"/>
                <w:szCs w:val="21"/>
              </w:rPr>
              <w:t>的余土进行回填，</w:t>
            </w:r>
            <w:r>
              <w:rPr>
                <w:rFonts w:ascii="Times New Roman" w:hAnsi="Times New Roman" w:eastAsia="仿宋_GB2312" w:cs="Times New Roman"/>
                <w:color w:val="auto"/>
                <w:kern w:val="0"/>
                <w:sz w:val="21"/>
                <w:szCs w:val="21"/>
              </w:rPr>
              <w:t>无需设置取土场</w:t>
            </w:r>
            <w:r>
              <w:rPr>
                <w:rFonts w:hint="eastAsia" w:ascii="Times New Roman" w:hAnsi="Times New Roman" w:eastAsia="仿宋_GB2312" w:cs="Times New Roman"/>
                <w:color w:val="auto"/>
                <w:kern w:val="0"/>
                <w:sz w:val="21"/>
                <w:szCs w:val="21"/>
              </w:rPr>
              <w:t>。</w:t>
            </w:r>
          </w:p>
        </w:tc>
        <w:tc>
          <w:tcPr>
            <w:tcW w:w="1070" w:type="pct"/>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符合要求</w:t>
            </w:r>
          </w:p>
        </w:tc>
      </w:tr>
    </w:tbl>
    <w:p>
      <w:pPr>
        <w:snapToGrid w:val="0"/>
        <w:spacing w:beforeLines="50"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由表3</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2-</w:t>
      </w:r>
      <w:r>
        <w:rPr>
          <w:rFonts w:hint="eastAsia" w:ascii="Times New Roman" w:hAnsi="Times New Roman" w:eastAsia="仿宋_GB2312" w:cs="Times New Roman"/>
          <w:color w:val="auto"/>
          <w:szCs w:val="24"/>
        </w:rPr>
        <w:t>3</w:t>
      </w:r>
      <w:r>
        <w:rPr>
          <w:rFonts w:ascii="Times New Roman" w:hAnsi="Times New Roman" w:eastAsia="仿宋_GB2312" w:cs="Times New Roman"/>
          <w:color w:val="auto"/>
          <w:szCs w:val="24"/>
        </w:rPr>
        <w:t>分析可知，主体工程</w:t>
      </w:r>
      <w:r>
        <w:rPr>
          <w:rFonts w:hint="eastAsia" w:ascii="Times New Roman" w:hAnsi="Times New Roman" w:eastAsia="仿宋_GB2312" w:cs="Times New Roman"/>
          <w:color w:val="auto"/>
          <w:szCs w:val="24"/>
        </w:rPr>
        <w:t>施工</w:t>
      </w:r>
      <w:r>
        <w:rPr>
          <w:rFonts w:ascii="Times New Roman" w:hAnsi="Times New Roman" w:eastAsia="仿宋_GB2312" w:cs="Times New Roman"/>
          <w:color w:val="auto"/>
          <w:szCs w:val="24"/>
        </w:rPr>
        <w:t>方法与工艺基本</w:t>
      </w:r>
      <w:r>
        <w:rPr>
          <w:rFonts w:hint="eastAsia" w:ascii="Times New Roman" w:hAnsi="Times New Roman" w:eastAsia="仿宋_GB2312" w:cs="Times New Roman"/>
          <w:color w:val="auto"/>
          <w:szCs w:val="24"/>
        </w:rPr>
        <w:t>符合水土保持相关要求，主体工程中存在部分施工期间临时排水、沉沙和临时堆土场的临时拦挡措施的缺失，本</w:t>
      </w:r>
      <w:r>
        <w:rPr>
          <w:rFonts w:hint="eastAsia" w:ascii="Times New Roman" w:hAnsi="Times New Roman" w:eastAsia="仿宋_GB2312" w:cs="Times New Roman"/>
          <w:color w:val="auto"/>
          <w:szCs w:val="24"/>
          <w:lang w:val="en-US" w:eastAsia="zh-CN"/>
        </w:rPr>
        <w:t>区域评估报告</w:t>
      </w:r>
      <w:r>
        <w:rPr>
          <w:rFonts w:hint="eastAsia" w:ascii="Times New Roman" w:hAnsi="Times New Roman" w:eastAsia="仿宋_GB2312" w:cs="Times New Roman"/>
          <w:color w:val="auto"/>
          <w:szCs w:val="24"/>
        </w:rPr>
        <w:t>将进行补充完善。</w:t>
      </w:r>
    </w:p>
    <w:bookmarkEnd w:id="267"/>
    <w:p>
      <w:pPr>
        <w:pStyle w:val="6"/>
        <w:spacing w:line="360" w:lineRule="auto"/>
        <w:rPr>
          <w:bCs w:val="0"/>
          <w:color w:val="auto"/>
          <w:szCs w:val="30"/>
        </w:rPr>
      </w:pPr>
      <w:r>
        <w:rPr>
          <w:bCs w:val="0"/>
          <w:color w:val="auto"/>
          <w:szCs w:val="30"/>
        </w:rPr>
        <w:t>3.2.</w:t>
      </w:r>
      <w:r>
        <w:rPr>
          <w:rFonts w:hint="eastAsia"/>
          <w:bCs w:val="0"/>
          <w:color w:val="auto"/>
          <w:szCs w:val="30"/>
        </w:rPr>
        <w:t>7</w:t>
      </w:r>
      <w:r>
        <w:rPr>
          <w:rFonts w:eastAsia="仿宋_GB2312"/>
          <w:bCs w:val="0"/>
          <w:color w:val="auto"/>
          <w:szCs w:val="30"/>
        </w:rPr>
        <w:t>主体设计中具有水土保持功能工程的评价</w:t>
      </w:r>
    </w:p>
    <w:p>
      <w:pPr>
        <w:snapToGrid w:val="0"/>
        <w:spacing w:line="360" w:lineRule="auto"/>
        <w:ind w:firstLine="480"/>
        <w:rPr>
          <w:rFonts w:ascii="Times New Roman" w:hAnsi="Times New Roman" w:eastAsia="仿宋_GB2312" w:cs="Times New Roman"/>
          <w:color w:val="auto"/>
          <w:szCs w:val="24"/>
        </w:rPr>
      </w:pPr>
      <w:r>
        <w:rPr>
          <w:rFonts w:ascii="Times New Roman" w:hAnsi="Times New Roman" w:eastAsia="仿宋_GB2312" w:cs="Times New Roman"/>
          <w:color w:val="auto"/>
          <w:szCs w:val="24"/>
        </w:rPr>
        <w:t>主体工程设计中具有水土保持功能的工程主要包括：土地整治工程、排水工程、</w:t>
      </w:r>
      <w:r>
        <w:rPr>
          <w:rFonts w:hint="eastAsia" w:ascii="Times New Roman" w:hAnsi="Times New Roman" w:eastAsia="仿宋_GB2312" w:cs="Times New Roman"/>
          <w:color w:val="auto"/>
          <w:szCs w:val="24"/>
        </w:rPr>
        <w:t>透水铺装工程和</w:t>
      </w:r>
      <w:r>
        <w:rPr>
          <w:rFonts w:ascii="Times New Roman" w:hAnsi="Times New Roman" w:eastAsia="仿宋_GB2312" w:cs="Times New Roman"/>
          <w:color w:val="auto"/>
          <w:szCs w:val="24"/>
        </w:rPr>
        <w:t>绿化工程。</w:t>
      </w:r>
    </w:p>
    <w:p>
      <w:pPr>
        <w:pStyle w:val="7"/>
        <w:spacing w:line="360" w:lineRule="auto"/>
        <w:rPr>
          <w:rFonts w:eastAsia="仿宋_GB2312"/>
          <w:color w:val="auto"/>
          <w:sz w:val="28"/>
          <w:szCs w:val="28"/>
        </w:rPr>
      </w:pPr>
      <w:r>
        <w:rPr>
          <w:rFonts w:eastAsia="仿宋_GB2312"/>
          <w:color w:val="auto"/>
          <w:sz w:val="28"/>
          <w:szCs w:val="28"/>
        </w:rPr>
        <w:t>3.2</w:t>
      </w:r>
      <w:r>
        <w:rPr>
          <w:rFonts w:hint="eastAsia" w:eastAsia="仿宋_GB2312"/>
          <w:color w:val="auto"/>
          <w:sz w:val="28"/>
          <w:szCs w:val="28"/>
        </w:rPr>
        <w:t>.7</w:t>
      </w:r>
      <w:r>
        <w:rPr>
          <w:rFonts w:eastAsia="仿宋_GB2312"/>
          <w:color w:val="auto"/>
          <w:sz w:val="28"/>
          <w:szCs w:val="28"/>
        </w:rPr>
        <w:t>.1</w:t>
      </w:r>
      <w:r>
        <w:rPr>
          <w:rFonts w:hint="eastAsia" w:eastAsia="仿宋_GB2312"/>
          <w:color w:val="auto"/>
          <w:sz w:val="28"/>
          <w:szCs w:val="28"/>
        </w:rPr>
        <w:t>公共基础设施区</w:t>
      </w:r>
    </w:p>
    <w:p>
      <w:pPr>
        <w:spacing w:line="360" w:lineRule="auto"/>
        <w:ind w:firstLine="482" w:firstLineChars="200"/>
        <w:rPr>
          <w:rFonts w:ascii="Times New Roman" w:hAnsi="Times New Roman" w:eastAsia="仿宋_GB2312"/>
          <w:b/>
          <w:color w:val="auto"/>
        </w:rPr>
      </w:pPr>
      <w:r>
        <w:rPr>
          <w:rFonts w:hint="eastAsia" w:ascii="Times New Roman" w:hAnsi="Times New Roman" w:eastAsia="仿宋_GB2312"/>
          <w:b/>
          <w:color w:val="auto"/>
        </w:rPr>
        <w:t>一</w:t>
      </w:r>
      <w:r>
        <w:rPr>
          <w:rFonts w:ascii="Times New Roman" w:hAnsi="Times New Roman" w:eastAsia="仿宋_GB2312"/>
          <w:b/>
          <w:color w:val="auto"/>
        </w:rPr>
        <w:t>、道路与交通设施用地区</w:t>
      </w:r>
    </w:p>
    <w:p>
      <w:pPr>
        <w:spacing w:line="360" w:lineRule="auto"/>
        <w:ind w:firstLine="480" w:firstLineChars="200"/>
        <w:rPr>
          <w:rFonts w:ascii="Times New Roman" w:hAnsi="Times New Roman" w:eastAsia="仿宋_GB2312" w:cs="Times New Roman"/>
          <w:color w:val="auto"/>
        </w:rPr>
      </w:pPr>
      <w:r>
        <w:rPr>
          <w:rFonts w:hint="eastAsia" w:ascii="Times New Roman" w:hAnsi="Times New Roman" w:eastAsia="仿宋_GB2312" w:cs="Times New Roman"/>
          <w:color w:val="auto"/>
        </w:rPr>
        <w:t>（一）道路与交通设施用地区</w:t>
      </w:r>
      <w:r>
        <w:rPr>
          <w:rFonts w:ascii="Times New Roman" w:hAnsi="Times New Roman" w:eastAsia="仿宋_GB2312" w:cs="Times New Roman"/>
          <w:color w:val="auto"/>
        </w:rPr>
        <w:t>主体工程设计中具有水土保持功能措施主要有表土剥离</w:t>
      </w:r>
      <w:r>
        <w:rPr>
          <w:rFonts w:hint="eastAsia" w:ascii="Times New Roman" w:hAnsi="Times New Roman" w:eastAsia="仿宋_GB2312" w:cs="Times New Roman"/>
          <w:color w:val="auto"/>
        </w:rPr>
        <w:t>、表土回填、雨水管、雨水口、雨水井、透水铺装和道路绿化</w:t>
      </w:r>
      <w:r>
        <w:rPr>
          <w:rFonts w:ascii="Times New Roman" w:hAnsi="Times New Roman" w:eastAsia="仿宋_GB2312" w:cs="Times New Roman"/>
          <w:color w:val="auto"/>
        </w:rPr>
        <w:t>。具体布设情况如下：</w:t>
      </w:r>
    </w:p>
    <w:p>
      <w:pPr>
        <w:spacing w:line="360" w:lineRule="auto"/>
        <w:ind w:firstLine="480" w:firstLineChars="200"/>
        <w:rPr>
          <w:rFonts w:ascii="Times New Roman" w:hAnsi="Times New Roman" w:eastAsia="仿宋_GB2312" w:cs="Times New Roman"/>
          <w:color w:val="auto"/>
          <w:highlight w:val="none"/>
        </w:rPr>
      </w:pPr>
      <w:r>
        <w:rPr>
          <w:rFonts w:ascii="Times New Roman" w:hAnsi="Times New Roman" w:eastAsia="仿宋_GB2312" w:cs="Times New Roman"/>
          <w:color w:val="auto"/>
          <w:highlight w:val="none"/>
        </w:rPr>
        <w:t>（1）土地整治工程</w:t>
      </w:r>
      <w:r>
        <w:rPr>
          <w:rFonts w:hint="eastAsia" w:ascii="Times New Roman" w:hAnsi="Times New Roman" w:eastAsia="仿宋_GB2312" w:cs="Times New Roman"/>
          <w:color w:val="auto"/>
          <w:highlight w:val="none"/>
        </w:rPr>
        <w:t>---</w:t>
      </w:r>
      <w:r>
        <w:rPr>
          <w:rFonts w:ascii="Times New Roman" w:hAnsi="Times New Roman" w:eastAsia="仿宋_GB2312" w:cs="Times New Roman"/>
          <w:color w:val="auto"/>
          <w:highlight w:val="none"/>
        </w:rPr>
        <w:t>表土剥离</w:t>
      </w:r>
      <w:r>
        <w:rPr>
          <w:rFonts w:hint="eastAsia" w:ascii="Times New Roman" w:hAnsi="Times New Roman" w:eastAsia="仿宋_GB2312" w:cs="Times New Roman"/>
          <w:color w:val="auto"/>
          <w:highlight w:val="none"/>
        </w:rPr>
        <w:t>及回填</w:t>
      </w:r>
    </w:p>
    <w:p>
      <w:pPr>
        <w:spacing w:line="360" w:lineRule="auto"/>
        <w:ind w:firstLine="480" w:firstLineChars="200"/>
        <w:rPr>
          <w:rFonts w:ascii="Times New Roman" w:hAnsi="Times New Roman" w:eastAsia="仿宋_GB2312" w:cs="Times New Roman"/>
          <w:color w:val="auto"/>
          <w:highlight w:val="none"/>
        </w:rPr>
      </w:pPr>
      <w:r>
        <w:rPr>
          <w:rFonts w:ascii="Times New Roman" w:hAnsi="Times New Roman" w:eastAsia="仿宋_GB2312" w:cs="Times New Roman"/>
          <w:color w:val="auto"/>
          <w:highlight w:val="none"/>
        </w:rPr>
        <w:t>对</w:t>
      </w:r>
      <w:r>
        <w:rPr>
          <w:rFonts w:hint="eastAsia" w:ascii="Times New Roman" w:hAnsi="Times New Roman" w:eastAsia="仿宋_GB2312" w:cs="Times New Roman"/>
          <w:color w:val="auto"/>
          <w:highlight w:val="none"/>
        </w:rPr>
        <w:t>扰动范围内耕地、林地、草地部分土质肥沃区域进行表土剥离，表土剥离面积3.44hm</w:t>
      </w:r>
      <w:r>
        <w:rPr>
          <w:rFonts w:hint="eastAsia" w:ascii="Times New Roman" w:hAnsi="Times New Roman" w:eastAsia="仿宋_GB2312" w:cs="Times New Roman"/>
          <w:color w:val="auto"/>
          <w:highlight w:val="none"/>
          <w:vertAlign w:val="superscript"/>
        </w:rPr>
        <w:t>2</w:t>
      </w:r>
      <w:r>
        <w:rPr>
          <w:rFonts w:hint="eastAsia" w:ascii="Times New Roman" w:hAnsi="Times New Roman" w:eastAsia="仿宋_GB2312" w:cs="Times New Roman"/>
          <w:color w:val="auto"/>
          <w:highlight w:val="none"/>
        </w:rPr>
        <w:t>，剥离厚度20~30cm，剥离的表土临时堆存于E</w:t>
      </w:r>
      <w:r>
        <w:rPr>
          <w:rFonts w:hint="eastAsia" w:ascii="Times New Roman" w:hAnsi="Times New Roman" w:eastAsia="仿宋_GB2312" w:cs="Times New Roman"/>
          <w:color w:val="auto"/>
          <w:highlight w:val="none"/>
          <w:lang w:val="en-US" w:eastAsia="zh-CN"/>
        </w:rPr>
        <w:t>22</w:t>
      </w:r>
      <w:r>
        <w:rPr>
          <w:rFonts w:hint="eastAsia" w:ascii="Times New Roman" w:hAnsi="Times New Roman" w:eastAsia="仿宋_GB2312" w:cs="Times New Roman"/>
          <w:color w:val="auto"/>
          <w:highlight w:val="none"/>
        </w:rPr>
        <w:t>地块表土临时堆放场进行统一保护。该区域后期道路绿化前进行表土回填，以利于植物的生长，表土回填厚度为20~40cm，回填面积0.31hm</w:t>
      </w:r>
      <w:r>
        <w:rPr>
          <w:rFonts w:hint="eastAsia" w:ascii="Times New Roman" w:hAnsi="Times New Roman" w:eastAsia="仿宋_GB2312" w:cs="Times New Roman"/>
          <w:color w:val="auto"/>
          <w:highlight w:val="none"/>
          <w:vertAlign w:val="superscript"/>
        </w:rPr>
        <w:t>2</w:t>
      </w:r>
      <w:r>
        <w:rPr>
          <w:rFonts w:hint="eastAsia" w:ascii="Times New Roman" w:hAnsi="Times New Roman" w:eastAsia="仿宋_GB2312" w:cs="Times New Roman"/>
          <w:color w:val="auto"/>
          <w:highlight w:val="none"/>
        </w:rPr>
        <w:t>。本区共计表土剥离0.98万m</w:t>
      </w:r>
      <w:r>
        <w:rPr>
          <w:rFonts w:hint="eastAsia" w:ascii="Times New Roman" w:hAnsi="Times New Roman" w:eastAsia="仿宋_GB2312" w:cs="Times New Roman"/>
          <w:color w:val="auto"/>
          <w:highlight w:val="none"/>
          <w:vertAlign w:val="superscript"/>
        </w:rPr>
        <w:t>3</w:t>
      </w:r>
      <w:r>
        <w:rPr>
          <w:rFonts w:hint="eastAsia" w:ascii="Times New Roman" w:hAnsi="Times New Roman" w:eastAsia="仿宋_GB2312" w:cs="Times New Roman"/>
          <w:color w:val="auto"/>
          <w:highlight w:val="none"/>
        </w:rPr>
        <w:t>，表土回填0.</w:t>
      </w:r>
      <w:r>
        <w:rPr>
          <w:rFonts w:hint="eastAsia" w:ascii="Times New Roman" w:hAnsi="Times New Roman" w:eastAsia="仿宋_GB2312" w:cs="Times New Roman"/>
          <w:color w:val="auto"/>
          <w:highlight w:val="none"/>
          <w:lang w:val="en-US" w:eastAsia="zh-CN"/>
        </w:rPr>
        <w:t>08</w:t>
      </w:r>
      <w:r>
        <w:rPr>
          <w:rFonts w:hint="eastAsia" w:ascii="Times New Roman" w:hAnsi="Times New Roman" w:eastAsia="仿宋_GB2312" w:cs="Times New Roman"/>
          <w:color w:val="auto"/>
          <w:highlight w:val="none"/>
        </w:rPr>
        <w:t>万m</w:t>
      </w:r>
      <w:r>
        <w:rPr>
          <w:rFonts w:hint="eastAsia" w:ascii="Times New Roman" w:hAnsi="Times New Roman" w:eastAsia="仿宋_GB2312" w:cs="Times New Roman"/>
          <w:color w:val="auto"/>
          <w:highlight w:val="none"/>
          <w:vertAlign w:val="superscript"/>
        </w:rPr>
        <w:t>3</w:t>
      </w:r>
      <w:r>
        <w:rPr>
          <w:rFonts w:ascii="Times New Roman" w:hAnsi="Times New Roman" w:eastAsia="仿宋_GB2312" w:cs="Times New Roman"/>
          <w:color w:val="auto"/>
          <w:highlight w:val="none"/>
        </w:rPr>
        <w:t>。</w:t>
      </w:r>
    </w:p>
    <w:p>
      <w:pPr>
        <w:spacing w:line="360" w:lineRule="auto"/>
        <w:ind w:firstLine="482" w:firstLineChars="200"/>
        <w:rPr>
          <w:rFonts w:ascii="Times New Roman" w:hAnsi="Times New Roman" w:eastAsia="仿宋_GB2312" w:cs="Times New Roman"/>
          <w:color w:val="auto"/>
        </w:rPr>
      </w:pPr>
      <w:r>
        <w:rPr>
          <w:rFonts w:ascii="Times New Roman" w:hAnsi="Times New Roman" w:eastAsia="仿宋_GB2312" w:cs="Times New Roman"/>
          <w:b/>
          <w:bCs/>
          <w:color w:val="auto"/>
        </w:rPr>
        <w:t>水土保持评价：</w:t>
      </w:r>
      <w:r>
        <w:rPr>
          <w:rFonts w:ascii="Times New Roman" w:hAnsi="Times New Roman" w:eastAsia="仿宋_GB2312" w:cs="Times New Roman"/>
          <w:color w:val="auto"/>
        </w:rPr>
        <w:t>通过表土剥离措施，可以避免后期购买种植土，做到了综合利用，减少借方数量，同时可以避免土方运输过程中的水土流失</w:t>
      </w:r>
      <w:r>
        <w:rPr>
          <w:rFonts w:hint="eastAsia" w:ascii="Times New Roman" w:hAnsi="Times New Roman" w:eastAsia="仿宋_GB2312" w:cs="Times New Roman"/>
          <w:color w:val="auto"/>
        </w:rPr>
        <w:t>，同时绿化前进行表土回填利于植物生长。</w:t>
      </w:r>
      <w:r>
        <w:rPr>
          <w:rFonts w:ascii="Times New Roman" w:hAnsi="Times New Roman" w:eastAsia="仿宋_GB2312" w:cs="Times New Roman"/>
          <w:color w:val="auto"/>
        </w:rPr>
        <w:t>根据水土保持工程界定原则，表土剥离及回填属于水土保持工程，将其纳入水土保持防治措施体系。</w:t>
      </w:r>
    </w:p>
    <w:p>
      <w:pPr>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olor w:val="auto"/>
        </w:rPr>
        <w:t>（</w:t>
      </w:r>
      <w:r>
        <w:rPr>
          <w:rFonts w:hint="eastAsia" w:ascii="Times New Roman" w:hAnsi="Times New Roman" w:eastAsia="仿宋_GB2312"/>
          <w:color w:val="auto"/>
        </w:rPr>
        <w:t>3</w:t>
      </w:r>
      <w:r>
        <w:rPr>
          <w:rFonts w:ascii="Times New Roman" w:hAnsi="Times New Roman" w:eastAsia="仿宋_GB2312"/>
          <w:color w:val="auto"/>
        </w:rPr>
        <w:t>）排水工程</w:t>
      </w:r>
      <w:r>
        <w:rPr>
          <w:rFonts w:hint="eastAsia" w:ascii="Times New Roman" w:hAnsi="Times New Roman" w:eastAsia="仿宋_GB2312"/>
          <w:color w:val="auto"/>
        </w:rPr>
        <w:t>---</w:t>
      </w:r>
      <w:r>
        <w:rPr>
          <w:rFonts w:hint="eastAsia" w:ascii="Times New Roman" w:hAnsi="Times New Roman" w:eastAsia="仿宋_GB2312" w:cs="Times New Roman"/>
          <w:color w:val="auto"/>
        </w:rPr>
        <w:t>雨水管、雨水口、雨水井</w:t>
      </w:r>
    </w:p>
    <w:p>
      <w:pPr>
        <w:spacing w:line="360" w:lineRule="auto"/>
        <w:ind w:firstLine="480" w:firstLineChars="200"/>
        <w:rPr>
          <w:rFonts w:hint="eastAsia" w:ascii="Times New Roman" w:hAnsi="Times New Roman" w:eastAsia="仿宋_GB2312" w:cs="Times New Roman"/>
          <w:color w:val="auto"/>
        </w:rPr>
      </w:pPr>
      <w:r>
        <w:rPr>
          <w:rFonts w:ascii="Times New Roman" w:hAnsi="Times New Roman" w:eastAsia="仿宋_GB2312"/>
          <w:color w:val="auto"/>
        </w:rPr>
        <w:t>根据</w:t>
      </w:r>
      <w:r>
        <w:rPr>
          <w:rFonts w:hint="eastAsia" w:ascii="Times New Roman" w:hAnsi="Times New Roman" w:eastAsia="仿宋_GB2312"/>
          <w:color w:val="auto"/>
        </w:rPr>
        <w:t>城市</w:t>
      </w:r>
      <w:r>
        <w:rPr>
          <w:rFonts w:ascii="Times New Roman" w:hAnsi="Times New Roman" w:eastAsia="仿宋_GB2312"/>
          <w:color w:val="auto"/>
        </w:rPr>
        <w:t>排水规划，结合</w:t>
      </w:r>
      <w:r>
        <w:rPr>
          <w:rFonts w:hint="eastAsia" w:ascii="Times New Roman" w:hAnsi="Times New Roman" w:eastAsia="仿宋_GB2312"/>
          <w:color w:val="auto"/>
        </w:rPr>
        <w:t>本项目</w:t>
      </w:r>
      <w:r>
        <w:rPr>
          <w:rFonts w:ascii="Times New Roman" w:hAnsi="Times New Roman" w:eastAsia="仿宋_GB2312"/>
          <w:color w:val="auto"/>
        </w:rPr>
        <w:t>道路的实际情况，采用雨污分流制排水系统。主体工程根据</w:t>
      </w:r>
      <w:r>
        <w:rPr>
          <w:rFonts w:hint="eastAsia" w:ascii="Times New Roman" w:hAnsi="Times New Roman" w:eastAsia="仿宋_GB2312"/>
          <w:color w:val="auto"/>
        </w:rPr>
        <w:t>《室外排水设计标准》规定，</w:t>
      </w:r>
      <w:r>
        <w:rPr>
          <w:rFonts w:ascii="Times New Roman" w:hAnsi="Times New Roman" w:eastAsia="仿宋_GB2312"/>
          <w:color w:val="auto"/>
        </w:rPr>
        <w:t>设计了完善的排水系统，雨水管按满流计算</w:t>
      </w:r>
      <w:r>
        <w:rPr>
          <w:rFonts w:hint="eastAsia" w:ascii="Times New Roman" w:hAnsi="Times New Roman" w:eastAsia="仿宋_GB2312"/>
          <w:color w:val="auto"/>
        </w:rPr>
        <w:t>，非金属管最大设计流速为5m/s，根据汇水面积和暴雨强度公式等进行雨水管道水力计算。</w:t>
      </w:r>
      <w:r>
        <w:rPr>
          <w:rFonts w:hint="eastAsia" w:ascii="Times New Roman" w:hAnsi="Times New Roman" w:eastAsia="仿宋_GB2312" w:cs="Times New Roman"/>
          <w:color w:val="auto"/>
        </w:rPr>
        <w:t>各道路雨水管径设计情况见表3.2-4。</w:t>
      </w:r>
    </w:p>
    <w:p>
      <w:pPr>
        <w:spacing w:line="360" w:lineRule="auto"/>
        <w:ind w:firstLine="480" w:firstLineChars="200"/>
        <w:rPr>
          <w:rFonts w:hint="eastAsia" w:ascii="Times New Roman" w:hAnsi="Times New Roman" w:eastAsia="仿宋_GB2312" w:cs="Times New Roman"/>
          <w:color w:val="auto"/>
        </w:rPr>
      </w:pPr>
    </w:p>
    <w:p>
      <w:pPr>
        <w:spacing w:line="360" w:lineRule="auto"/>
        <w:ind w:firstLine="480" w:firstLineChars="200"/>
        <w:rPr>
          <w:rFonts w:hint="eastAsia" w:ascii="Times New Roman" w:hAnsi="Times New Roman" w:eastAsia="仿宋_GB2312" w:cs="Times New Roman"/>
          <w:color w:val="auto"/>
        </w:rPr>
      </w:pPr>
    </w:p>
    <w:p>
      <w:pPr>
        <w:spacing w:line="360" w:lineRule="auto"/>
        <w:ind w:firstLine="480" w:firstLineChars="200"/>
        <w:rPr>
          <w:rFonts w:hint="eastAsia" w:ascii="Times New Roman" w:hAnsi="Times New Roman" w:eastAsia="仿宋_GB2312" w:cs="Times New Roman"/>
          <w:color w:val="auto"/>
        </w:rPr>
      </w:pPr>
    </w:p>
    <w:p>
      <w:pPr>
        <w:spacing w:line="360" w:lineRule="auto"/>
        <w:ind w:firstLine="480" w:firstLineChars="200"/>
        <w:rPr>
          <w:rFonts w:hint="eastAsia" w:ascii="Times New Roman" w:hAnsi="Times New Roman" w:eastAsia="仿宋_GB2312" w:cs="Times New Roman"/>
          <w:color w:val="auto"/>
        </w:rPr>
      </w:pPr>
    </w:p>
    <w:p>
      <w:pPr>
        <w:spacing w:line="360" w:lineRule="auto"/>
        <w:ind w:firstLine="480" w:firstLineChars="200"/>
        <w:rPr>
          <w:rFonts w:hint="eastAsia" w:ascii="Times New Roman" w:hAnsi="Times New Roman" w:eastAsia="仿宋_GB2312" w:cs="Times New Roman"/>
          <w:color w:val="auto"/>
        </w:rPr>
      </w:pPr>
    </w:p>
    <w:p>
      <w:pPr>
        <w:spacing w:line="360" w:lineRule="auto"/>
        <w:ind w:firstLine="480" w:firstLineChars="200"/>
        <w:rPr>
          <w:rFonts w:ascii="Times New Roman" w:hAnsi="Times New Roman" w:eastAsia="仿宋_GB2312" w:cs="Times New Roman"/>
          <w:color w:val="auto"/>
        </w:rPr>
      </w:pPr>
    </w:p>
    <w:p>
      <w:pPr>
        <w:spacing w:line="360" w:lineRule="auto"/>
        <w:jc w:val="center"/>
        <w:rPr>
          <w:rFonts w:ascii="Times New Roman" w:hAnsi="Times New Roman" w:eastAsia="仿宋_GB2312"/>
          <w:b/>
          <w:bCs/>
          <w:color w:val="auto"/>
        </w:rPr>
      </w:pPr>
      <w:r>
        <w:rPr>
          <w:rFonts w:hint="eastAsia" w:ascii="Times New Roman" w:hAnsi="Times New Roman" w:eastAsia="仿宋_GB2312"/>
          <w:b/>
          <w:bCs/>
          <w:color w:val="auto"/>
        </w:rPr>
        <w:t>表3.2-4：各区域雨水管线设计情况见表</w:t>
      </w:r>
    </w:p>
    <w:tbl>
      <w:tblPr>
        <w:tblStyle w:val="3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65"/>
        <w:gridCol w:w="1827"/>
        <w:gridCol w:w="20"/>
        <w:gridCol w:w="2636"/>
        <w:gridCol w:w="186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165" w:type="dxa"/>
            <w:tcBorders>
              <w:tl2br w:val="nil"/>
              <w:tr2bl w:val="nil"/>
            </w:tcBorders>
            <w:vAlign w:val="center"/>
          </w:tcPr>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名称</w:t>
            </w:r>
          </w:p>
        </w:tc>
        <w:tc>
          <w:tcPr>
            <w:tcW w:w="4483" w:type="dxa"/>
            <w:gridSpan w:val="3"/>
            <w:tcBorders>
              <w:tl2br w:val="nil"/>
              <w:tr2bl w:val="nil"/>
            </w:tcBorders>
            <w:vAlign w:val="center"/>
          </w:tcPr>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管径（mm）</w:t>
            </w:r>
          </w:p>
        </w:tc>
        <w:tc>
          <w:tcPr>
            <w:tcW w:w="1868" w:type="dxa"/>
            <w:tcBorders>
              <w:tl2br w:val="nil"/>
              <w:tr2bl w:val="nil"/>
            </w:tcBorders>
            <w:vAlign w:val="center"/>
          </w:tcPr>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长度（m）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65" w:type="dxa"/>
            <w:vMerge w:val="restar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尤氨公路</w:t>
            </w:r>
          </w:p>
        </w:tc>
        <w:tc>
          <w:tcPr>
            <w:tcW w:w="4483" w:type="dxa"/>
            <w:gridSpan w:val="3"/>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DN800</w:t>
            </w:r>
          </w:p>
        </w:tc>
        <w:tc>
          <w:tcPr>
            <w:tcW w:w="186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65" w:type="dxa"/>
            <w:vMerge w:val="continue"/>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p>
        </w:tc>
        <w:tc>
          <w:tcPr>
            <w:tcW w:w="4483" w:type="dxa"/>
            <w:gridSpan w:val="3"/>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DN</w:t>
            </w:r>
            <w:r>
              <w:rPr>
                <w:rFonts w:hint="eastAsia" w:ascii="Times New Roman" w:hAnsi="Times New Roman" w:eastAsia="仿宋_GB2312" w:cs="Times New Roman"/>
                <w:color w:val="auto"/>
                <w:sz w:val="21"/>
                <w:szCs w:val="21"/>
              </w:rPr>
              <w:t>10</w:t>
            </w:r>
            <w:r>
              <w:rPr>
                <w:rFonts w:ascii="Times New Roman" w:hAnsi="Times New Roman" w:eastAsia="仿宋_GB2312" w:cs="Times New Roman"/>
                <w:color w:val="auto"/>
                <w:sz w:val="21"/>
                <w:szCs w:val="21"/>
              </w:rPr>
              <w:t>00</w:t>
            </w:r>
          </w:p>
        </w:tc>
        <w:tc>
          <w:tcPr>
            <w:tcW w:w="186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338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65" w:type="dxa"/>
            <w:vMerge w:val="continue"/>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p>
        </w:tc>
        <w:tc>
          <w:tcPr>
            <w:tcW w:w="4483" w:type="dxa"/>
            <w:gridSpan w:val="3"/>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DN</w:t>
            </w:r>
            <w:r>
              <w:rPr>
                <w:rFonts w:hint="eastAsia" w:ascii="Times New Roman" w:hAnsi="Times New Roman" w:eastAsia="仿宋_GB2312" w:cs="Times New Roman"/>
                <w:color w:val="auto"/>
                <w:sz w:val="21"/>
                <w:szCs w:val="21"/>
              </w:rPr>
              <w:t>120</w:t>
            </w:r>
            <w:r>
              <w:rPr>
                <w:rFonts w:ascii="Times New Roman" w:hAnsi="Times New Roman" w:eastAsia="仿宋_GB2312" w:cs="Times New Roman"/>
                <w:color w:val="auto"/>
                <w:sz w:val="21"/>
                <w:szCs w:val="21"/>
              </w:rPr>
              <w:t>0</w:t>
            </w:r>
          </w:p>
        </w:tc>
        <w:tc>
          <w:tcPr>
            <w:tcW w:w="186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579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65"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经十六路</w:t>
            </w:r>
          </w:p>
        </w:tc>
        <w:tc>
          <w:tcPr>
            <w:tcW w:w="4483" w:type="dxa"/>
            <w:gridSpan w:val="3"/>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DN</w:t>
            </w:r>
            <w:r>
              <w:rPr>
                <w:rFonts w:hint="eastAsia" w:ascii="Times New Roman" w:hAnsi="Times New Roman" w:eastAsia="仿宋_GB2312" w:cs="Times New Roman"/>
                <w:color w:val="auto"/>
                <w:sz w:val="21"/>
                <w:szCs w:val="21"/>
              </w:rPr>
              <w:t>1500</w:t>
            </w:r>
          </w:p>
        </w:tc>
        <w:tc>
          <w:tcPr>
            <w:tcW w:w="186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391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65"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经十七路</w:t>
            </w:r>
          </w:p>
        </w:tc>
        <w:tc>
          <w:tcPr>
            <w:tcW w:w="6351" w:type="dxa"/>
            <w:gridSpan w:val="4"/>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利用周边现有道路和区域内已建设完成的市政雨水管网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65"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经十八路</w:t>
            </w:r>
          </w:p>
        </w:tc>
        <w:tc>
          <w:tcPr>
            <w:tcW w:w="1847" w:type="dxa"/>
            <w:gridSpan w:val="2"/>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DN</w:t>
            </w:r>
            <w:r>
              <w:rPr>
                <w:rFonts w:hint="eastAsia" w:ascii="Times New Roman" w:hAnsi="Times New Roman" w:eastAsia="仿宋_GB2312" w:cs="Times New Roman"/>
                <w:color w:val="auto"/>
                <w:sz w:val="21"/>
                <w:szCs w:val="21"/>
              </w:rPr>
              <w:t>1200</w:t>
            </w:r>
          </w:p>
        </w:tc>
        <w:tc>
          <w:tcPr>
            <w:tcW w:w="2636"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（已建成）</w:t>
            </w:r>
          </w:p>
        </w:tc>
        <w:tc>
          <w:tcPr>
            <w:tcW w:w="186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65"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经十九路</w:t>
            </w:r>
          </w:p>
        </w:tc>
        <w:tc>
          <w:tcPr>
            <w:tcW w:w="6351" w:type="dxa"/>
            <w:gridSpan w:val="4"/>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利用周边现有道路和区域内已建设完成的市政雨水管网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65"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梧岗南路</w:t>
            </w:r>
          </w:p>
        </w:tc>
        <w:tc>
          <w:tcPr>
            <w:tcW w:w="6351" w:type="dxa"/>
            <w:gridSpan w:val="4"/>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利用周边现有道路和区域内已建设完成的市政雨水管网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65"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嵩氨路</w:t>
            </w:r>
          </w:p>
        </w:tc>
        <w:tc>
          <w:tcPr>
            <w:tcW w:w="6351" w:type="dxa"/>
            <w:gridSpan w:val="4"/>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利用周边现有道路和区域内已建设完成的市政雨水管网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65"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王家路</w:t>
            </w:r>
          </w:p>
        </w:tc>
        <w:tc>
          <w:tcPr>
            <w:tcW w:w="4483" w:type="dxa"/>
            <w:gridSpan w:val="3"/>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DN</w:t>
            </w:r>
            <w:r>
              <w:rPr>
                <w:rFonts w:hint="eastAsia" w:ascii="Times New Roman" w:hAnsi="Times New Roman" w:eastAsia="仿宋_GB2312" w:cs="Times New Roman"/>
                <w:color w:val="auto"/>
                <w:sz w:val="21"/>
                <w:szCs w:val="21"/>
              </w:rPr>
              <w:t>1</w:t>
            </w:r>
            <w:r>
              <w:rPr>
                <w:rFonts w:ascii="Times New Roman" w:hAnsi="Times New Roman" w:eastAsia="仿宋_GB2312" w:cs="Times New Roman"/>
                <w:color w:val="auto"/>
                <w:sz w:val="21"/>
                <w:szCs w:val="21"/>
              </w:rPr>
              <w:t>800</w:t>
            </w:r>
          </w:p>
        </w:tc>
        <w:tc>
          <w:tcPr>
            <w:tcW w:w="186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674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65" w:type="dxa"/>
            <w:vMerge w:val="restar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杨家山路</w:t>
            </w:r>
          </w:p>
        </w:tc>
        <w:tc>
          <w:tcPr>
            <w:tcW w:w="18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4500×2000</w:t>
            </w:r>
          </w:p>
        </w:tc>
        <w:tc>
          <w:tcPr>
            <w:tcW w:w="2656" w:type="dxa"/>
            <w:gridSpan w:val="2"/>
            <w:vMerge w:val="restart"/>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雨水箱涵（已建成）</w:t>
            </w:r>
          </w:p>
        </w:tc>
        <w:tc>
          <w:tcPr>
            <w:tcW w:w="186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171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65" w:type="dxa"/>
            <w:vMerge w:val="continue"/>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p>
        </w:tc>
        <w:tc>
          <w:tcPr>
            <w:tcW w:w="18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5500×2000</w:t>
            </w:r>
          </w:p>
        </w:tc>
        <w:tc>
          <w:tcPr>
            <w:tcW w:w="2656" w:type="dxa"/>
            <w:gridSpan w:val="2"/>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186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583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65" w:type="dxa"/>
            <w:vMerge w:val="continue"/>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p>
        </w:tc>
        <w:tc>
          <w:tcPr>
            <w:tcW w:w="18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6000×2000</w:t>
            </w:r>
          </w:p>
        </w:tc>
        <w:tc>
          <w:tcPr>
            <w:tcW w:w="2656" w:type="dxa"/>
            <w:gridSpan w:val="2"/>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186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582</w:t>
            </w:r>
          </w:p>
        </w:tc>
      </w:tr>
    </w:tbl>
    <w:p>
      <w:pPr>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rPr>
        <w:t>根据《城市室外排水设计规范》规定，雨水管设计流量，按下列公式计算：</w:t>
      </w:r>
    </w:p>
    <w:p>
      <w:pPr>
        <w:snapToGrid w:val="0"/>
        <w:spacing w:line="360" w:lineRule="auto"/>
        <w:ind w:firstLine="480" w:firstLineChars="200"/>
        <w:jc w:val="center"/>
        <w:rPr>
          <w:rFonts w:ascii="Times New Roman" w:hAnsi="Times New Roman" w:eastAsia="仿宋_GB2312" w:cs="Times New Roman"/>
          <w:color w:val="auto"/>
        </w:rPr>
      </w:pPr>
      <w:r>
        <w:rPr>
          <w:rFonts w:ascii="Times New Roman" w:hAnsi="Times New Roman" w:eastAsia="仿宋_GB2312" w:cs="Times New Roman"/>
          <w:color w:val="auto"/>
        </w:rPr>
        <w:t>Qs=qΨF</w:t>
      </w:r>
    </w:p>
    <w:p>
      <w:pPr>
        <w:snapToGrid w:val="0"/>
        <w:spacing w:line="360" w:lineRule="auto"/>
        <w:ind w:firstLine="480" w:firstLineChars="200"/>
        <w:jc w:val="center"/>
        <w:rPr>
          <w:rFonts w:ascii="Times New Roman" w:hAnsi="Times New Roman" w:eastAsia="仿宋_GB2312" w:cs="Times New Roman"/>
          <w:color w:val="auto"/>
        </w:rPr>
      </w:pPr>
      <w:r>
        <w:rPr>
          <w:rFonts w:ascii="Times New Roman" w:hAnsi="Times New Roman" w:eastAsia="仿宋_GB2312" w:cs="Times New Roman"/>
          <w:color w:val="auto"/>
        </w:rPr>
        <w:t>式中：Qs－雨水设计流量（L/s）；q－设计暴雨强度[L/(s·hm</w:t>
      </w:r>
      <w:r>
        <w:rPr>
          <w:rFonts w:ascii="Times New Roman" w:hAnsi="Times New Roman" w:eastAsia="仿宋_GB2312" w:cs="Times New Roman"/>
          <w:color w:val="auto"/>
          <w:vertAlign w:val="superscript"/>
        </w:rPr>
        <w:t>2</w:t>
      </w:r>
      <w:r>
        <w:rPr>
          <w:rFonts w:ascii="Times New Roman" w:hAnsi="Times New Roman" w:eastAsia="仿宋_GB2312" w:cs="Times New Roman"/>
          <w:color w:val="auto"/>
        </w:rPr>
        <w:t>)]；Ψ－径流系数，本项目径流系数按0.6计；F－汇水面积（hm</w:t>
      </w:r>
      <w:r>
        <w:rPr>
          <w:rFonts w:ascii="Times New Roman" w:hAnsi="Times New Roman" w:eastAsia="仿宋_GB2312" w:cs="Times New Roman"/>
          <w:color w:val="auto"/>
          <w:vertAlign w:val="superscript"/>
        </w:rPr>
        <w:t>2</w:t>
      </w:r>
      <w:r>
        <w:rPr>
          <w:rFonts w:ascii="Times New Roman" w:hAnsi="Times New Roman" w:eastAsia="仿宋_GB2312" w:cs="Times New Roman"/>
          <w:color w:val="auto"/>
        </w:rPr>
        <w:t>）。</w:t>
      </w:r>
    </w:p>
    <w:p>
      <w:pPr>
        <w:snapToGrid w:val="0"/>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rPr>
        <w:t>暴雨强度按下列公式计算：</w:t>
      </w:r>
    </w:p>
    <w:p>
      <w:pPr>
        <w:snapToGrid w:val="0"/>
        <w:spacing w:line="360" w:lineRule="auto"/>
        <w:ind w:firstLine="512" w:firstLineChars="200"/>
        <w:jc w:val="center"/>
        <w:rPr>
          <w:rFonts w:ascii="Times New Roman" w:hAnsi="Times New Roman" w:eastAsia="仿宋_GB2312" w:cs="Times New Roman"/>
          <w:color w:val="auto"/>
          <w:spacing w:val="8"/>
        </w:rPr>
      </w:pPr>
      <m:oMathPara>
        <m:oMath>
          <m:r>
            <m:rPr>
              <m:sty m:val="p"/>
            </m:rPr>
            <w:rPr>
              <w:rFonts w:ascii="Cambria Math" w:hAnsi="Times New Roman" w:eastAsia="仿宋_GB2312" w:cs="Times New Roman"/>
              <w:color w:val="auto"/>
              <w:spacing w:val="8"/>
              <w:szCs w:val="24"/>
            </w:rPr>
            <m:t>q=</m:t>
          </m:r>
          <m:f>
            <m:fPr>
              <m:ctrlPr>
                <w:rPr>
                  <w:rFonts w:ascii="Cambria Math" w:hAnsi="Cambria Math" w:eastAsia="仿宋_GB2312" w:cs="Times New Roman"/>
                  <w:color w:val="auto"/>
                  <w:spacing w:val="8"/>
                  <w:szCs w:val="24"/>
                </w:rPr>
              </m:ctrlPr>
            </m:fPr>
            <m:num>
              <m:r>
                <m:rPr>
                  <m:sty m:val="p"/>
                </m:rPr>
                <w:rPr>
                  <w:rFonts w:ascii="Cambria Math" w:hAnsi="Times New Roman" w:eastAsia="仿宋_GB2312" w:cs="Times New Roman"/>
                  <w:color w:val="auto"/>
                  <w:spacing w:val="8"/>
                  <w:szCs w:val="24"/>
                </w:rPr>
                <m:t>1589</m:t>
              </m:r>
              <m:r>
                <m:rPr>
                  <m:sty m:val="p"/>
                </m:rPr>
                <w:rPr>
                  <w:rFonts w:ascii="Cambria Math" w:hAnsi="Cambria Math" w:eastAsia="仿宋_GB2312" w:cs="Times New Roman"/>
                  <w:color w:val="auto"/>
                  <w:spacing w:val="8"/>
                  <w:szCs w:val="24"/>
                </w:rPr>
                <m:t>（</m:t>
              </m:r>
              <m:r>
                <m:rPr>
                  <m:sty m:val="p"/>
                </m:rPr>
                <w:rPr>
                  <w:rFonts w:ascii="Cambria Math" w:hAnsi="Times New Roman" w:eastAsia="仿宋_GB2312" w:cs="Times New Roman"/>
                  <w:color w:val="auto"/>
                  <w:spacing w:val="8"/>
                  <w:szCs w:val="24"/>
                </w:rPr>
                <m:t>1+0.69</m:t>
              </m:r>
              <m:func>
                <m:funcPr>
                  <m:ctrlPr>
                    <w:rPr>
                      <w:rFonts w:ascii="Cambria Math" w:hAnsi="Cambria Math" w:eastAsia="仿宋_GB2312" w:cs="Times New Roman"/>
                      <w:color w:val="auto"/>
                      <w:spacing w:val="8"/>
                      <w:szCs w:val="24"/>
                    </w:rPr>
                  </m:ctrlPr>
                </m:funcPr>
                <m:fName>
                  <m:r>
                    <m:rPr>
                      <m:sty m:val="p"/>
                    </m:rPr>
                    <w:rPr>
                      <w:rFonts w:ascii="Cambria Math" w:hAnsi="Times New Roman" w:eastAsia="仿宋_GB2312" w:cs="Times New Roman"/>
                      <w:color w:val="auto"/>
                      <w:spacing w:val="8"/>
                      <w:szCs w:val="24"/>
                    </w:rPr>
                    <m:t>log</m:t>
                  </m:r>
                  <m:ctrlPr>
                    <w:rPr>
                      <w:rFonts w:ascii="Cambria Math" w:hAnsi="Cambria Math" w:eastAsia="仿宋_GB2312" w:cs="Times New Roman"/>
                      <w:color w:val="auto"/>
                      <w:spacing w:val="8"/>
                      <w:szCs w:val="24"/>
                    </w:rPr>
                  </m:ctrlPr>
                </m:fName>
                <m:e>
                  <m:r>
                    <m:rPr>
                      <m:sty m:val="p"/>
                    </m:rPr>
                    <w:rPr>
                      <w:rFonts w:ascii="Cambria Math" w:hAnsi="Times New Roman" w:eastAsia="仿宋_GB2312" w:cs="Times New Roman"/>
                      <w:color w:val="auto"/>
                      <w:spacing w:val="8"/>
                      <w:szCs w:val="24"/>
                    </w:rPr>
                    <m:t>P</m:t>
                  </m:r>
                  <m:ctrlPr>
                    <w:rPr>
                      <w:rFonts w:ascii="Cambria Math" w:hAnsi="Cambria Math" w:eastAsia="仿宋_GB2312" w:cs="Times New Roman"/>
                      <w:color w:val="auto"/>
                      <w:spacing w:val="8"/>
                      <w:szCs w:val="24"/>
                    </w:rPr>
                  </m:ctrlPr>
                </m:e>
              </m:func>
              <m:r>
                <m:rPr>
                  <m:sty m:val="p"/>
                </m:rPr>
                <w:rPr>
                  <w:rFonts w:ascii="Cambria Math" w:hAnsi="Cambria Math" w:eastAsia="仿宋_GB2312" w:cs="Times New Roman"/>
                  <w:color w:val="auto"/>
                  <w:spacing w:val="8"/>
                  <w:szCs w:val="24"/>
                </w:rPr>
                <m:t>）</m:t>
              </m:r>
              <m:ctrlPr>
                <w:rPr>
                  <w:rFonts w:ascii="Cambria Math" w:hAnsi="Cambria Math" w:eastAsia="仿宋_GB2312" w:cs="Times New Roman"/>
                  <w:color w:val="auto"/>
                  <w:spacing w:val="8"/>
                  <w:szCs w:val="24"/>
                </w:rPr>
              </m:ctrlPr>
            </m:num>
            <m:den>
              <m:sSup>
                <m:sSupPr>
                  <m:ctrlPr>
                    <w:rPr>
                      <w:rFonts w:ascii="Cambria Math" w:hAnsi="Cambria Math" w:eastAsia="仿宋_GB2312" w:cs="Times New Roman"/>
                      <w:color w:val="auto"/>
                      <w:spacing w:val="8"/>
                      <w:szCs w:val="24"/>
                    </w:rPr>
                  </m:ctrlPr>
                </m:sSupPr>
                <m:e>
                  <m:r>
                    <m:rPr>
                      <m:sty m:val="p"/>
                    </m:rPr>
                    <w:rPr>
                      <w:rFonts w:ascii="Cambria Math" w:hAnsi="Cambria Math" w:eastAsia="仿宋_GB2312" w:cs="Times New Roman"/>
                      <w:color w:val="auto"/>
                      <w:spacing w:val="8"/>
                      <w:szCs w:val="24"/>
                    </w:rPr>
                    <m:t>（</m:t>
                  </m:r>
                  <m:r>
                    <m:rPr>
                      <m:sty m:val="p"/>
                    </m:rPr>
                    <w:rPr>
                      <w:rFonts w:ascii="Cambria Math" w:hAnsi="Times New Roman" w:eastAsia="仿宋_GB2312" w:cs="Times New Roman"/>
                      <w:color w:val="auto"/>
                      <w:spacing w:val="8"/>
                      <w:szCs w:val="24"/>
                    </w:rPr>
                    <m:t>t+1.4</m:t>
                  </m:r>
                  <m:r>
                    <m:rPr>
                      <m:sty m:val="p"/>
                    </m:rPr>
                    <w:rPr>
                      <w:rFonts w:ascii="Cambria Math" w:hAnsi="Cambria Math" w:eastAsia="仿宋_GB2312" w:cs="Times New Roman"/>
                      <w:color w:val="auto"/>
                      <w:spacing w:val="8"/>
                      <w:szCs w:val="24"/>
                    </w:rPr>
                    <m:t>）</m:t>
                  </m:r>
                  <m:ctrlPr>
                    <w:rPr>
                      <w:rFonts w:ascii="Cambria Math" w:hAnsi="Cambria Math" w:eastAsia="仿宋_GB2312" w:cs="Times New Roman"/>
                      <w:color w:val="auto"/>
                      <w:spacing w:val="8"/>
                      <w:szCs w:val="24"/>
                    </w:rPr>
                  </m:ctrlPr>
                </m:e>
                <m:sup>
                  <m:r>
                    <m:rPr>
                      <m:sty m:val="p"/>
                    </m:rPr>
                    <w:rPr>
                      <w:rFonts w:ascii="Cambria Math" w:hAnsi="Times New Roman" w:eastAsia="仿宋_GB2312" w:cs="Times New Roman"/>
                      <w:color w:val="auto"/>
                      <w:spacing w:val="8"/>
                      <w:szCs w:val="24"/>
                    </w:rPr>
                    <m:t>0.64</m:t>
                  </m:r>
                  <m:ctrlPr>
                    <w:rPr>
                      <w:rFonts w:ascii="Cambria Math" w:hAnsi="Cambria Math" w:eastAsia="仿宋_GB2312" w:cs="Times New Roman"/>
                      <w:color w:val="auto"/>
                      <w:spacing w:val="8"/>
                      <w:szCs w:val="24"/>
                    </w:rPr>
                  </m:ctrlPr>
                </m:sup>
              </m:sSup>
              <m:ctrlPr>
                <w:rPr>
                  <w:rFonts w:ascii="Cambria Math" w:hAnsi="Cambria Math" w:eastAsia="仿宋_GB2312" w:cs="Times New Roman"/>
                  <w:color w:val="auto"/>
                  <w:spacing w:val="8"/>
                  <w:szCs w:val="24"/>
                </w:rPr>
              </m:ctrlPr>
            </m:den>
          </m:f>
        </m:oMath>
      </m:oMathPara>
    </w:p>
    <w:p>
      <w:pPr>
        <w:snapToGrid w:val="0"/>
        <w:spacing w:line="360" w:lineRule="auto"/>
        <w:ind w:firstLine="512" w:firstLineChars="200"/>
        <w:rPr>
          <w:rFonts w:ascii="Times New Roman" w:hAnsi="Times New Roman" w:eastAsia="仿宋_GB2312" w:cs="Times New Roman"/>
          <w:color w:val="auto"/>
          <w:spacing w:val="8"/>
        </w:rPr>
      </w:pPr>
      <w:r>
        <w:rPr>
          <w:rFonts w:ascii="Times New Roman" w:hAnsi="Times New Roman" w:eastAsia="仿宋_GB2312" w:cs="Times New Roman"/>
          <w:color w:val="auto"/>
          <w:spacing w:val="8"/>
        </w:rPr>
        <w:t>式中：</w:t>
      </w:r>
      <w:r>
        <w:rPr>
          <w:rFonts w:ascii="Times New Roman" w:hAnsi="Times New Roman" w:eastAsia="仿宋_GB2312" w:cs="Times New Roman"/>
          <w:i/>
          <w:color w:val="auto"/>
          <w:spacing w:val="8"/>
        </w:rPr>
        <w:t>q</w:t>
      </w:r>
      <w:r>
        <w:rPr>
          <w:rFonts w:ascii="Times New Roman" w:hAnsi="Times New Roman" w:eastAsia="仿宋_GB2312" w:cs="Times New Roman"/>
          <w:color w:val="auto"/>
          <w:spacing w:val="8"/>
        </w:rPr>
        <w:t>－设计暴雨强度[L/(s·hm</w:t>
      </w:r>
      <w:r>
        <w:rPr>
          <w:rFonts w:ascii="Times New Roman" w:hAnsi="Times New Roman" w:eastAsia="仿宋_GB2312" w:cs="Times New Roman"/>
          <w:color w:val="auto"/>
          <w:spacing w:val="8"/>
          <w:vertAlign w:val="superscript"/>
        </w:rPr>
        <w:t>2</w:t>
      </w:r>
      <w:r>
        <w:rPr>
          <w:rFonts w:ascii="Times New Roman" w:hAnsi="Times New Roman" w:eastAsia="仿宋_GB2312" w:cs="Times New Roman"/>
          <w:color w:val="auto"/>
          <w:spacing w:val="8"/>
        </w:rPr>
        <w:t>)]；t－降雨历时（min），取10min；P－设计重现期（a），设计重现期为3a；</w:t>
      </w:r>
    </w:p>
    <w:p>
      <w:pPr>
        <w:snapToGrid w:val="0"/>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rPr>
        <w:t>采用均匀流公式对其过流能力进行校核。</w:t>
      </w:r>
    </w:p>
    <w:p>
      <w:pPr>
        <w:snapToGrid w:val="0"/>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rPr>
        <w:t>均匀流公式：</w:t>
      </w:r>
    </w:p>
    <w:p>
      <w:pPr>
        <w:snapToGrid w:val="0"/>
        <w:spacing w:line="360" w:lineRule="auto"/>
        <w:ind w:firstLine="512" w:firstLineChars="200"/>
        <w:jc w:val="center"/>
        <w:rPr>
          <w:rFonts w:ascii="Times New Roman" w:hAnsi="Times New Roman" w:eastAsia="仿宋_GB2312" w:cs="Times New Roman"/>
          <w:color w:val="auto"/>
          <w:spacing w:val="8"/>
          <w:vertAlign w:val="superscript"/>
        </w:rPr>
      </w:pPr>
      <w:r>
        <w:rPr>
          <w:rFonts w:ascii="Times New Roman" w:hAnsi="Times New Roman" w:eastAsia="仿宋_GB2312" w:cs="Times New Roman"/>
          <w:color w:val="auto"/>
          <w:spacing w:val="8"/>
        </w:rPr>
        <w:t>Q=CA（Ri）</w:t>
      </w:r>
      <w:r>
        <w:rPr>
          <w:rFonts w:ascii="Times New Roman" w:hAnsi="Times New Roman" w:eastAsia="仿宋_GB2312" w:cs="Times New Roman"/>
          <w:color w:val="auto"/>
          <w:spacing w:val="8"/>
          <w:vertAlign w:val="superscript"/>
        </w:rPr>
        <w:t>0.5</w:t>
      </w:r>
    </w:p>
    <w:p>
      <w:pPr>
        <w:snapToGrid w:val="0"/>
        <w:spacing w:line="360" w:lineRule="auto"/>
        <w:ind w:firstLine="512" w:firstLineChars="200"/>
        <w:jc w:val="center"/>
        <w:rPr>
          <w:rFonts w:ascii="Times New Roman" w:hAnsi="Times New Roman" w:eastAsia="仿宋_GB2312" w:cs="Times New Roman"/>
          <w:color w:val="auto"/>
          <w:spacing w:val="8"/>
        </w:rPr>
      </w:pPr>
      <w:r>
        <w:rPr>
          <w:rFonts w:ascii="Times New Roman" w:hAnsi="Times New Roman" w:eastAsia="仿宋_GB2312" w:cs="Times New Roman"/>
          <w:color w:val="auto"/>
          <w:spacing w:val="8"/>
          <w:position w:val="-24"/>
        </w:rPr>
        <w:object>
          <v:shape id="_x0000_i1025" o:spt="75" type="#_x0000_t75" style="height:30pt;width:54pt;" o:ole="t" filled="f" o:preferrelative="t" stroked="f" coordsize="21600,21600">
            <v:path/>
            <v:fill on="f" focussize="0,0"/>
            <v:stroke on="f" joinstyle="miter"/>
            <v:imagedata r:id="rId89" o:title=""/>
            <o:lock v:ext="edit" aspectratio="t"/>
            <w10:wrap type="none"/>
            <w10:anchorlock/>
          </v:shape>
          <o:OLEObject Type="Embed" ProgID="Equation.KSEE3" ShapeID="_x0000_i1025" DrawAspect="Content" ObjectID="_1468075725" r:id="rId88">
            <o:LockedField>false</o:LockedField>
          </o:OLEObject>
        </w:object>
      </w:r>
    </w:p>
    <w:p>
      <w:pPr>
        <w:snapToGrid w:val="0"/>
        <w:spacing w:line="360" w:lineRule="auto"/>
        <w:ind w:firstLine="512" w:firstLineChars="200"/>
        <w:rPr>
          <w:rFonts w:ascii="Times New Roman" w:hAnsi="Times New Roman" w:eastAsia="仿宋_GB2312" w:cs="Times New Roman"/>
          <w:color w:val="auto"/>
          <w:spacing w:val="8"/>
        </w:rPr>
      </w:pPr>
      <w:r>
        <w:rPr>
          <w:rFonts w:ascii="Times New Roman" w:hAnsi="Times New Roman" w:eastAsia="仿宋_GB2312" w:cs="Times New Roman"/>
          <w:color w:val="auto"/>
          <w:spacing w:val="8"/>
        </w:rPr>
        <w:t>式中：Q—设计流量，单位为m</w:t>
      </w:r>
      <w:r>
        <w:rPr>
          <w:rFonts w:ascii="Times New Roman" w:hAnsi="Times New Roman" w:eastAsia="仿宋_GB2312" w:cs="Times New Roman"/>
          <w:color w:val="auto"/>
          <w:spacing w:val="8"/>
          <w:vertAlign w:val="superscript"/>
        </w:rPr>
        <w:t>3</w:t>
      </w:r>
      <w:r>
        <w:rPr>
          <w:rFonts w:ascii="Times New Roman" w:hAnsi="Times New Roman" w:eastAsia="仿宋_GB2312" w:cs="Times New Roman"/>
          <w:color w:val="auto"/>
          <w:spacing w:val="8"/>
        </w:rPr>
        <w:t>/s</w:t>
      </w:r>
      <w:r>
        <w:rPr>
          <w:rFonts w:hint="eastAsia" w:ascii="Times New Roman" w:hAnsi="Times New Roman" w:eastAsia="仿宋_GB2312" w:cs="Times New Roman"/>
          <w:color w:val="auto"/>
          <w:spacing w:val="8"/>
        </w:rPr>
        <w:t>；</w:t>
      </w:r>
      <w:r>
        <w:rPr>
          <w:rFonts w:ascii="Times New Roman" w:hAnsi="Times New Roman" w:eastAsia="仿宋_GB2312" w:cs="Times New Roman"/>
          <w:color w:val="auto"/>
          <w:spacing w:val="8"/>
        </w:rPr>
        <w:t>C—谢才系数</w:t>
      </w:r>
      <w:r>
        <w:rPr>
          <w:rFonts w:hint="eastAsia" w:ascii="Times New Roman" w:hAnsi="Times New Roman" w:eastAsia="仿宋_GB2312" w:cs="Times New Roman"/>
          <w:color w:val="auto"/>
          <w:spacing w:val="8"/>
        </w:rPr>
        <w:t>；</w:t>
      </w:r>
      <w:r>
        <w:rPr>
          <w:rFonts w:ascii="Times New Roman" w:hAnsi="Times New Roman" w:eastAsia="仿宋_GB2312" w:cs="Times New Roman"/>
          <w:color w:val="auto"/>
          <w:spacing w:val="8"/>
        </w:rPr>
        <w:t>A—断面积，圆形断面</w:t>
      </w:r>
      <w:r>
        <w:rPr>
          <w:rFonts w:hint="eastAsia" w:ascii="Times New Roman" w:hAnsi="Times New Roman" w:eastAsia="仿宋_GB2312" w:cs="Times New Roman"/>
          <w:color w:val="auto"/>
          <w:spacing w:val="8"/>
        </w:rPr>
        <w:t>；</w:t>
      </w:r>
      <w:r>
        <w:rPr>
          <w:rFonts w:ascii="Times New Roman" w:hAnsi="Times New Roman" w:eastAsia="仿宋_GB2312" w:cs="Times New Roman"/>
          <w:i/>
          <w:iCs/>
          <w:color w:val="auto"/>
          <w:spacing w:val="8"/>
        </w:rPr>
        <w:t>R</w:t>
      </w:r>
      <w:r>
        <w:rPr>
          <w:rFonts w:ascii="Times New Roman" w:hAnsi="Times New Roman" w:eastAsia="仿宋_GB2312" w:cs="Times New Roman"/>
          <w:color w:val="auto"/>
          <w:spacing w:val="8"/>
        </w:rPr>
        <w:t>—水力半径，</w:t>
      </w:r>
      <w:r>
        <w:rPr>
          <w:rFonts w:ascii="Times New Roman" w:hAnsi="Times New Roman" w:eastAsia="仿宋_GB2312" w:cs="Times New Roman"/>
          <w:i/>
          <w:iCs/>
          <w:color w:val="auto"/>
          <w:spacing w:val="8"/>
        </w:rPr>
        <w:t>R</w:t>
      </w:r>
      <w:r>
        <w:rPr>
          <w:rFonts w:ascii="Times New Roman" w:hAnsi="Times New Roman" w:eastAsia="仿宋_GB2312" w:cs="Times New Roman"/>
          <w:color w:val="auto"/>
          <w:spacing w:val="8"/>
        </w:rPr>
        <w:t>=A/X</w:t>
      </w:r>
      <w:r>
        <w:rPr>
          <w:rFonts w:hint="eastAsia" w:ascii="Times New Roman" w:hAnsi="Times New Roman" w:eastAsia="仿宋_GB2312" w:cs="Times New Roman"/>
          <w:color w:val="auto"/>
          <w:spacing w:val="8"/>
        </w:rPr>
        <w:t>；</w:t>
      </w:r>
      <w:r>
        <w:rPr>
          <w:rFonts w:ascii="Times New Roman" w:hAnsi="Times New Roman" w:eastAsia="仿宋_GB2312" w:cs="Times New Roman"/>
          <w:color w:val="auto"/>
          <w:spacing w:val="8"/>
        </w:rPr>
        <w:t>X—湿周，圆形断面</w:t>
      </w:r>
      <w:r>
        <w:rPr>
          <w:rFonts w:hint="eastAsia" w:ascii="Times New Roman" w:hAnsi="Times New Roman" w:eastAsia="仿宋_GB2312" w:cs="Times New Roman"/>
          <w:color w:val="auto"/>
          <w:spacing w:val="8"/>
        </w:rPr>
        <w:t>；</w:t>
      </w:r>
      <w:r>
        <w:rPr>
          <w:rFonts w:ascii="Times New Roman" w:hAnsi="Times New Roman" w:eastAsia="仿宋_GB2312" w:cs="Times New Roman"/>
          <w:color w:val="auto"/>
          <w:spacing w:val="8"/>
        </w:rPr>
        <w:t>i—管线纵坡，参照主体工程排水设计，取0.002</w:t>
      </w:r>
      <w:r>
        <w:rPr>
          <w:rFonts w:hint="eastAsia" w:ascii="Times New Roman" w:hAnsi="Times New Roman" w:eastAsia="仿宋_GB2312" w:cs="Times New Roman"/>
          <w:color w:val="auto"/>
          <w:spacing w:val="8"/>
        </w:rPr>
        <w:t>；</w:t>
      </w:r>
      <w:r>
        <w:rPr>
          <w:rFonts w:ascii="Times New Roman" w:hAnsi="Times New Roman" w:eastAsia="仿宋_GB2312" w:cs="Times New Roman"/>
          <w:color w:val="auto"/>
          <w:spacing w:val="8"/>
        </w:rPr>
        <w:t>n—糙率，取值0.012</w:t>
      </w:r>
      <w:r>
        <w:rPr>
          <w:rFonts w:hint="eastAsia" w:ascii="Times New Roman" w:hAnsi="Times New Roman" w:eastAsia="仿宋_GB2312" w:cs="Times New Roman"/>
          <w:color w:val="auto"/>
          <w:spacing w:val="8"/>
        </w:rPr>
        <w:t>。</w:t>
      </w:r>
    </w:p>
    <w:p>
      <w:pPr>
        <w:snapToGrid w:val="0"/>
        <w:spacing w:line="360" w:lineRule="auto"/>
        <w:ind w:firstLine="480" w:firstLineChars="200"/>
        <w:rPr>
          <w:rFonts w:ascii="Times New Roman" w:hAnsi="Times New Roman" w:eastAsia="仿宋_GB2312" w:cs="Times New Roman"/>
          <w:color w:val="auto"/>
          <w:spacing w:val="8"/>
        </w:rPr>
      </w:pPr>
      <w:r>
        <w:rPr>
          <w:rFonts w:ascii="Times New Roman" w:hAnsi="Times New Roman" w:eastAsia="仿宋_GB2312" w:cs="Times New Roman"/>
          <w:color w:val="auto"/>
        </w:rPr>
        <w:t>经</w:t>
      </w:r>
      <w:r>
        <w:rPr>
          <w:rFonts w:hint="eastAsia" w:ascii="Times New Roman" w:hAnsi="Times New Roman" w:eastAsia="仿宋_GB2312" w:cs="Times New Roman"/>
          <w:color w:val="auto"/>
        </w:rPr>
        <w:t>复核</w:t>
      </w:r>
      <w:r>
        <w:rPr>
          <w:rFonts w:hint="eastAsia" w:ascii="Times New Roman" w:hAnsi="Times New Roman" w:eastAsia="仿宋_GB2312"/>
          <w:color w:val="auto"/>
        </w:rPr>
        <w:t>区域内设计的雨水过流能力满足区域排出口的总雨水出口断面过流能力Q</w:t>
      </w:r>
      <w:r>
        <w:rPr>
          <w:rFonts w:hint="eastAsia" w:ascii="Times New Roman" w:hAnsi="Times New Roman" w:eastAsia="仿宋_GB2312"/>
          <w:color w:val="auto"/>
          <w:vertAlign w:val="subscript"/>
        </w:rPr>
        <w:t>管</w:t>
      </w:r>
      <w:r>
        <w:rPr>
          <w:rFonts w:hint="eastAsia" w:ascii="Times New Roman" w:hAnsi="Times New Roman" w:eastAsia="仿宋_GB2312"/>
          <w:color w:val="auto"/>
        </w:rPr>
        <w:t>＞Q，能满足排水要求。</w:t>
      </w:r>
      <w:r>
        <w:rPr>
          <w:rFonts w:hint="eastAsia" w:ascii="Times New Roman" w:hAnsi="Times New Roman" w:eastAsia="仿宋_GB2312" w:cs="Times New Roman"/>
          <w:color w:val="auto"/>
        </w:rPr>
        <w:t>本区域内共计</w:t>
      </w:r>
      <w:r>
        <w:rPr>
          <w:rFonts w:ascii="Times New Roman" w:hAnsi="Times New Roman" w:eastAsia="仿宋_GB2312" w:cs="Times New Roman"/>
          <w:color w:val="auto"/>
        </w:rPr>
        <w:t>布设</w:t>
      </w:r>
      <w:r>
        <w:rPr>
          <w:rFonts w:hint="eastAsia" w:ascii="Times New Roman" w:hAnsi="Times New Roman" w:eastAsia="仿宋_GB2312" w:cs="Times New Roman"/>
          <w:color w:val="auto"/>
        </w:rPr>
        <w:t>DN800~DN1800的</w:t>
      </w:r>
      <w:r>
        <w:rPr>
          <w:rFonts w:ascii="Times New Roman" w:hAnsi="Times New Roman" w:eastAsia="仿宋_GB2312" w:cs="Times New Roman"/>
          <w:color w:val="auto"/>
        </w:rPr>
        <w:t>雨水管</w:t>
      </w:r>
      <w:r>
        <w:rPr>
          <w:rFonts w:hint="eastAsia" w:ascii="Times New Roman" w:hAnsi="Times New Roman" w:eastAsia="仿宋_GB2312" w:cs="Times New Roman"/>
          <w:color w:val="auto"/>
        </w:rPr>
        <w:t>2496</w:t>
      </w:r>
      <w:r>
        <w:rPr>
          <w:rFonts w:ascii="Times New Roman" w:hAnsi="Times New Roman" w:eastAsia="仿宋_GB2312" w:cs="Times New Roman"/>
          <w:color w:val="auto"/>
        </w:rPr>
        <w:t>m，雨水口</w:t>
      </w:r>
      <w:r>
        <w:rPr>
          <w:rFonts w:hint="eastAsia" w:ascii="Times New Roman" w:hAnsi="Times New Roman" w:eastAsia="仿宋_GB2312" w:cs="Times New Roman"/>
          <w:color w:val="auto"/>
          <w:lang w:val="en-US" w:eastAsia="zh-CN"/>
        </w:rPr>
        <w:t>112</w:t>
      </w:r>
      <w:r>
        <w:rPr>
          <w:rFonts w:ascii="Times New Roman" w:hAnsi="Times New Roman" w:eastAsia="仿宋_GB2312" w:cs="Times New Roman"/>
          <w:color w:val="auto"/>
        </w:rPr>
        <w:t>个</w:t>
      </w:r>
      <w:r>
        <w:rPr>
          <w:rFonts w:hint="eastAsia" w:ascii="Times New Roman" w:hAnsi="Times New Roman" w:eastAsia="仿宋_GB2312" w:cs="Times New Roman"/>
          <w:color w:val="auto"/>
        </w:rPr>
        <w:t>，雨水井</w:t>
      </w:r>
      <w:r>
        <w:rPr>
          <w:rFonts w:hint="eastAsia" w:ascii="Times New Roman" w:hAnsi="Times New Roman" w:eastAsia="仿宋_GB2312" w:cs="Times New Roman"/>
          <w:color w:val="auto"/>
          <w:lang w:val="en-US" w:eastAsia="zh-CN"/>
        </w:rPr>
        <w:t>56</w:t>
      </w:r>
      <w:r>
        <w:rPr>
          <w:rFonts w:hint="eastAsia" w:ascii="Times New Roman" w:hAnsi="Times New Roman" w:eastAsia="仿宋_GB2312" w:cs="Times New Roman"/>
          <w:color w:val="auto"/>
        </w:rPr>
        <w:t>座，其中已建设完成的有雨水管</w:t>
      </w:r>
      <w:r>
        <w:rPr>
          <w:rFonts w:hint="eastAsia" w:ascii="Times New Roman" w:hAnsi="Times New Roman" w:eastAsia="仿宋_GB2312" w:cs="Times New Roman"/>
          <w:color w:val="auto"/>
          <w:lang w:val="en-US" w:eastAsia="zh-CN"/>
        </w:rPr>
        <w:t>276</w:t>
      </w:r>
      <w:r>
        <w:rPr>
          <w:rFonts w:hint="eastAsia" w:ascii="Times New Roman" w:hAnsi="Times New Roman" w:eastAsia="仿宋_GB2312" w:cs="Times New Roman"/>
          <w:color w:val="auto"/>
        </w:rPr>
        <w:t>m，雨水口</w:t>
      </w:r>
      <w:r>
        <w:rPr>
          <w:rFonts w:hint="eastAsia" w:ascii="Times New Roman" w:hAnsi="Times New Roman" w:eastAsia="仿宋_GB2312" w:cs="Times New Roman"/>
          <w:color w:val="auto"/>
          <w:lang w:val="en-US" w:eastAsia="zh-CN"/>
        </w:rPr>
        <w:t>16</w:t>
      </w:r>
      <w:r>
        <w:rPr>
          <w:rFonts w:hint="eastAsia" w:ascii="Times New Roman" w:hAnsi="Times New Roman" w:eastAsia="仿宋_GB2312" w:cs="Times New Roman"/>
          <w:color w:val="auto"/>
        </w:rPr>
        <w:t>个，雨水井</w:t>
      </w:r>
      <w:r>
        <w:rPr>
          <w:rFonts w:hint="eastAsia" w:ascii="Times New Roman" w:hAnsi="Times New Roman" w:eastAsia="仿宋_GB2312" w:cs="Times New Roman"/>
          <w:color w:val="auto"/>
          <w:lang w:val="en-US" w:eastAsia="zh-CN"/>
        </w:rPr>
        <w:t>5</w:t>
      </w:r>
      <w:r>
        <w:rPr>
          <w:rFonts w:hint="eastAsia" w:ascii="Times New Roman" w:hAnsi="Times New Roman" w:eastAsia="仿宋_GB2312" w:cs="Times New Roman"/>
          <w:color w:val="auto"/>
        </w:rPr>
        <w:t>座</w:t>
      </w:r>
      <w:r>
        <w:rPr>
          <w:rFonts w:hint="eastAsia" w:ascii="Times New Roman" w:hAnsi="Times New Roman" w:eastAsia="仿宋_GB2312" w:cs="Times New Roman"/>
          <w:color w:val="auto"/>
          <w:lang w:eastAsia="zh-CN"/>
        </w:rPr>
        <w:t>；管径</w:t>
      </w:r>
      <w:r>
        <w:rPr>
          <w:rFonts w:hint="eastAsia" w:ascii="Times New Roman" w:hAnsi="Times New Roman" w:eastAsia="仿宋_GB2312" w:cs="Times New Roman"/>
          <w:color w:val="auto"/>
        </w:rPr>
        <w:t>D×H=4500×2000~D×H=6000×2000雨水箱涵1336m</w:t>
      </w:r>
      <w:r>
        <w:rPr>
          <w:rFonts w:hint="eastAsia" w:ascii="Times New Roman" w:hAnsi="Times New Roman" w:eastAsia="仿宋_GB2312" w:cs="Times New Roman"/>
          <w:color w:val="auto"/>
          <w:lang w:eastAsia="zh-CN"/>
        </w:rPr>
        <w:t>，均已建设完成</w:t>
      </w:r>
      <w:r>
        <w:rPr>
          <w:rFonts w:ascii="Times New Roman" w:hAnsi="Times New Roman" w:eastAsia="仿宋_GB2312" w:cs="Times New Roman"/>
          <w:color w:val="auto"/>
        </w:rPr>
        <w:t>。</w:t>
      </w:r>
    </w:p>
    <w:p>
      <w:pPr>
        <w:spacing w:line="360" w:lineRule="auto"/>
        <w:ind w:firstLine="482" w:firstLineChars="200"/>
        <w:rPr>
          <w:rFonts w:ascii="Times New Roman" w:hAnsi="Times New Roman" w:eastAsia="仿宋_GB2312" w:cs="Times New Roman"/>
          <w:color w:val="auto"/>
        </w:rPr>
      </w:pPr>
      <w:r>
        <w:rPr>
          <w:rFonts w:ascii="Times New Roman" w:hAnsi="Times New Roman" w:eastAsia="仿宋_GB2312" w:cs="Times New Roman"/>
          <w:b/>
          <w:color w:val="auto"/>
        </w:rPr>
        <w:t>水土保持评价：</w:t>
      </w:r>
      <w:r>
        <w:rPr>
          <w:rFonts w:ascii="Times New Roman" w:hAnsi="Times New Roman" w:eastAsia="仿宋_GB2312" w:cs="Times New Roman"/>
          <w:color w:val="auto"/>
        </w:rPr>
        <w:t>从水土保持角度分析，现状已实施的雨水管网通过调查</w:t>
      </w:r>
      <w:r>
        <w:rPr>
          <w:rFonts w:hint="eastAsia" w:ascii="Times New Roman" w:hAnsi="Times New Roman" w:eastAsia="仿宋_GB2312" w:cs="Times New Roman"/>
          <w:color w:val="auto"/>
        </w:rPr>
        <w:t>，</w:t>
      </w:r>
      <w:r>
        <w:rPr>
          <w:rFonts w:ascii="Times New Roman" w:hAnsi="Times New Roman" w:eastAsia="仿宋_GB2312" w:cs="Times New Roman"/>
          <w:color w:val="auto"/>
        </w:rPr>
        <w:t>未发生严重水淹及内涝情况</w:t>
      </w:r>
      <w:r>
        <w:rPr>
          <w:rFonts w:hint="eastAsia" w:ascii="Times New Roman" w:hAnsi="Times New Roman" w:eastAsia="仿宋_GB2312" w:cs="Times New Roman"/>
          <w:color w:val="auto"/>
        </w:rPr>
        <w:t>，</w:t>
      </w:r>
      <w:r>
        <w:rPr>
          <w:rFonts w:ascii="Times New Roman" w:hAnsi="Times New Roman" w:eastAsia="仿宋_GB2312" w:cs="Times New Roman"/>
          <w:color w:val="auto"/>
        </w:rPr>
        <w:t>能满足区域排水</w:t>
      </w:r>
      <w:r>
        <w:rPr>
          <w:rFonts w:hint="eastAsia" w:ascii="Times New Roman" w:hAnsi="Times New Roman" w:eastAsia="仿宋_GB2312" w:cs="Times New Roman"/>
          <w:color w:val="auto"/>
        </w:rPr>
        <w:t>，</w:t>
      </w:r>
      <w:r>
        <w:rPr>
          <w:rFonts w:ascii="Times New Roman" w:hAnsi="Times New Roman" w:eastAsia="仿宋_GB2312" w:cs="Times New Roman"/>
          <w:color w:val="auto"/>
        </w:rPr>
        <w:t>后续布置的雨水管网通过过流能力计算亦能满足区域排水要求</w:t>
      </w:r>
      <w:r>
        <w:rPr>
          <w:rFonts w:hint="eastAsia" w:ascii="Times New Roman" w:hAnsi="Times New Roman" w:eastAsia="仿宋_GB2312" w:cs="Times New Roman"/>
          <w:color w:val="auto"/>
        </w:rPr>
        <w:t>。</w:t>
      </w:r>
      <w:r>
        <w:rPr>
          <w:rFonts w:ascii="Times New Roman" w:hAnsi="Times New Roman" w:eastAsia="仿宋_GB2312" w:cs="Times New Roman"/>
          <w:color w:val="auto"/>
        </w:rPr>
        <w:t>雨水管网的布置有利于场内雨水的收集、汇流和排放，减轻因地表水乱流而导致的地表冲刷，减少了水土流失，该项措施符合水土保持要求，纳入水土保持防治措施体系。</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（3）透水铺装工程---人行道透水铺装</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工程主体设计结合海绵城市建设理念，在各条道路</w:t>
      </w:r>
      <w:r>
        <w:rPr>
          <w:rFonts w:hint="eastAsia" w:ascii="Times New Roman" w:hAnsi="Times New Roman" w:eastAsia="仿宋_GB2312"/>
          <w:color w:val="auto"/>
        </w:rPr>
        <w:t>两侧</w:t>
      </w:r>
      <w:r>
        <w:rPr>
          <w:rFonts w:ascii="Times New Roman" w:hAnsi="Times New Roman" w:eastAsia="仿宋_GB2312"/>
          <w:color w:val="auto"/>
        </w:rPr>
        <w:t>的人行道区域设置透水铺装，采用</w:t>
      </w:r>
      <w:r>
        <w:rPr>
          <w:rFonts w:hint="eastAsia" w:ascii="Times New Roman" w:hAnsi="Times New Roman" w:eastAsia="仿宋_GB2312"/>
          <w:color w:val="auto"/>
        </w:rPr>
        <w:t>面</w:t>
      </w:r>
      <w:r>
        <w:rPr>
          <w:rFonts w:ascii="Times New Roman" w:hAnsi="Times New Roman" w:eastAsia="仿宋_GB2312"/>
          <w:color w:val="auto"/>
        </w:rPr>
        <w:t>层6cm厚的透水砖</w:t>
      </w:r>
      <w:r>
        <w:rPr>
          <w:rFonts w:hint="eastAsia" w:ascii="Times New Roman" w:hAnsi="Times New Roman" w:eastAsia="仿宋_GB2312"/>
          <w:color w:val="auto"/>
        </w:rPr>
        <w:t>、封层3cm厚水泥砂浆、基层15</w:t>
      </w:r>
      <w:r>
        <w:rPr>
          <w:rFonts w:ascii="Times New Roman" w:hAnsi="Times New Roman" w:eastAsia="仿宋_GB2312"/>
          <w:color w:val="auto"/>
        </w:rPr>
        <w:t>cmC20透水混凝土和垫层</w:t>
      </w:r>
      <w:r>
        <w:rPr>
          <w:rFonts w:hint="eastAsia" w:ascii="Times New Roman" w:hAnsi="Times New Roman" w:eastAsia="仿宋_GB2312"/>
          <w:color w:val="auto"/>
        </w:rPr>
        <w:t>10cm级配碎石的</w:t>
      </w:r>
      <w:r>
        <w:rPr>
          <w:rFonts w:ascii="Times New Roman" w:hAnsi="Times New Roman" w:eastAsia="仿宋_GB2312"/>
          <w:color w:val="auto"/>
        </w:rPr>
        <w:t>型式进行人行道铺装。本区域内共计布置人行道透水铺装</w:t>
      </w:r>
      <w:r>
        <w:rPr>
          <w:rFonts w:hint="eastAsia" w:ascii="Times New Roman" w:hAnsi="Times New Roman" w:eastAsia="仿宋_GB2312"/>
          <w:color w:val="auto"/>
          <w:lang w:val="en-US" w:eastAsia="zh-CN"/>
        </w:rPr>
        <w:t>3.83</w:t>
      </w:r>
      <w:r>
        <w:rPr>
          <w:rFonts w:hint="eastAsia" w:ascii="Times New Roman" w:hAnsi="Times New Roman" w:eastAsia="仿宋_GB2312"/>
          <w:color w:val="auto"/>
        </w:rPr>
        <w:t>hm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，其中已建成</w:t>
      </w:r>
      <w:r>
        <w:rPr>
          <w:rFonts w:ascii="Times New Roman" w:hAnsi="Times New Roman" w:eastAsia="仿宋_GB2312"/>
          <w:color w:val="auto"/>
        </w:rPr>
        <w:t>人行道透水铺装</w:t>
      </w:r>
      <w:r>
        <w:rPr>
          <w:rFonts w:hint="eastAsia" w:ascii="Times New Roman" w:hAnsi="Times New Roman" w:eastAsia="仿宋_GB2312"/>
          <w:color w:val="auto"/>
          <w:lang w:val="en-US" w:eastAsia="zh-CN"/>
        </w:rPr>
        <w:t>1.15</w:t>
      </w:r>
      <w:r>
        <w:rPr>
          <w:rFonts w:hint="eastAsia" w:ascii="Times New Roman" w:hAnsi="Times New Roman" w:eastAsia="仿宋_GB2312"/>
          <w:color w:val="auto"/>
        </w:rPr>
        <w:t>hm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w:t>
      </w:r>
    </w:p>
    <w:p>
      <w:pPr>
        <w:spacing w:line="360" w:lineRule="auto"/>
        <w:jc w:val="center"/>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表3.2-5：各道路人行道透水铺装一览表</w:t>
      </w:r>
    </w:p>
    <w:tbl>
      <w:tblPr>
        <w:tblStyle w:val="38"/>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98"/>
        <w:gridCol w:w="2236"/>
        <w:gridCol w:w="51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tcBorders>
              <w:tl2br w:val="nil"/>
              <w:tr2bl w:val="nil"/>
            </w:tcBorders>
            <w:vAlign w:val="center"/>
          </w:tcPr>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序号</w:t>
            </w:r>
          </w:p>
        </w:tc>
        <w:tc>
          <w:tcPr>
            <w:tcW w:w="1312" w:type="pct"/>
            <w:tcBorders>
              <w:tl2br w:val="nil"/>
              <w:tr2bl w:val="nil"/>
            </w:tcBorders>
            <w:vAlign w:val="center"/>
          </w:tcPr>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名称</w:t>
            </w:r>
          </w:p>
        </w:tc>
        <w:tc>
          <w:tcPr>
            <w:tcW w:w="3042" w:type="pct"/>
            <w:tcBorders>
              <w:tl2br w:val="nil"/>
              <w:tr2bl w:val="nil"/>
            </w:tcBorders>
            <w:vAlign w:val="center"/>
          </w:tcPr>
          <w:p>
            <w:pPr>
              <w:snapToGrid w:val="0"/>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color w:val="auto"/>
                <w:sz w:val="21"/>
                <w:szCs w:val="21"/>
              </w:rPr>
              <w:t>透水铺装面积（hm</w:t>
            </w:r>
            <w:r>
              <w:rPr>
                <w:rFonts w:ascii="Times New Roman" w:hAnsi="Times New Roman" w:eastAsia="仿宋_GB2312" w:cs="Times New Roman"/>
                <w:b/>
                <w:color w:val="auto"/>
                <w:sz w:val="21"/>
                <w:szCs w:val="21"/>
                <w:vertAlign w:val="superscript"/>
              </w:rPr>
              <w:t>2</w:t>
            </w:r>
            <w:r>
              <w:rPr>
                <w:rFonts w:ascii="Times New Roman" w:hAnsi="Times New Roman" w:eastAsia="仿宋_GB2312" w:cs="Times New Roman"/>
                <w:b/>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1</w:t>
            </w:r>
          </w:p>
        </w:tc>
        <w:tc>
          <w:tcPr>
            <w:tcW w:w="1312"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尤氨公路</w:t>
            </w:r>
          </w:p>
        </w:tc>
        <w:tc>
          <w:tcPr>
            <w:tcW w:w="5181" w:type="dxa"/>
            <w:tcBorders>
              <w:tl2br w:val="nil"/>
              <w:tr2bl w:val="nil"/>
            </w:tcBorders>
            <w:vAlign w:val="center"/>
          </w:tcPr>
          <w:p>
            <w:pPr>
              <w:widowControl/>
              <w:spacing w:line="240" w:lineRule="atLeast"/>
              <w:jc w:val="center"/>
              <w:textAlignment w:val="center"/>
              <w:rPr>
                <w:rFonts w:hint="default" w:ascii="Times New Roman" w:hAnsi="Times New Roman" w:eastAsia="仿宋_GB2312" w:cs="Times New Roman"/>
                <w:color w:val="auto"/>
                <w:sz w:val="21"/>
                <w:szCs w:val="21"/>
                <w:lang w:val="en-US" w:eastAsia="zh-CN"/>
              </w:rPr>
            </w:pPr>
            <w:r>
              <w:rPr>
                <w:rFonts w:ascii="Times New Roman" w:hAnsi="Times New Roman" w:eastAsia="仿宋_GB2312" w:cs="Times New Roman"/>
                <w:color w:val="auto"/>
                <w:kern w:val="0"/>
                <w:sz w:val="21"/>
                <w:szCs w:val="21"/>
              </w:rPr>
              <w:t>0.</w:t>
            </w:r>
            <w:r>
              <w:rPr>
                <w:rFonts w:hint="eastAsia" w:ascii="Times New Roman" w:hAnsi="Times New Roman" w:eastAsia="仿宋_GB2312" w:cs="Times New Roman"/>
                <w:color w:val="auto"/>
                <w:kern w:val="0"/>
                <w:sz w:val="21"/>
                <w:szCs w:val="21"/>
                <w:lang w:val="en-US" w:eastAsia="zh-CN"/>
              </w:rPr>
              <w:t>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2</w:t>
            </w:r>
          </w:p>
        </w:tc>
        <w:tc>
          <w:tcPr>
            <w:tcW w:w="1312"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经十六路</w:t>
            </w:r>
          </w:p>
        </w:tc>
        <w:tc>
          <w:tcPr>
            <w:tcW w:w="5181" w:type="dxa"/>
            <w:tcBorders>
              <w:tl2br w:val="nil"/>
              <w:tr2bl w:val="nil"/>
            </w:tcBorders>
            <w:vAlign w:val="center"/>
          </w:tcPr>
          <w:p>
            <w:pPr>
              <w:widowControl/>
              <w:spacing w:line="240" w:lineRule="atLeast"/>
              <w:jc w:val="center"/>
              <w:textAlignment w:val="center"/>
              <w:rPr>
                <w:rFonts w:hint="eastAsia" w:ascii="Times New Roman" w:hAnsi="Times New Roman" w:eastAsia="仿宋_GB2312" w:cs="Times New Roman"/>
                <w:color w:val="auto"/>
                <w:sz w:val="21"/>
                <w:szCs w:val="21"/>
                <w:lang w:val="en-US" w:eastAsia="zh-CN"/>
              </w:rPr>
            </w:pPr>
            <w:r>
              <w:rPr>
                <w:rFonts w:ascii="Times New Roman" w:hAnsi="Times New Roman" w:eastAsia="仿宋_GB2312" w:cs="Times New Roman"/>
                <w:color w:val="auto"/>
                <w:kern w:val="0"/>
                <w:sz w:val="21"/>
                <w:szCs w:val="21"/>
              </w:rPr>
              <w:t>0.2</w:t>
            </w:r>
            <w:r>
              <w:rPr>
                <w:rFonts w:hint="eastAsia" w:ascii="Times New Roman" w:hAnsi="Times New Roman" w:eastAsia="仿宋_GB2312" w:cs="Times New Roman"/>
                <w:color w:val="auto"/>
                <w:kern w:val="0"/>
                <w:sz w:val="21"/>
                <w:szCs w:val="21"/>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3</w:t>
            </w:r>
          </w:p>
        </w:tc>
        <w:tc>
          <w:tcPr>
            <w:tcW w:w="1312"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经十七路</w:t>
            </w:r>
          </w:p>
        </w:tc>
        <w:tc>
          <w:tcPr>
            <w:tcW w:w="5181" w:type="dxa"/>
            <w:tcBorders>
              <w:tl2br w:val="nil"/>
              <w:tr2bl w:val="nil"/>
            </w:tcBorders>
            <w:vAlign w:val="center"/>
          </w:tcPr>
          <w:p>
            <w:pPr>
              <w:widowControl/>
              <w:spacing w:line="240" w:lineRule="atLeast"/>
              <w:jc w:val="center"/>
              <w:textAlignment w:val="center"/>
              <w:rPr>
                <w:rFonts w:hint="eastAsia" w:ascii="Times New Roman" w:hAnsi="Times New Roman" w:eastAsia="仿宋_GB2312" w:cs="Times New Roman"/>
                <w:color w:val="auto"/>
                <w:sz w:val="21"/>
                <w:szCs w:val="21"/>
                <w:lang w:val="en-US" w:eastAsia="zh-CN"/>
              </w:rPr>
            </w:pPr>
            <w:r>
              <w:rPr>
                <w:rFonts w:ascii="Times New Roman" w:hAnsi="Times New Roman" w:eastAsia="仿宋_GB2312" w:cs="Times New Roman"/>
                <w:color w:val="auto"/>
                <w:kern w:val="0"/>
                <w:sz w:val="21"/>
                <w:szCs w:val="21"/>
              </w:rPr>
              <w:t>0.5</w:t>
            </w:r>
            <w:r>
              <w:rPr>
                <w:rFonts w:hint="eastAsia" w:ascii="Times New Roman" w:hAnsi="Times New Roman" w:eastAsia="仿宋_GB2312" w:cs="Times New Roman"/>
                <w:color w:val="auto"/>
                <w:kern w:val="0"/>
                <w:sz w:val="21"/>
                <w:szCs w:val="21"/>
                <w:lang w:val="en-US" w:eastAsia="zh-CN"/>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4</w:t>
            </w:r>
          </w:p>
        </w:tc>
        <w:tc>
          <w:tcPr>
            <w:tcW w:w="1312"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经十八路</w:t>
            </w:r>
          </w:p>
        </w:tc>
        <w:tc>
          <w:tcPr>
            <w:tcW w:w="5181"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0.</w:t>
            </w:r>
            <w:r>
              <w:rPr>
                <w:rFonts w:hint="eastAsia" w:ascii="Times New Roman" w:hAnsi="Times New Roman" w:eastAsia="仿宋_GB2312" w:cs="Times New Roman"/>
                <w:color w:val="auto"/>
                <w:kern w:val="0"/>
                <w:sz w:val="21"/>
                <w:szCs w:val="21"/>
                <w:lang w:val="en-US" w:eastAsia="zh-CN"/>
              </w:rPr>
              <w:t>43</w:t>
            </w:r>
            <w:r>
              <w:rPr>
                <w:rFonts w:hint="eastAsia" w:ascii="Times New Roman" w:hAnsi="Times New Roman" w:eastAsia="仿宋_GB2312" w:cs="Times New Roman"/>
                <w:color w:val="auto"/>
                <w:kern w:val="0"/>
                <w:sz w:val="21"/>
                <w:szCs w:val="21"/>
              </w:rPr>
              <w:t>（</w:t>
            </w:r>
            <w:r>
              <w:rPr>
                <w:rFonts w:hint="eastAsia" w:ascii="Times New Roman" w:hAnsi="Times New Roman" w:eastAsia="仿宋_GB2312" w:cs="Times New Roman"/>
                <w:color w:val="auto"/>
                <w:sz w:val="21"/>
                <w:szCs w:val="21"/>
              </w:rPr>
              <w:t>已建成</w:t>
            </w:r>
            <w:r>
              <w:rPr>
                <w:rFonts w:hint="eastAsia" w:ascii="Times New Roman" w:hAnsi="Times New Roman" w:eastAsia="仿宋_GB2312" w:cs="Times New Roman"/>
                <w:color w:val="auto"/>
                <w:sz w:val="21"/>
                <w:szCs w:val="21"/>
                <w:lang w:val="en-US" w:eastAsia="zh-CN"/>
              </w:rPr>
              <w:t>0.32</w:t>
            </w:r>
            <w:r>
              <w:rPr>
                <w:rFonts w:ascii="Times New Roman" w:hAnsi="Times New Roman" w:eastAsia="仿宋_GB2312" w:cs="Times New Roman"/>
                <w:bCs/>
                <w:color w:val="auto"/>
                <w:sz w:val="21"/>
                <w:szCs w:val="21"/>
              </w:rPr>
              <w:t>hm</w:t>
            </w:r>
            <w:r>
              <w:rPr>
                <w:rFonts w:ascii="Times New Roman" w:hAnsi="Times New Roman" w:eastAsia="仿宋_GB2312" w:cs="Times New Roman"/>
                <w:bCs/>
                <w:color w:val="auto"/>
                <w:sz w:val="21"/>
                <w:szCs w:val="21"/>
                <w:vertAlign w:val="superscript"/>
              </w:rPr>
              <w:t>2</w:t>
            </w:r>
            <w:r>
              <w:rPr>
                <w:rFonts w:hint="eastAsia" w:ascii="Times New Roman" w:hAnsi="Times New Roman" w:eastAsia="仿宋_GB2312" w:cs="Times New Roman"/>
                <w:color w:val="auto"/>
                <w:kern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5</w:t>
            </w:r>
          </w:p>
        </w:tc>
        <w:tc>
          <w:tcPr>
            <w:tcW w:w="1312"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经十九路</w:t>
            </w:r>
          </w:p>
        </w:tc>
        <w:tc>
          <w:tcPr>
            <w:tcW w:w="5181" w:type="dxa"/>
            <w:tcBorders>
              <w:tl2br w:val="nil"/>
              <w:tr2bl w:val="nil"/>
            </w:tcBorders>
            <w:vAlign w:val="center"/>
          </w:tcPr>
          <w:p>
            <w:pPr>
              <w:widowControl/>
              <w:spacing w:line="240" w:lineRule="atLeast"/>
              <w:jc w:val="center"/>
              <w:textAlignment w:val="center"/>
              <w:rPr>
                <w:rFonts w:hint="eastAsia" w:ascii="Times New Roman" w:hAnsi="Times New Roman" w:eastAsia="仿宋_GB2312" w:cs="Times New Roman"/>
                <w:color w:val="auto"/>
                <w:sz w:val="21"/>
                <w:szCs w:val="21"/>
                <w:lang w:val="en-US" w:eastAsia="zh-CN"/>
              </w:rPr>
            </w:pPr>
            <w:r>
              <w:rPr>
                <w:rFonts w:ascii="Times New Roman" w:hAnsi="Times New Roman" w:eastAsia="仿宋_GB2312" w:cs="Times New Roman"/>
                <w:color w:val="auto"/>
                <w:kern w:val="0"/>
                <w:sz w:val="21"/>
                <w:szCs w:val="21"/>
              </w:rPr>
              <w:t>0.1</w:t>
            </w:r>
            <w:r>
              <w:rPr>
                <w:rFonts w:hint="eastAsia" w:ascii="Times New Roman" w:hAnsi="Times New Roman" w:eastAsia="仿宋_GB2312" w:cs="Times New Roman"/>
                <w:color w:val="auto"/>
                <w:kern w:val="0"/>
                <w:sz w:val="21"/>
                <w:szCs w:val="21"/>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6</w:t>
            </w:r>
          </w:p>
        </w:tc>
        <w:tc>
          <w:tcPr>
            <w:tcW w:w="1312"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梧岗南路</w:t>
            </w:r>
          </w:p>
        </w:tc>
        <w:tc>
          <w:tcPr>
            <w:tcW w:w="5181" w:type="dxa"/>
            <w:tcBorders>
              <w:tl2br w:val="nil"/>
              <w:tr2bl w:val="nil"/>
            </w:tcBorders>
            <w:vAlign w:val="center"/>
          </w:tcPr>
          <w:p>
            <w:pPr>
              <w:widowControl/>
              <w:spacing w:line="240" w:lineRule="atLeast"/>
              <w:jc w:val="center"/>
              <w:textAlignment w:val="center"/>
              <w:rPr>
                <w:rFonts w:hint="eastAsia" w:ascii="Times New Roman" w:hAnsi="Times New Roman" w:eastAsia="仿宋_GB2312" w:cs="Times New Roman"/>
                <w:color w:val="auto"/>
                <w:sz w:val="21"/>
                <w:szCs w:val="21"/>
                <w:lang w:val="en-US" w:eastAsia="zh-CN"/>
              </w:rPr>
            </w:pPr>
            <w:r>
              <w:rPr>
                <w:rFonts w:ascii="Times New Roman" w:hAnsi="Times New Roman" w:eastAsia="仿宋_GB2312" w:cs="Times New Roman"/>
                <w:color w:val="auto"/>
                <w:kern w:val="0"/>
                <w:sz w:val="21"/>
                <w:szCs w:val="21"/>
              </w:rPr>
              <w:t>0.4</w:t>
            </w:r>
            <w:r>
              <w:rPr>
                <w:rFonts w:hint="eastAsia" w:ascii="Times New Roman" w:hAnsi="Times New Roman" w:eastAsia="仿宋_GB2312" w:cs="Times New Roman"/>
                <w:color w:val="auto"/>
                <w:kern w:val="0"/>
                <w:sz w:val="21"/>
                <w:szCs w:val="21"/>
                <w:lang w:val="en-US" w:eastAsia="zh-CN"/>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7</w:t>
            </w:r>
          </w:p>
        </w:tc>
        <w:tc>
          <w:tcPr>
            <w:tcW w:w="1312"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嵩氨路</w:t>
            </w:r>
          </w:p>
        </w:tc>
        <w:tc>
          <w:tcPr>
            <w:tcW w:w="5181" w:type="dxa"/>
            <w:tcBorders>
              <w:tl2br w:val="nil"/>
              <w:tr2bl w:val="nil"/>
            </w:tcBorders>
            <w:vAlign w:val="center"/>
          </w:tcPr>
          <w:p>
            <w:pPr>
              <w:widowControl/>
              <w:spacing w:line="240" w:lineRule="atLeast"/>
              <w:jc w:val="center"/>
              <w:textAlignment w:val="center"/>
              <w:rPr>
                <w:rFonts w:hint="eastAsia" w:ascii="Times New Roman" w:hAnsi="Times New Roman" w:eastAsia="仿宋_GB2312" w:cs="Times New Roman"/>
                <w:color w:val="auto"/>
                <w:sz w:val="21"/>
                <w:szCs w:val="21"/>
                <w:lang w:val="en-US" w:eastAsia="zh-CN"/>
              </w:rPr>
            </w:pPr>
            <w:r>
              <w:rPr>
                <w:rFonts w:ascii="Times New Roman" w:hAnsi="Times New Roman" w:eastAsia="仿宋_GB2312" w:cs="Times New Roman"/>
                <w:color w:val="auto"/>
                <w:kern w:val="0"/>
                <w:sz w:val="21"/>
                <w:szCs w:val="21"/>
              </w:rPr>
              <w:t>0.2</w:t>
            </w:r>
            <w:r>
              <w:rPr>
                <w:rFonts w:hint="eastAsia" w:ascii="Times New Roman" w:hAnsi="Times New Roman" w:eastAsia="仿宋_GB2312" w:cs="Times New Roman"/>
                <w:color w:val="auto"/>
                <w:kern w:val="0"/>
                <w:sz w:val="21"/>
                <w:szCs w:val="21"/>
                <w:lang w:val="en-US" w:eastAsia="zh-CN"/>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8</w:t>
            </w:r>
          </w:p>
        </w:tc>
        <w:tc>
          <w:tcPr>
            <w:tcW w:w="1312"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王家路</w:t>
            </w:r>
          </w:p>
        </w:tc>
        <w:tc>
          <w:tcPr>
            <w:tcW w:w="5181" w:type="dxa"/>
            <w:tcBorders>
              <w:tl2br w:val="nil"/>
              <w:tr2bl w:val="nil"/>
            </w:tcBorders>
            <w:vAlign w:val="center"/>
          </w:tcPr>
          <w:p>
            <w:pPr>
              <w:widowControl/>
              <w:spacing w:line="240" w:lineRule="atLeast"/>
              <w:jc w:val="center"/>
              <w:textAlignment w:val="center"/>
              <w:rPr>
                <w:rFonts w:hint="default" w:ascii="Times New Roman" w:hAnsi="Times New Roman" w:eastAsia="仿宋_GB2312" w:cs="Times New Roman"/>
                <w:color w:val="auto"/>
                <w:sz w:val="21"/>
                <w:szCs w:val="21"/>
                <w:lang w:val="en-US" w:eastAsia="zh-CN"/>
              </w:rPr>
            </w:pPr>
            <w:r>
              <w:rPr>
                <w:rFonts w:ascii="Times New Roman" w:hAnsi="Times New Roman" w:eastAsia="仿宋_GB2312" w:cs="Times New Roman"/>
                <w:color w:val="auto"/>
                <w:kern w:val="0"/>
                <w:sz w:val="21"/>
                <w:szCs w:val="21"/>
              </w:rPr>
              <w:t>0.</w:t>
            </w:r>
            <w:r>
              <w:rPr>
                <w:rFonts w:hint="eastAsia" w:ascii="Times New Roman" w:hAnsi="Times New Roman" w:eastAsia="仿宋_GB2312" w:cs="Times New Roman"/>
                <w:color w:val="auto"/>
                <w:kern w:val="0"/>
                <w:sz w:val="21"/>
                <w:szCs w:val="21"/>
                <w:lang w:val="en-US" w:eastAsia="zh-CN"/>
              </w:rPr>
              <w:t>39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9</w:t>
            </w:r>
          </w:p>
        </w:tc>
        <w:tc>
          <w:tcPr>
            <w:tcW w:w="1312"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杨家山路</w:t>
            </w:r>
          </w:p>
        </w:tc>
        <w:tc>
          <w:tcPr>
            <w:tcW w:w="5181"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0.8</w:t>
            </w:r>
            <w:r>
              <w:rPr>
                <w:rFonts w:hint="eastAsia" w:ascii="Times New Roman" w:hAnsi="Times New Roman" w:eastAsia="仿宋_GB2312" w:cs="Times New Roman"/>
                <w:color w:val="auto"/>
                <w:kern w:val="0"/>
                <w:sz w:val="21"/>
                <w:szCs w:val="21"/>
                <w:lang w:val="en-US" w:eastAsia="zh-CN"/>
              </w:rPr>
              <w:t>3</w:t>
            </w:r>
            <w:r>
              <w:rPr>
                <w:rFonts w:hint="eastAsia" w:ascii="Times New Roman" w:hAnsi="Times New Roman" w:eastAsia="仿宋_GB2312" w:cs="Times New Roman"/>
                <w:color w:val="auto"/>
                <w:kern w:val="0"/>
                <w:sz w:val="21"/>
                <w:szCs w:val="21"/>
              </w:rPr>
              <w:t>（</w:t>
            </w:r>
            <w:r>
              <w:rPr>
                <w:rFonts w:hint="eastAsia" w:ascii="Times New Roman" w:hAnsi="Times New Roman" w:eastAsia="仿宋_GB2312" w:cs="Times New Roman"/>
                <w:color w:val="auto"/>
                <w:kern w:val="0"/>
                <w:sz w:val="21"/>
                <w:szCs w:val="21"/>
                <w:lang w:eastAsia="zh-CN"/>
              </w:rPr>
              <w:t>均</w:t>
            </w:r>
            <w:r>
              <w:rPr>
                <w:rFonts w:hint="eastAsia" w:ascii="Times New Roman" w:hAnsi="Times New Roman" w:eastAsia="仿宋_GB2312" w:cs="Times New Roman"/>
                <w:color w:val="auto"/>
                <w:sz w:val="21"/>
                <w:szCs w:val="21"/>
              </w:rPr>
              <w:t>已建成</w:t>
            </w:r>
            <w:r>
              <w:rPr>
                <w:rFonts w:hint="eastAsia" w:ascii="Times New Roman" w:hAnsi="Times New Roman" w:eastAsia="仿宋_GB2312" w:cs="Times New Roman"/>
                <w:color w:val="auto"/>
                <w:kern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kern w:val="0"/>
                <w:sz w:val="21"/>
                <w:szCs w:val="21"/>
              </w:rPr>
              <w:t>10</w:t>
            </w:r>
          </w:p>
        </w:tc>
        <w:tc>
          <w:tcPr>
            <w:tcW w:w="1312"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kern w:val="0"/>
                <w:sz w:val="21"/>
                <w:szCs w:val="21"/>
              </w:rPr>
              <w:t>合计</w:t>
            </w:r>
          </w:p>
        </w:tc>
        <w:tc>
          <w:tcPr>
            <w:tcW w:w="5181" w:type="dxa"/>
            <w:tcBorders>
              <w:tl2br w:val="nil"/>
              <w:tr2bl w:val="nil"/>
            </w:tcBorders>
            <w:vAlign w:val="center"/>
          </w:tcPr>
          <w:p>
            <w:pPr>
              <w:widowControl/>
              <w:spacing w:line="240" w:lineRule="atLeast"/>
              <w:jc w:val="center"/>
              <w:textAlignment w:val="center"/>
              <w:rPr>
                <w:rFonts w:hint="default" w:ascii="Times New Roman" w:hAnsi="Times New Roman" w:eastAsia="仿宋_GB2312" w:cs="Times New Roman"/>
                <w:b/>
                <w:bCs/>
                <w:color w:val="auto"/>
                <w:kern w:val="0"/>
                <w:sz w:val="21"/>
                <w:szCs w:val="21"/>
                <w:lang w:val="en-US" w:eastAsia="zh-CN"/>
              </w:rPr>
            </w:pPr>
            <w:r>
              <w:rPr>
                <w:rFonts w:hint="eastAsia" w:ascii="Times New Roman" w:hAnsi="Times New Roman" w:eastAsia="仿宋_GB2312" w:cs="Times New Roman"/>
                <w:b/>
                <w:bCs/>
                <w:color w:val="auto"/>
                <w:kern w:val="0"/>
                <w:sz w:val="21"/>
                <w:szCs w:val="21"/>
                <w:lang w:val="en-US" w:eastAsia="zh-CN"/>
              </w:rPr>
              <w:t>3.83（1.15hm</w:t>
            </w:r>
            <w:r>
              <w:rPr>
                <w:rFonts w:hint="eastAsia" w:ascii="Times New Roman" w:hAnsi="Times New Roman" w:eastAsia="仿宋_GB2312" w:cs="Times New Roman"/>
                <w:b/>
                <w:bCs/>
                <w:color w:val="auto"/>
                <w:kern w:val="0"/>
                <w:sz w:val="21"/>
                <w:szCs w:val="21"/>
                <w:vertAlign w:val="superscript"/>
                <w:lang w:val="en-US" w:eastAsia="zh-CN"/>
              </w:rPr>
              <w:t>2</w:t>
            </w:r>
            <w:r>
              <w:rPr>
                <w:rFonts w:hint="eastAsia" w:ascii="Times New Roman" w:hAnsi="Times New Roman" w:eastAsia="仿宋_GB2312" w:cs="Times New Roman"/>
                <w:b/>
                <w:bCs/>
                <w:color w:val="auto"/>
                <w:kern w:val="0"/>
                <w:sz w:val="21"/>
                <w:szCs w:val="21"/>
                <w:lang w:val="en-US" w:eastAsia="zh-CN"/>
              </w:rPr>
              <w:t>已建成）</w:t>
            </w:r>
          </w:p>
        </w:tc>
      </w:tr>
    </w:tbl>
    <w:p>
      <w:pPr>
        <w:snapToGrid w:val="0"/>
        <w:spacing w:beforeLines="26" w:line="360" w:lineRule="auto"/>
        <w:ind w:firstLine="482" w:firstLineChars="200"/>
        <w:rPr>
          <w:rFonts w:ascii="Times New Roman" w:hAnsi="Times New Roman" w:eastAsia="仿宋_GB2312" w:cs="Times New Roman"/>
          <w:color w:val="auto"/>
          <w:szCs w:val="24"/>
        </w:rPr>
      </w:pPr>
      <w:r>
        <w:rPr>
          <w:rFonts w:ascii="Times New Roman" w:hAnsi="Times New Roman" w:eastAsia="仿宋_GB2312" w:cs="Times New Roman"/>
          <w:b/>
          <w:color w:val="auto"/>
          <w:szCs w:val="24"/>
        </w:rPr>
        <w:t>水土保持评价：</w:t>
      </w:r>
      <w:r>
        <w:rPr>
          <w:rFonts w:ascii="Times New Roman" w:hAnsi="Times New Roman" w:eastAsia="仿宋_GB2312" w:cs="Times New Roman"/>
          <w:color w:val="auto"/>
          <w:szCs w:val="24"/>
        </w:rPr>
        <w:t>项目区域内设置的透水材料铺装不仅可以增加透入地表的雨水，减少地表径流，还积极响应海绵城市的政策号召，涵养地下水源，该项措施符合水土保持要求，纳入水土保持防治措施体系。</w:t>
      </w:r>
    </w:p>
    <w:p>
      <w:pPr>
        <w:snapToGrid w:val="0"/>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（4）绿化工程---道路绿化</w:t>
      </w:r>
    </w:p>
    <w:p>
      <w:pPr>
        <w:snapToGrid w:val="0"/>
        <w:spacing w:line="360" w:lineRule="auto"/>
        <w:ind w:firstLine="480" w:firstLineChars="200"/>
        <w:rPr>
          <w:rFonts w:hint="eastAsia" w:ascii="Times New Roman" w:hAnsi="Times New Roman" w:eastAsia="仿宋_GB2312"/>
          <w:color w:val="auto"/>
        </w:rPr>
      </w:pPr>
      <w:r>
        <w:rPr>
          <w:rFonts w:hint="eastAsia" w:ascii="Times New Roman" w:hAnsi="Times New Roman" w:eastAsia="仿宋_GB2312" w:cs="Times New Roman"/>
          <w:color w:val="auto"/>
          <w:szCs w:val="24"/>
        </w:rPr>
        <w:t>本项目道路绿化主要为栽植行道树和分隔带绿化，以本地树种为主，形成四季有花、四季常绿的景观环境。同时体现时代特色，营造出清新明快的氛围。乔灌草、乔灌花的合理搭配，落叶与常绿叶树种的搭配，注重季相变化，创造出生态景观路的优美景致。</w:t>
      </w:r>
      <w:r>
        <w:rPr>
          <w:rFonts w:ascii="Times New Roman" w:hAnsi="Times New Roman" w:eastAsia="仿宋_GB2312"/>
          <w:color w:val="auto"/>
        </w:rPr>
        <w:t>本区域内共计布置</w:t>
      </w:r>
      <w:r>
        <w:rPr>
          <w:rFonts w:hint="eastAsia" w:ascii="Times New Roman" w:hAnsi="Times New Roman" w:eastAsia="仿宋_GB2312"/>
          <w:color w:val="auto"/>
        </w:rPr>
        <w:t>道路绿化0.4</w:t>
      </w:r>
      <w:r>
        <w:rPr>
          <w:rFonts w:hint="eastAsia" w:ascii="Times New Roman" w:hAnsi="Times New Roman" w:eastAsia="仿宋_GB2312"/>
          <w:color w:val="auto"/>
          <w:lang w:val="en-US" w:eastAsia="zh-CN"/>
        </w:rPr>
        <w:t>6</w:t>
      </w:r>
      <w:r>
        <w:rPr>
          <w:rFonts w:hint="eastAsia" w:ascii="Times New Roman" w:hAnsi="Times New Roman" w:eastAsia="仿宋_GB2312"/>
          <w:color w:val="auto"/>
        </w:rPr>
        <w:t>hm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，其中0.1</w:t>
      </w:r>
      <w:r>
        <w:rPr>
          <w:rFonts w:hint="eastAsia" w:ascii="Times New Roman" w:hAnsi="Times New Roman" w:eastAsia="仿宋_GB2312"/>
          <w:color w:val="auto"/>
          <w:lang w:val="en-US" w:eastAsia="zh-CN"/>
        </w:rPr>
        <w:t>5</w:t>
      </w:r>
      <w:r>
        <w:rPr>
          <w:rFonts w:hint="eastAsia" w:ascii="Times New Roman" w:hAnsi="Times New Roman" w:eastAsia="仿宋_GB2312"/>
          <w:color w:val="auto"/>
        </w:rPr>
        <w:t>hm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道路绿化已建成。各道路绿化布设见表3.2-6。</w:t>
      </w:r>
    </w:p>
    <w:p>
      <w:pPr>
        <w:snapToGrid w:val="0"/>
        <w:spacing w:line="360" w:lineRule="auto"/>
        <w:jc w:val="center"/>
        <w:rPr>
          <w:rFonts w:ascii="Times New Roman" w:hAnsi="Times New Roman" w:eastAsia="仿宋_GB2312" w:cs="Times New Roman"/>
          <w:color w:val="auto"/>
          <w:szCs w:val="24"/>
        </w:rPr>
      </w:pPr>
      <w:r>
        <w:rPr>
          <w:rFonts w:hint="eastAsia" w:ascii="Times New Roman" w:hAnsi="Times New Roman" w:eastAsia="仿宋_GB2312"/>
          <w:b/>
          <w:bCs/>
          <w:color w:val="auto"/>
        </w:rPr>
        <w:t>表3.2-6：各道路绿化布设一览表</w:t>
      </w:r>
    </w:p>
    <w:tbl>
      <w:tblPr>
        <w:tblStyle w:val="37"/>
        <w:tblW w:w="5302"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autofit"/>
        <w:tblCellMar>
          <w:top w:w="0" w:type="dxa"/>
          <w:left w:w="108" w:type="dxa"/>
          <w:bottom w:w="0" w:type="dxa"/>
          <w:right w:w="108" w:type="dxa"/>
        </w:tblCellMar>
      </w:tblPr>
      <w:tblGrid>
        <w:gridCol w:w="738"/>
        <w:gridCol w:w="1426"/>
        <w:gridCol w:w="2292"/>
        <w:gridCol w:w="2173"/>
        <w:gridCol w:w="2408"/>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jc w:val="center"/>
        </w:trPr>
        <w:tc>
          <w:tcPr>
            <w:tcW w:w="408" w:type="pct"/>
            <w:vAlign w:val="center"/>
          </w:tcPr>
          <w:p>
            <w:pPr>
              <w:widowControl/>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序号</w:t>
            </w:r>
          </w:p>
        </w:tc>
        <w:tc>
          <w:tcPr>
            <w:tcW w:w="789" w:type="pct"/>
            <w:vAlign w:val="center"/>
          </w:tcPr>
          <w:p>
            <w:pPr>
              <w:widowControl/>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道路名称</w:t>
            </w:r>
          </w:p>
        </w:tc>
        <w:tc>
          <w:tcPr>
            <w:tcW w:w="1268" w:type="pct"/>
            <w:vAlign w:val="center"/>
          </w:tcPr>
          <w:p>
            <w:pPr>
              <w:widowControl/>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绿化区域</w:t>
            </w:r>
          </w:p>
        </w:tc>
        <w:tc>
          <w:tcPr>
            <w:tcW w:w="1202" w:type="pct"/>
            <w:vAlign w:val="center"/>
          </w:tcPr>
          <w:p>
            <w:pPr>
              <w:widowControl/>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绿化面积（hm</w:t>
            </w:r>
            <w:r>
              <w:rPr>
                <w:rFonts w:ascii="Times New Roman" w:hAnsi="Times New Roman" w:eastAsia="仿宋_GB2312" w:cs="Times New Roman"/>
                <w:b/>
                <w:color w:val="auto"/>
                <w:sz w:val="21"/>
                <w:szCs w:val="21"/>
                <w:vertAlign w:val="superscript"/>
              </w:rPr>
              <w:t>2</w:t>
            </w:r>
            <w:r>
              <w:rPr>
                <w:rFonts w:ascii="Times New Roman" w:hAnsi="Times New Roman" w:eastAsia="仿宋_GB2312" w:cs="Times New Roman"/>
                <w:b/>
                <w:color w:val="auto"/>
                <w:sz w:val="21"/>
                <w:szCs w:val="21"/>
              </w:rPr>
              <w:t>）</w:t>
            </w:r>
          </w:p>
        </w:tc>
        <w:tc>
          <w:tcPr>
            <w:tcW w:w="1332" w:type="pct"/>
            <w:vAlign w:val="center"/>
          </w:tcPr>
          <w:p>
            <w:pPr>
              <w:widowControl/>
              <w:spacing w:line="240" w:lineRule="atLeast"/>
              <w:jc w:val="center"/>
              <w:rPr>
                <w:rFonts w:ascii="Times New Roman" w:hAnsi="Times New Roman" w:eastAsia="仿宋_GB2312" w:cs="Times New Roman"/>
                <w:b/>
                <w:color w:val="auto"/>
                <w:sz w:val="21"/>
                <w:szCs w:val="21"/>
              </w:rPr>
            </w:pPr>
            <w:r>
              <w:rPr>
                <w:rFonts w:hint="eastAsia" w:ascii="Times New Roman" w:hAnsi="Times New Roman" w:eastAsia="仿宋_GB2312" w:cs="Times New Roman"/>
                <w:b/>
                <w:color w:val="auto"/>
                <w:kern w:val="0"/>
                <w:sz w:val="21"/>
                <w:szCs w:val="24"/>
              </w:rPr>
              <w:t>树种及布置方案</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jc w:val="center"/>
        </w:trPr>
        <w:tc>
          <w:tcPr>
            <w:tcW w:w="408"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789"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尤氨公路</w:t>
            </w:r>
          </w:p>
        </w:tc>
        <w:tc>
          <w:tcPr>
            <w:tcW w:w="1268"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人行道树池（1.5×1.5）×2+1.5m侧分带×2</w:t>
            </w:r>
          </w:p>
        </w:tc>
        <w:tc>
          <w:tcPr>
            <w:tcW w:w="1202"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0.06</w:t>
            </w:r>
          </w:p>
        </w:tc>
        <w:tc>
          <w:tcPr>
            <w:tcW w:w="1332" w:type="pct"/>
            <w:vMerge w:val="restar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人行道使用生态树池，行道树选择冠大荫浓的常绿乔木香樟；机非隔离带上层法国梧桐、乌桕和杨梅间断种植，下层地被选用既耐水湿又有一定抗旱能力的紫叶狼尾草、千屈菜、玉簪、花菖蒲、美人蕉、大花金鸡菊和鸢尾等交替种植</w:t>
            </w:r>
            <w:r>
              <w:rPr>
                <w:rFonts w:hint="eastAsia" w:ascii="Times New Roman" w:hAnsi="Times New Roman" w:eastAsia="仿宋_GB2312" w:cs="Times New Roman"/>
                <w:color w:val="auto"/>
                <w:kern w:val="0"/>
                <w:sz w:val="21"/>
                <w:szCs w:val="21"/>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jc w:val="center"/>
        </w:trPr>
        <w:tc>
          <w:tcPr>
            <w:tcW w:w="408"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789"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经十六路</w:t>
            </w:r>
          </w:p>
        </w:tc>
        <w:tc>
          <w:tcPr>
            <w:tcW w:w="1268"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人行道树池（1.5×1.5）</w:t>
            </w:r>
          </w:p>
        </w:tc>
        <w:tc>
          <w:tcPr>
            <w:tcW w:w="1202"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0.03</w:t>
            </w:r>
          </w:p>
        </w:tc>
        <w:tc>
          <w:tcPr>
            <w:tcW w:w="1332" w:type="pct"/>
            <w:vMerge w:val="continue"/>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jc w:val="center"/>
        </w:trPr>
        <w:tc>
          <w:tcPr>
            <w:tcW w:w="408"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789"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经十七路</w:t>
            </w:r>
          </w:p>
        </w:tc>
        <w:tc>
          <w:tcPr>
            <w:tcW w:w="1268"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人行道树池（1.5×1.5）</w:t>
            </w:r>
          </w:p>
        </w:tc>
        <w:tc>
          <w:tcPr>
            <w:tcW w:w="1202"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0.06</w:t>
            </w:r>
          </w:p>
        </w:tc>
        <w:tc>
          <w:tcPr>
            <w:tcW w:w="1332" w:type="pct"/>
            <w:vMerge w:val="continue"/>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jc w:val="center"/>
        </w:trPr>
        <w:tc>
          <w:tcPr>
            <w:tcW w:w="408"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4</w:t>
            </w:r>
          </w:p>
        </w:tc>
        <w:tc>
          <w:tcPr>
            <w:tcW w:w="789"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经十八路</w:t>
            </w:r>
          </w:p>
        </w:tc>
        <w:tc>
          <w:tcPr>
            <w:tcW w:w="1268"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人行道树池（1.5×1.5）</w:t>
            </w:r>
          </w:p>
        </w:tc>
        <w:tc>
          <w:tcPr>
            <w:tcW w:w="1202"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0.0</w:t>
            </w:r>
            <w:r>
              <w:rPr>
                <w:rFonts w:hint="eastAsia" w:ascii="Times New Roman" w:hAnsi="Times New Roman" w:eastAsia="仿宋_GB2312" w:cs="Times New Roman"/>
                <w:color w:val="auto"/>
                <w:kern w:val="0"/>
                <w:sz w:val="21"/>
                <w:szCs w:val="21"/>
              </w:rPr>
              <w:t>6（0.0</w:t>
            </w:r>
            <w:r>
              <w:rPr>
                <w:rFonts w:hint="eastAsia" w:ascii="Times New Roman" w:hAnsi="Times New Roman" w:eastAsia="仿宋_GB2312" w:cs="Times New Roman"/>
                <w:color w:val="auto"/>
                <w:kern w:val="0"/>
                <w:sz w:val="21"/>
                <w:szCs w:val="21"/>
                <w:lang w:val="en-US" w:eastAsia="zh-CN"/>
              </w:rPr>
              <w:t>4</w:t>
            </w:r>
            <w:r>
              <w:rPr>
                <w:rFonts w:ascii="Times New Roman" w:hAnsi="Times New Roman" w:eastAsia="仿宋_GB2312" w:cs="Times New Roman"/>
                <w:bCs/>
                <w:color w:val="auto"/>
                <w:sz w:val="21"/>
                <w:szCs w:val="21"/>
              </w:rPr>
              <w:t>hm</w:t>
            </w:r>
            <w:r>
              <w:rPr>
                <w:rFonts w:ascii="Times New Roman" w:hAnsi="Times New Roman" w:eastAsia="仿宋_GB2312" w:cs="Times New Roman"/>
                <w:bCs/>
                <w:color w:val="auto"/>
                <w:sz w:val="21"/>
                <w:szCs w:val="21"/>
                <w:vertAlign w:val="superscript"/>
              </w:rPr>
              <w:t>2</w:t>
            </w:r>
            <w:r>
              <w:rPr>
                <w:rFonts w:hint="eastAsia" w:ascii="Times New Roman" w:hAnsi="Times New Roman" w:eastAsia="仿宋_GB2312" w:cs="Times New Roman"/>
                <w:color w:val="auto"/>
                <w:kern w:val="0"/>
                <w:sz w:val="21"/>
                <w:szCs w:val="21"/>
              </w:rPr>
              <w:t>已建成）</w:t>
            </w:r>
          </w:p>
        </w:tc>
        <w:tc>
          <w:tcPr>
            <w:tcW w:w="1332" w:type="pct"/>
            <w:vMerge w:val="continue"/>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72" w:hRule="atLeast"/>
          <w:jc w:val="center"/>
        </w:trPr>
        <w:tc>
          <w:tcPr>
            <w:tcW w:w="408" w:type="pct"/>
            <w:vAlign w:val="center"/>
          </w:tcPr>
          <w:p>
            <w:pPr>
              <w:widowControl/>
              <w:spacing w:line="240" w:lineRule="atLeast"/>
              <w:jc w:val="center"/>
              <w:rPr>
                <w:rFonts w:ascii="Times New Roman" w:hAnsi="Times New Roman" w:eastAsia="仿宋_GB2312" w:cs="Times New Roman"/>
                <w:bCs/>
                <w:color w:val="auto"/>
                <w:sz w:val="21"/>
                <w:szCs w:val="21"/>
              </w:rPr>
            </w:pPr>
            <w:r>
              <w:rPr>
                <w:rFonts w:ascii="Times New Roman" w:hAnsi="Times New Roman" w:eastAsia="仿宋_GB2312" w:cs="Times New Roman"/>
                <w:bCs/>
                <w:color w:val="auto"/>
                <w:sz w:val="21"/>
                <w:szCs w:val="21"/>
              </w:rPr>
              <w:t>5</w:t>
            </w:r>
          </w:p>
        </w:tc>
        <w:tc>
          <w:tcPr>
            <w:tcW w:w="789" w:type="pct"/>
            <w:vAlign w:val="center"/>
          </w:tcPr>
          <w:p>
            <w:pPr>
              <w:widowControl/>
              <w:spacing w:line="240" w:lineRule="atLeast"/>
              <w:jc w:val="center"/>
              <w:textAlignment w:val="center"/>
              <w:rPr>
                <w:rFonts w:ascii="Times New Roman" w:hAnsi="Times New Roman" w:eastAsia="仿宋_GB2312" w:cs="Times New Roman"/>
                <w:b/>
                <w:color w:val="auto"/>
                <w:kern w:val="0"/>
                <w:sz w:val="21"/>
                <w:szCs w:val="21"/>
              </w:rPr>
            </w:pPr>
            <w:r>
              <w:rPr>
                <w:rFonts w:ascii="Times New Roman" w:hAnsi="Times New Roman" w:eastAsia="仿宋_GB2312" w:cs="Times New Roman"/>
                <w:color w:val="auto"/>
                <w:kern w:val="0"/>
                <w:sz w:val="21"/>
                <w:szCs w:val="21"/>
              </w:rPr>
              <w:t>经十九路</w:t>
            </w:r>
          </w:p>
        </w:tc>
        <w:tc>
          <w:tcPr>
            <w:tcW w:w="1268"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人行道树池（1.5×1.5）</w:t>
            </w:r>
          </w:p>
        </w:tc>
        <w:tc>
          <w:tcPr>
            <w:tcW w:w="1202" w:type="pct"/>
            <w:vAlign w:val="center"/>
          </w:tcPr>
          <w:p>
            <w:pPr>
              <w:widowControl/>
              <w:spacing w:line="240" w:lineRule="atLeast"/>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color w:val="auto"/>
                <w:kern w:val="0"/>
                <w:sz w:val="21"/>
                <w:szCs w:val="21"/>
              </w:rPr>
              <w:t>0.02</w:t>
            </w:r>
          </w:p>
        </w:tc>
        <w:tc>
          <w:tcPr>
            <w:tcW w:w="1332" w:type="pct"/>
            <w:vMerge w:val="continue"/>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72" w:hRule="atLeast"/>
          <w:jc w:val="center"/>
        </w:trPr>
        <w:tc>
          <w:tcPr>
            <w:tcW w:w="408" w:type="pct"/>
            <w:vAlign w:val="center"/>
          </w:tcPr>
          <w:p>
            <w:pPr>
              <w:widowControl/>
              <w:spacing w:line="240" w:lineRule="atLeast"/>
              <w:jc w:val="center"/>
              <w:rPr>
                <w:rFonts w:ascii="Times New Roman" w:hAnsi="Times New Roman" w:eastAsia="仿宋_GB2312" w:cs="Times New Roman"/>
                <w:bCs/>
                <w:color w:val="auto"/>
                <w:sz w:val="21"/>
                <w:szCs w:val="21"/>
              </w:rPr>
            </w:pPr>
            <w:r>
              <w:rPr>
                <w:rFonts w:ascii="Times New Roman" w:hAnsi="Times New Roman" w:eastAsia="仿宋_GB2312" w:cs="Times New Roman"/>
                <w:bCs/>
                <w:color w:val="auto"/>
                <w:sz w:val="21"/>
                <w:szCs w:val="21"/>
              </w:rPr>
              <w:t>6</w:t>
            </w:r>
          </w:p>
        </w:tc>
        <w:tc>
          <w:tcPr>
            <w:tcW w:w="789" w:type="pct"/>
            <w:vAlign w:val="center"/>
          </w:tcPr>
          <w:p>
            <w:pPr>
              <w:widowControl/>
              <w:spacing w:line="240" w:lineRule="atLeast"/>
              <w:jc w:val="center"/>
              <w:textAlignment w:val="center"/>
              <w:rPr>
                <w:rFonts w:ascii="Times New Roman" w:hAnsi="Times New Roman" w:eastAsia="仿宋_GB2312" w:cs="Times New Roman"/>
                <w:b/>
                <w:color w:val="auto"/>
                <w:kern w:val="0"/>
                <w:sz w:val="21"/>
                <w:szCs w:val="21"/>
              </w:rPr>
            </w:pPr>
            <w:r>
              <w:rPr>
                <w:rFonts w:ascii="Times New Roman" w:hAnsi="Times New Roman" w:eastAsia="仿宋_GB2312" w:cs="Times New Roman"/>
                <w:color w:val="auto"/>
                <w:kern w:val="0"/>
                <w:sz w:val="21"/>
                <w:szCs w:val="21"/>
              </w:rPr>
              <w:t>梧岗南路</w:t>
            </w:r>
          </w:p>
        </w:tc>
        <w:tc>
          <w:tcPr>
            <w:tcW w:w="1268"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人行道树池（1.5×1.5）</w:t>
            </w:r>
          </w:p>
        </w:tc>
        <w:tc>
          <w:tcPr>
            <w:tcW w:w="1202"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0.05</w:t>
            </w:r>
          </w:p>
        </w:tc>
        <w:tc>
          <w:tcPr>
            <w:tcW w:w="1332" w:type="pct"/>
            <w:vMerge w:val="continue"/>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72" w:hRule="atLeast"/>
          <w:jc w:val="center"/>
        </w:trPr>
        <w:tc>
          <w:tcPr>
            <w:tcW w:w="408" w:type="pct"/>
            <w:vAlign w:val="center"/>
          </w:tcPr>
          <w:p>
            <w:pPr>
              <w:widowControl/>
              <w:spacing w:line="240" w:lineRule="atLeast"/>
              <w:jc w:val="center"/>
              <w:rPr>
                <w:rFonts w:ascii="Times New Roman" w:hAnsi="Times New Roman" w:eastAsia="仿宋_GB2312" w:cs="Times New Roman"/>
                <w:bCs/>
                <w:color w:val="auto"/>
                <w:sz w:val="21"/>
                <w:szCs w:val="21"/>
              </w:rPr>
            </w:pPr>
            <w:r>
              <w:rPr>
                <w:rFonts w:ascii="Times New Roman" w:hAnsi="Times New Roman" w:eastAsia="仿宋_GB2312" w:cs="Times New Roman"/>
                <w:bCs/>
                <w:color w:val="auto"/>
                <w:sz w:val="21"/>
                <w:szCs w:val="21"/>
              </w:rPr>
              <w:t>7</w:t>
            </w:r>
          </w:p>
        </w:tc>
        <w:tc>
          <w:tcPr>
            <w:tcW w:w="789" w:type="pct"/>
            <w:vAlign w:val="center"/>
          </w:tcPr>
          <w:p>
            <w:pPr>
              <w:widowControl/>
              <w:spacing w:line="240" w:lineRule="atLeast"/>
              <w:jc w:val="center"/>
              <w:textAlignment w:val="center"/>
              <w:rPr>
                <w:rFonts w:ascii="Times New Roman" w:hAnsi="Times New Roman" w:eastAsia="仿宋_GB2312" w:cs="Times New Roman"/>
                <w:b/>
                <w:color w:val="auto"/>
                <w:kern w:val="0"/>
                <w:sz w:val="21"/>
                <w:szCs w:val="21"/>
              </w:rPr>
            </w:pPr>
            <w:r>
              <w:rPr>
                <w:rFonts w:ascii="Times New Roman" w:hAnsi="Times New Roman" w:eastAsia="仿宋_GB2312" w:cs="Times New Roman"/>
                <w:color w:val="auto"/>
                <w:kern w:val="0"/>
                <w:sz w:val="21"/>
                <w:szCs w:val="21"/>
              </w:rPr>
              <w:t>嵩氨路</w:t>
            </w:r>
          </w:p>
        </w:tc>
        <w:tc>
          <w:tcPr>
            <w:tcW w:w="1268"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人行道树池（1.5×1.5）</w:t>
            </w:r>
          </w:p>
        </w:tc>
        <w:tc>
          <w:tcPr>
            <w:tcW w:w="1202"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0.03</w:t>
            </w:r>
          </w:p>
        </w:tc>
        <w:tc>
          <w:tcPr>
            <w:tcW w:w="1332" w:type="pct"/>
            <w:vMerge w:val="continue"/>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72" w:hRule="atLeast"/>
          <w:jc w:val="center"/>
        </w:trPr>
        <w:tc>
          <w:tcPr>
            <w:tcW w:w="408" w:type="pct"/>
            <w:vAlign w:val="center"/>
          </w:tcPr>
          <w:p>
            <w:pPr>
              <w:widowControl/>
              <w:spacing w:line="240" w:lineRule="atLeast"/>
              <w:jc w:val="center"/>
              <w:rPr>
                <w:rFonts w:ascii="Times New Roman" w:hAnsi="Times New Roman" w:eastAsia="仿宋_GB2312" w:cs="Times New Roman"/>
                <w:bCs/>
                <w:color w:val="auto"/>
                <w:sz w:val="21"/>
                <w:szCs w:val="21"/>
              </w:rPr>
            </w:pPr>
            <w:r>
              <w:rPr>
                <w:rFonts w:ascii="Times New Roman" w:hAnsi="Times New Roman" w:eastAsia="仿宋_GB2312" w:cs="Times New Roman"/>
                <w:bCs/>
                <w:color w:val="auto"/>
                <w:sz w:val="21"/>
                <w:szCs w:val="21"/>
              </w:rPr>
              <w:t>8</w:t>
            </w:r>
          </w:p>
        </w:tc>
        <w:tc>
          <w:tcPr>
            <w:tcW w:w="789" w:type="pct"/>
            <w:vAlign w:val="center"/>
          </w:tcPr>
          <w:p>
            <w:pPr>
              <w:widowControl/>
              <w:spacing w:line="240" w:lineRule="atLeast"/>
              <w:jc w:val="center"/>
              <w:textAlignment w:val="center"/>
              <w:rPr>
                <w:rFonts w:ascii="Times New Roman" w:hAnsi="Times New Roman" w:eastAsia="仿宋_GB2312" w:cs="Times New Roman"/>
                <w:b/>
                <w:color w:val="auto"/>
                <w:kern w:val="0"/>
                <w:sz w:val="21"/>
                <w:szCs w:val="21"/>
              </w:rPr>
            </w:pPr>
            <w:r>
              <w:rPr>
                <w:rFonts w:ascii="Times New Roman" w:hAnsi="Times New Roman" w:eastAsia="仿宋_GB2312" w:cs="Times New Roman"/>
                <w:color w:val="auto"/>
                <w:kern w:val="0"/>
                <w:sz w:val="21"/>
                <w:szCs w:val="21"/>
              </w:rPr>
              <w:t>王家路</w:t>
            </w:r>
          </w:p>
        </w:tc>
        <w:tc>
          <w:tcPr>
            <w:tcW w:w="1268"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人行道树池（1.5×1.5）</w:t>
            </w:r>
          </w:p>
        </w:tc>
        <w:tc>
          <w:tcPr>
            <w:tcW w:w="1202"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0.05</w:t>
            </w:r>
          </w:p>
        </w:tc>
        <w:tc>
          <w:tcPr>
            <w:tcW w:w="1332" w:type="pct"/>
            <w:vMerge w:val="continue"/>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72" w:hRule="atLeast"/>
          <w:jc w:val="center"/>
        </w:trPr>
        <w:tc>
          <w:tcPr>
            <w:tcW w:w="408" w:type="pct"/>
            <w:vAlign w:val="center"/>
          </w:tcPr>
          <w:p>
            <w:pPr>
              <w:widowControl/>
              <w:spacing w:line="240" w:lineRule="atLeast"/>
              <w:jc w:val="center"/>
              <w:rPr>
                <w:rFonts w:ascii="Times New Roman" w:hAnsi="Times New Roman" w:eastAsia="仿宋_GB2312" w:cs="Times New Roman"/>
                <w:bCs/>
                <w:color w:val="auto"/>
                <w:sz w:val="21"/>
                <w:szCs w:val="21"/>
              </w:rPr>
            </w:pPr>
            <w:r>
              <w:rPr>
                <w:rFonts w:ascii="Times New Roman" w:hAnsi="Times New Roman" w:eastAsia="仿宋_GB2312" w:cs="Times New Roman"/>
                <w:bCs/>
                <w:color w:val="auto"/>
                <w:sz w:val="21"/>
                <w:szCs w:val="21"/>
              </w:rPr>
              <w:t>9</w:t>
            </w:r>
          </w:p>
        </w:tc>
        <w:tc>
          <w:tcPr>
            <w:tcW w:w="789" w:type="pct"/>
            <w:vAlign w:val="center"/>
          </w:tcPr>
          <w:p>
            <w:pPr>
              <w:widowControl/>
              <w:spacing w:line="240" w:lineRule="atLeast"/>
              <w:jc w:val="center"/>
              <w:textAlignment w:val="center"/>
              <w:rPr>
                <w:rFonts w:ascii="Times New Roman" w:hAnsi="Times New Roman" w:eastAsia="仿宋_GB2312" w:cs="Times New Roman"/>
                <w:b/>
                <w:color w:val="auto"/>
                <w:kern w:val="0"/>
                <w:sz w:val="21"/>
                <w:szCs w:val="21"/>
              </w:rPr>
            </w:pPr>
            <w:r>
              <w:rPr>
                <w:rFonts w:ascii="Times New Roman" w:hAnsi="Times New Roman" w:eastAsia="仿宋_GB2312" w:cs="Times New Roman"/>
                <w:color w:val="auto"/>
                <w:kern w:val="0"/>
                <w:sz w:val="21"/>
                <w:szCs w:val="21"/>
              </w:rPr>
              <w:t>杨家山路</w:t>
            </w:r>
          </w:p>
        </w:tc>
        <w:tc>
          <w:tcPr>
            <w:tcW w:w="1268"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人行道树池（1.5×1.5）</w:t>
            </w:r>
          </w:p>
        </w:tc>
        <w:tc>
          <w:tcPr>
            <w:tcW w:w="1202"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0.11（已建成）</w:t>
            </w:r>
          </w:p>
        </w:tc>
        <w:tc>
          <w:tcPr>
            <w:tcW w:w="1332" w:type="pct"/>
            <w:vMerge w:val="continue"/>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72" w:hRule="atLeast"/>
          <w:jc w:val="center"/>
        </w:trPr>
        <w:tc>
          <w:tcPr>
            <w:tcW w:w="408" w:type="pct"/>
            <w:vAlign w:val="center"/>
          </w:tcPr>
          <w:p>
            <w:pPr>
              <w:widowControl/>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10</w:t>
            </w:r>
          </w:p>
        </w:tc>
        <w:tc>
          <w:tcPr>
            <w:tcW w:w="789" w:type="pct"/>
            <w:vAlign w:val="center"/>
          </w:tcPr>
          <w:p>
            <w:pPr>
              <w:widowControl/>
              <w:spacing w:line="240" w:lineRule="atLeast"/>
              <w:jc w:val="center"/>
              <w:textAlignment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bCs/>
                <w:color w:val="auto"/>
                <w:kern w:val="0"/>
                <w:sz w:val="21"/>
                <w:szCs w:val="21"/>
              </w:rPr>
              <w:t>合计</w:t>
            </w:r>
          </w:p>
        </w:tc>
        <w:tc>
          <w:tcPr>
            <w:tcW w:w="1268" w:type="pct"/>
            <w:vAlign w:val="center"/>
          </w:tcPr>
          <w:p>
            <w:pPr>
              <w:widowControl/>
              <w:spacing w:line="240" w:lineRule="atLeast"/>
              <w:jc w:val="center"/>
              <w:textAlignment w:val="center"/>
              <w:rPr>
                <w:rFonts w:ascii="Times New Roman" w:hAnsi="Times New Roman" w:eastAsia="仿宋_GB2312" w:cs="Times New Roman"/>
                <w:b/>
                <w:bCs/>
                <w:color w:val="auto"/>
                <w:kern w:val="0"/>
                <w:sz w:val="21"/>
                <w:szCs w:val="21"/>
              </w:rPr>
            </w:pPr>
          </w:p>
        </w:tc>
        <w:tc>
          <w:tcPr>
            <w:tcW w:w="1202"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b/>
                <w:bCs/>
                <w:color w:val="auto"/>
                <w:kern w:val="0"/>
                <w:sz w:val="21"/>
                <w:szCs w:val="21"/>
              </w:rPr>
              <w:t>0.4</w:t>
            </w:r>
            <w:r>
              <w:rPr>
                <w:rFonts w:hint="eastAsia" w:ascii="Times New Roman" w:hAnsi="Times New Roman" w:eastAsia="仿宋_GB2312" w:cs="Times New Roman"/>
                <w:b/>
                <w:bCs/>
                <w:color w:val="auto"/>
                <w:kern w:val="0"/>
                <w:sz w:val="21"/>
                <w:szCs w:val="21"/>
                <w:lang w:val="en-US" w:eastAsia="zh-CN"/>
              </w:rPr>
              <w:t>6</w:t>
            </w:r>
            <w:r>
              <w:rPr>
                <w:rFonts w:hint="eastAsia" w:ascii="Times New Roman" w:hAnsi="Times New Roman" w:eastAsia="仿宋_GB2312" w:cs="Times New Roman"/>
                <w:b/>
                <w:bCs/>
                <w:color w:val="auto"/>
                <w:kern w:val="0"/>
                <w:sz w:val="21"/>
                <w:szCs w:val="21"/>
              </w:rPr>
              <w:t>（0.1</w:t>
            </w:r>
            <w:r>
              <w:rPr>
                <w:rFonts w:hint="eastAsia" w:ascii="Times New Roman" w:hAnsi="Times New Roman" w:eastAsia="仿宋_GB2312" w:cs="Times New Roman"/>
                <w:b/>
                <w:bCs/>
                <w:color w:val="auto"/>
                <w:kern w:val="0"/>
                <w:sz w:val="21"/>
                <w:szCs w:val="21"/>
                <w:lang w:val="en-US" w:eastAsia="zh-CN"/>
              </w:rPr>
              <w:t>5hm</w:t>
            </w:r>
            <w:r>
              <w:rPr>
                <w:rFonts w:hint="eastAsia" w:ascii="Times New Roman" w:hAnsi="Times New Roman" w:eastAsia="仿宋_GB2312" w:cs="Times New Roman"/>
                <w:b/>
                <w:bCs/>
                <w:color w:val="auto"/>
                <w:kern w:val="0"/>
                <w:sz w:val="21"/>
                <w:szCs w:val="21"/>
                <w:vertAlign w:val="superscript"/>
                <w:lang w:val="en-US" w:eastAsia="zh-CN"/>
              </w:rPr>
              <w:t>2</w:t>
            </w:r>
            <w:r>
              <w:rPr>
                <w:rFonts w:hint="eastAsia" w:ascii="Times New Roman" w:hAnsi="Times New Roman" w:eastAsia="仿宋_GB2312" w:cs="Times New Roman"/>
                <w:b/>
                <w:bCs/>
                <w:color w:val="auto"/>
                <w:kern w:val="0"/>
                <w:sz w:val="21"/>
                <w:szCs w:val="21"/>
              </w:rPr>
              <w:t>已建成）</w:t>
            </w:r>
          </w:p>
        </w:tc>
        <w:tc>
          <w:tcPr>
            <w:tcW w:w="1332" w:type="pct"/>
            <w:vMerge w:val="continue"/>
            <w:vAlign w:val="center"/>
          </w:tcPr>
          <w:p>
            <w:pPr>
              <w:widowControl/>
              <w:spacing w:line="240" w:lineRule="atLeast"/>
              <w:jc w:val="center"/>
              <w:textAlignment w:val="center"/>
              <w:rPr>
                <w:rFonts w:ascii="Times New Roman" w:hAnsi="Times New Roman" w:eastAsia="仿宋_GB2312" w:cs="Times New Roman"/>
                <w:b/>
                <w:bCs/>
                <w:color w:val="auto"/>
                <w:kern w:val="0"/>
                <w:sz w:val="21"/>
                <w:szCs w:val="21"/>
              </w:rPr>
            </w:pPr>
          </w:p>
        </w:tc>
      </w:tr>
    </w:tbl>
    <w:p>
      <w:pPr>
        <w:spacing w:line="360" w:lineRule="auto"/>
        <w:ind w:firstLine="482" w:firstLineChars="200"/>
        <w:rPr>
          <w:rFonts w:ascii="Times New Roman" w:hAnsi="Times New Roman" w:eastAsia="仿宋_GB2312"/>
          <w:color w:val="auto"/>
        </w:rPr>
      </w:pPr>
      <w:r>
        <w:rPr>
          <w:rFonts w:ascii="Times New Roman" w:hAnsi="Times New Roman" w:eastAsia="仿宋_GB2312"/>
          <w:b/>
          <w:bCs/>
          <w:color w:val="auto"/>
        </w:rPr>
        <w:t>水土保持评价：</w:t>
      </w:r>
      <w:r>
        <w:rPr>
          <w:rFonts w:ascii="Times New Roman" w:hAnsi="Times New Roman" w:eastAsia="仿宋_GB2312"/>
          <w:color w:val="auto"/>
        </w:rPr>
        <w:t>从水土保持角度分析，</w:t>
      </w:r>
      <w:r>
        <w:rPr>
          <w:rFonts w:hint="eastAsia" w:ascii="Times New Roman" w:hAnsi="Times New Roman" w:eastAsia="仿宋_GB2312"/>
          <w:color w:val="auto"/>
        </w:rPr>
        <w:t>道路</w:t>
      </w:r>
      <w:r>
        <w:rPr>
          <w:rFonts w:ascii="Times New Roman" w:hAnsi="Times New Roman" w:eastAsia="仿宋_GB2312"/>
          <w:color w:val="auto"/>
        </w:rPr>
        <w:t>绿化有利于区域内植物的恢复，涵养水源，减轻水土流失，具有水土保持功能，且满足</w:t>
      </w:r>
      <w:r>
        <w:rPr>
          <w:rFonts w:hint="eastAsia" w:ascii="Times New Roman" w:hAnsi="Times New Roman" w:eastAsia="仿宋_GB2312"/>
          <w:color w:val="auto"/>
        </w:rPr>
        <w:t>《城市综合交通体系规划标准》（GBT 51328-2018）相应标准设计。</w:t>
      </w:r>
      <w:r>
        <w:rPr>
          <w:rFonts w:ascii="Times New Roman" w:hAnsi="Times New Roman" w:eastAsia="仿宋_GB2312"/>
          <w:color w:val="auto"/>
        </w:rPr>
        <w:t>根据水土保持工程鉴定原则，绿化工程属于水土保持工程，将其纳入水土保持措施体系。结合青山湖区气候</w:t>
      </w:r>
      <w:r>
        <w:rPr>
          <w:rFonts w:hint="eastAsia" w:ascii="Times New Roman" w:hAnsi="Times New Roman" w:eastAsia="仿宋_GB2312"/>
          <w:color w:val="auto"/>
        </w:rPr>
        <w:t>，推荐采用无患子、楠树等耐旱易存活树种。</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（5）路面硬化</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评估区域内各条道路路面建成后会铺设沥青砼进行硬化。</w:t>
      </w:r>
    </w:p>
    <w:p>
      <w:pPr>
        <w:spacing w:line="360" w:lineRule="auto"/>
        <w:ind w:firstLine="482" w:firstLineChars="200"/>
        <w:rPr>
          <w:rFonts w:ascii="Times New Roman" w:hAnsi="Times New Roman" w:eastAsia="仿宋_GB2312"/>
          <w:color w:val="auto"/>
        </w:rPr>
      </w:pPr>
      <w:r>
        <w:rPr>
          <w:rFonts w:ascii="Times New Roman" w:hAnsi="Times New Roman" w:eastAsia="仿宋_GB2312" w:cs="Times New Roman"/>
          <w:b/>
          <w:color w:val="auto"/>
          <w:szCs w:val="24"/>
        </w:rPr>
        <w:t>水土保持评价：</w:t>
      </w:r>
      <w:r>
        <w:rPr>
          <w:rFonts w:ascii="Times New Roman" w:hAnsi="Times New Roman" w:eastAsia="仿宋_GB2312" w:cs="Times New Roman"/>
          <w:color w:val="auto"/>
          <w:szCs w:val="24"/>
        </w:rPr>
        <w:t>从水土保持角度分析，硬化地表可以防止水体直接冲刷土体，有利于避免水土流失现象。但这些硬化主要是为</w:t>
      </w:r>
      <w:r>
        <w:rPr>
          <w:rFonts w:hint="eastAsia" w:ascii="Times New Roman" w:hAnsi="Times New Roman" w:eastAsia="仿宋_GB2312" w:cs="Times New Roman"/>
          <w:color w:val="auto"/>
          <w:szCs w:val="24"/>
        </w:rPr>
        <w:t>主体工程的</w:t>
      </w:r>
      <w:r>
        <w:rPr>
          <w:rFonts w:ascii="Times New Roman" w:hAnsi="Times New Roman" w:eastAsia="仿宋_GB2312" w:cs="Times New Roman"/>
          <w:color w:val="auto"/>
          <w:szCs w:val="24"/>
        </w:rPr>
        <w:t>运行服务，因此不纳入水土保持工程。</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（二）本区域需完善的水土保持措施：</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①本项目先进行园区道路的施工，再进行各地块的平整，同时根据园区原始标高及道路设计标高，道路路基回填产生填方边坡，</w:t>
      </w:r>
      <w:r>
        <w:rPr>
          <w:rFonts w:hint="eastAsia" w:ascii="Times New Roman" w:hAnsi="Times New Roman" w:eastAsia="仿宋_GB2312"/>
          <w:color w:val="auto"/>
          <w:lang w:val="en-US" w:eastAsia="zh-CN"/>
        </w:rPr>
        <w:t>区域评估报告</w:t>
      </w:r>
      <w:r>
        <w:rPr>
          <w:rFonts w:hint="eastAsia" w:ascii="Times New Roman" w:hAnsi="Times New Roman" w:eastAsia="仿宋_GB2312"/>
          <w:color w:val="auto"/>
        </w:rPr>
        <w:t>补充对回填边坡面进行临时苫盖及铺植草皮防护，减弱雨水对坡面的冲刷作用，防止发生大面积水土流失。</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②根据主体设计资料，沿尤氨公路</w:t>
      </w:r>
      <w:r>
        <w:rPr>
          <w:rFonts w:hint="eastAsia" w:ascii="Times New Roman" w:hAnsi="Times New Roman" w:eastAsia="仿宋_GB2312"/>
          <w:color w:val="auto"/>
          <w:lang w:val="zh-CN"/>
        </w:rPr>
        <w:t>敷设一条综合管廊</w:t>
      </w:r>
      <w:r>
        <w:rPr>
          <w:rFonts w:hint="eastAsia" w:ascii="Times New Roman" w:hAnsi="Times New Roman" w:eastAsia="仿宋_GB2312"/>
          <w:color w:val="auto"/>
        </w:rPr>
        <w:t>，管廊基坑开挖期间，</w:t>
      </w:r>
      <w:r>
        <w:rPr>
          <w:rFonts w:hint="eastAsia" w:ascii="Times New Roman" w:hAnsi="Times New Roman" w:eastAsia="仿宋_GB2312"/>
          <w:color w:val="auto"/>
          <w:lang w:val="en-US" w:eastAsia="zh-CN"/>
        </w:rPr>
        <w:t>区域评估报告</w:t>
      </w:r>
      <w:r>
        <w:rPr>
          <w:rFonts w:hint="eastAsia" w:ascii="Times New Roman" w:hAnsi="Times New Roman" w:eastAsia="仿宋_GB2312"/>
          <w:color w:val="auto"/>
        </w:rPr>
        <w:t>补充沿开挖基坑底部设置临时排水沉沙措施。</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③道路路基回填形成填方边坡，</w:t>
      </w:r>
      <w:r>
        <w:rPr>
          <w:rFonts w:hint="eastAsia" w:ascii="Times New Roman" w:hAnsi="Times New Roman" w:eastAsia="仿宋_GB2312"/>
          <w:color w:val="auto"/>
          <w:lang w:val="en-US" w:eastAsia="zh-CN"/>
        </w:rPr>
        <w:t>区域评估报告</w:t>
      </w:r>
      <w:r>
        <w:rPr>
          <w:rFonts w:hint="eastAsia" w:ascii="Times New Roman" w:hAnsi="Times New Roman" w:eastAsia="仿宋_GB2312"/>
          <w:color w:val="auto"/>
        </w:rPr>
        <w:t>将于坡底补充临时排水沉沙措施，收集坡面雨水。</w:t>
      </w:r>
    </w:p>
    <w:p>
      <w:pPr>
        <w:spacing w:line="360" w:lineRule="auto"/>
        <w:ind w:firstLine="482" w:firstLineChars="200"/>
        <w:rPr>
          <w:rFonts w:ascii="Times New Roman" w:hAnsi="Times New Roman" w:eastAsia="仿宋_GB2312"/>
          <w:b/>
          <w:color w:val="auto"/>
        </w:rPr>
      </w:pPr>
      <w:r>
        <w:rPr>
          <w:rFonts w:hint="eastAsia" w:ascii="Times New Roman" w:hAnsi="Times New Roman" w:eastAsia="仿宋_GB2312"/>
          <w:b/>
          <w:color w:val="auto"/>
        </w:rPr>
        <w:t>二</w:t>
      </w:r>
      <w:r>
        <w:rPr>
          <w:rFonts w:ascii="Times New Roman" w:hAnsi="Times New Roman" w:eastAsia="仿宋_GB2312"/>
          <w:b/>
          <w:color w:val="auto"/>
        </w:rPr>
        <w:t>、公用设施用地区</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（一）</w:t>
      </w:r>
      <w:r>
        <w:rPr>
          <w:rFonts w:ascii="Times New Roman" w:hAnsi="Times New Roman" w:eastAsia="仿宋_GB2312"/>
          <w:color w:val="auto"/>
        </w:rPr>
        <w:t>公用设施用地区主体工程设计中具有水土保持功能措施主要有表土剥离、场地平整及撒播草籽。具体布设情况如下：</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（1）土地整治工程</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①</w:t>
      </w:r>
      <w:r>
        <w:rPr>
          <w:rFonts w:ascii="Times New Roman" w:hAnsi="Times New Roman" w:eastAsia="仿宋_GB2312"/>
          <w:color w:val="auto"/>
        </w:rPr>
        <w:t>表土剥离</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对</w:t>
      </w:r>
      <w:r>
        <w:rPr>
          <w:rFonts w:hint="eastAsia" w:ascii="Times New Roman" w:hAnsi="Times New Roman" w:eastAsia="仿宋_GB2312"/>
          <w:color w:val="auto"/>
        </w:rPr>
        <w:t>扰动范围内土质肥沃区域进行表土剥离，表土剥离面积6.35hm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，剥离厚度20~30cm，剥离的表土临时堆存于表土临时堆放场进行统一保护。</w:t>
      </w:r>
      <w:r>
        <w:rPr>
          <w:rFonts w:ascii="Times New Roman" w:hAnsi="Times New Roman" w:eastAsia="仿宋_GB2312"/>
          <w:color w:val="auto"/>
        </w:rPr>
        <w:t>本区域内共计</w:t>
      </w:r>
      <w:r>
        <w:rPr>
          <w:rFonts w:hint="eastAsia" w:ascii="Times New Roman" w:hAnsi="Times New Roman" w:eastAsia="仿宋_GB2312"/>
          <w:color w:val="auto"/>
        </w:rPr>
        <w:t>表土剥离1.86万m</w:t>
      </w:r>
      <w:r>
        <w:rPr>
          <w:rFonts w:hint="eastAsia" w:ascii="Times New Roman" w:hAnsi="Times New Roman" w:eastAsia="仿宋_GB2312"/>
          <w:color w:val="auto"/>
          <w:vertAlign w:val="superscript"/>
        </w:rPr>
        <w:t>3</w:t>
      </w:r>
      <w:r>
        <w:rPr>
          <w:rFonts w:ascii="Times New Roman" w:hAnsi="Times New Roman" w:eastAsia="仿宋_GB2312"/>
          <w:color w:val="auto"/>
        </w:rPr>
        <w:t>。</w:t>
      </w:r>
    </w:p>
    <w:p>
      <w:pPr>
        <w:spacing w:line="360" w:lineRule="auto"/>
        <w:ind w:firstLine="482" w:firstLineChars="200"/>
        <w:rPr>
          <w:rFonts w:ascii="Times New Roman" w:hAnsi="Times New Roman" w:eastAsia="仿宋_GB2312"/>
          <w:color w:val="auto"/>
        </w:rPr>
      </w:pPr>
      <w:r>
        <w:rPr>
          <w:rFonts w:ascii="Times New Roman" w:hAnsi="Times New Roman" w:eastAsia="仿宋_GB2312"/>
          <w:b/>
          <w:bCs/>
          <w:color w:val="auto"/>
        </w:rPr>
        <w:t>水土保持评价：</w:t>
      </w:r>
      <w:r>
        <w:rPr>
          <w:rFonts w:ascii="Times New Roman" w:hAnsi="Times New Roman" w:eastAsia="仿宋_GB2312"/>
          <w:color w:val="auto"/>
        </w:rPr>
        <w:t>通过表土剥离措施，可以避免后期购买种植土，做到了综合利用，减少借方数量，同时可以避免土方运输过程中的水土流失。根据水土保持工程界定原则，表土剥离属于水土保持工程，将其纳入水土保持防治措施体系。</w:t>
      </w:r>
    </w:p>
    <w:p>
      <w:pPr>
        <w:spacing w:line="360" w:lineRule="auto"/>
        <w:ind w:firstLine="480" w:firstLineChars="200"/>
        <w:rPr>
          <w:rFonts w:ascii="Times New Roman" w:hAnsi="Times New Roman" w:eastAsia="仿宋_GB2312" w:cs="Times New Roman"/>
          <w:color w:val="auto"/>
        </w:rPr>
      </w:pPr>
      <w:r>
        <w:rPr>
          <w:rFonts w:hint="eastAsia" w:ascii="宋体" w:hAnsi="宋体" w:cs="宋体"/>
          <w:color w:val="auto"/>
        </w:rPr>
        <w:t>②</w:t>
      </w:r>
      <w:r>
        <w:rPr>
          <w:rFonts w:ascii="Times New Roman" w:hAnsi="Times New Roman" w:eastAsia="仿宋_GB2312" w:cs="Times New Roman"/>
          <w:color w:val="auto"/>
        </w:rPr>
        <w:t>场地平整</w:t>
      </w:r>
    </w:p>
    <w:p>
      <w:pPr>
        <w:widowControl/>
        <w:spacing w:line="360" w:lineRule="auto"/>
        <w:ind w:firstLine="480" w:firstLineChars="200"/>
        <w:jc w:val="left"/>
        <w:rPr>
          <w:rFonts w:ascii="Times New Roman" w:hAnsi="Times New Roman" w:eastAsia="仿宋_GB2312" w:cs="Times New Roman"/>
          <w:color w:val="auto"/>
        </w:rPr>
      </w:pPr>
      <w:r>
        <w:rPr>
          <w:rFonts w:ascii="Times New Roman" w:hAnsi="Times New Roman" w:eastAsia="仿宋_GB2312" w:cs="Times New Roman"/>
          <w:color w:val="auto"/>
          <w:kern w:val="0"/>
          <w:szCs w:val="24"/>
        </w:rPr>
        <w:t>施工结束后，</w:t>
      </w:r>
      <w:r>
        <w:rPr>
          <w:rFonts w:hint="eastAsia" w:ascii="Times New Roman" w:hAnsi="Times New Roman" w:eastAsia="仿宋_GB2312" w:cs="Times New Roman"/>
          <w:color w:val="auto"/>
          <w:kern w:val="0"/>
          <w:szCs w:val="24"/>
        </w:rPr>
        <w:t>对裸露区域</w:t>
      </w:r>
      <w:r>
        <w:rPr>
          <w:rFonts w:ascii="Times New Roman" w:hAnsi="Times New Roman" w:eastAsia="仿宋_GB2312" w:cs="Times New Roman"/>
          <w:color w:val="auto"/>
          <w:kern w:val="0"/>
          <w:szCs w:val="24"/>
        </w:rPr>
        <w:t>进行场地平整</w:t>
      </w:r>
      <w:r>
        <w:rPr>
          <w:rFonts w:ascii="Times New Roman" w:hAnsi="Times New Roman" w:eastAsia="仿宋_GB2312" w:cs="Times New Roman"/>
          <w:color w:val="auto"/>
        </w:rPr>
        <w:t>，共计平整场地面积</w:t>
      </w:r>
      <w:r>
        <w:rPr>
          <w:rFonts w:hint="eastAsia" w:ascii="Times New Roman" w:hAnsi="Times New Roman" w:eastAsia="仿宋_GB2312" w:cs="Times New Roman"/>
          <w:color w:val="auto"/>
        </w:rPr>
        <w:t>12.87</w:t>
      </w:r>
      <w:r>
        <w:rPr>
          <w:rFonts w:ascii="Times New Roman" w:hAnsi="Times New Roman" w:eastAsia="仿宋_GB2312" w:cs="Times New Roman"/>
          <w:color w:val="auto"/>
        </w:rPr>
        <w:t>hm</w:t>
      </w:r>
      <w:r>
        <w:rPr>
          <w:rFonts w:ascii="Times New Roman" w:hAnsi="Times New Roman" w:eastAsia="仿宋_GB2312" w:cs="Times New Roman"/>
          <w:color w:val="auto"/>
          <w:vertAlign w:val="superscript"/>
        </w:rPr>
        <w:t>2</w:t>
      </w:r>
      <w:r>
        <w:rPr>
          <w:rFonts w:ascii="Times New Roman" w:hAnsi="Times New Roman" w:eastAsia="仿宋_GB2312" w:cs="Times New Roman"/>
          <w:color w:val="auto"/>
        </w:rPr>
        <w:t>。</w:t>
      </w:r>
    </w:p>
    <w:p>
      <w:pPr>
        <w:spacing w:line="360" w:lineRule="auto"/>
        <w:ind w:firstLine="482" w:firstLineChars="200"/>
        <w:rPr>
          <w:rFonts w:ascii="Times New Roman" w:hAnsi="Times New Roman" w:eastAsia="仿宋_GB2312" w:cs="Times New Roman"/>
          <w:color w:val="auto"/>
        </w:rPr>
      </w:pPr>
      <w:r>
        <w:rPr>
          <w:rFonts w:ascii="Times New Roman" w:hAnsi="Times New Roman" w:eastAsia="仿宋_GB2312" w:cs="Times New Roman"/>
          <w:b/>
          <w:bCs/>
          <w:color w:val="auto"/>
        </w:rPr>
        <w:t>水土保持评价：</w:t>
      </w:r>
      <w:r>
        <w:rPr>
          <w:rFonts w:ascii="Times New Roman" w:hAnsi="Times New Roman" w:eastAsia="仿宋_GB2312" w:cs="Times New Roman"/>
          <w:color w:val="auto"/>
        </w:rPr>
        <w:t>场地平整可以改善立地条件，提高植被存活率，同时可以控制地表径流，具有较好的保水保土效果，符合水土保持要求，具有水土保持功能，根据水土保持工程界定原则，场地平整属于水土保持工程，将其纳入水土保持防治措施体系。</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（2）</w:t>
      </w:r>
      <w:r>
        <w:rPr>
          <w:rFonts w:hint="eastAsia" w:ascii="Times New Roman" w:hAnsi="Times New Roman" w:eastAsia="仿宋_GB2312"/>
          <w:color w:val="auto"/>
        </w:rPr>
        <w:t>绿化</w:t>
      </w:r>
      <w:r>
        <w:rPr>
          <w:rFonts w:ascii="Times New Roman" w:hAnsi="Times New Roman" w:eastAsia="仿宋_GB2312"/>
          <w:color w:val="auto"/>
        </w:rPr>
        <w:t>工程</w:t>
      </w:r>
      <w:r>
        <w:rPr>
          <w:rFonts w:hint="eastAsia" w:ascii="Times New Roman" w:hAnsi="Times New Roman" w:eastAsia="仿宋_GB2312"/>
          <w:color w:val="auto"/>
        </w:rPr>
        <w:t>---</w:t>
      </w:r>
      <w:r>
        <w:rPr>
          <w:rFonts w:ascii="Times New Roman" w:hAnsi="Times New Roman" w:eastAsia="仿宋_GB2312"/>
          <w:color w:val="auto"/>
        </w:rPr>
        <w:t>撒播草籽</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场地五通一平后，本</w:t>
      </w:r>
      <w:r>
        <w:rPr>
          <w:rFonts w:hint="eastAsia" w:ascii="Times New Roman" w:hAnsi="Times New Roman" w:eastAsia="仿宋_GB2312"/>
          <w:color w:val="auto"/>
          <w:lang w:val="en-US" w:eastAsia="zh-CN"/>
        </w:rPr>
        <w:t>区域评估报告</w:t>
      </w:r>
      <w:r>
        <w:rPr>
          <w:rFonts w:ascii="Times New Roman" w:hAnsi="Times New Roman" w:eastAsia="仿宋_GB2312"/>
          <w:color w:val="auto"/>
        </w:rPr>
        <w:t>对裸露区域实施撒播草籽</w:t>
      </w:r>
      <w:r>
        <w:rPr>
          <w:rFonts w:hint="eastAsia" w:ascii="Times New Roman" w:hAnsi="Times New Roman" w:eastAsia="仿宋_GB2312"/>
          <w:color w:val="auto"/>
        </w:rPr>
        <w:t>复绿</w:t>
      </w:r>
      <w:r>
        <w:rPr>
          <w:rFonts w:ascii="Times New Roman" w:hAnsi="Times New Roman" w:eastAsia="仿宋_GB2312"/>
          <w:color w:val="auto"/>
        </w:rPr>
        <w:t>，播种前用少量泥沙和磷肥拌种后撒播，播后覆土，及时覆盖无纺布</w:t>
      </w:r>
      <w:r>
        <w:rPr>
          <w:rFonts w:hint="eastAsia" w:ascii="Times New Roman" w:hAnsi="Times New Roman" w:eastAsia="仿宋_GB2312"/>
          <w:color w:val="auto"/>
        </w:rPr>
        <w:t>。</w:t>
      </w:r>
      <w:r>
        <w:rPr>
          <w:rFonts w:ascii="Times New Roman" w:hAnsi="Times New Roman" w:eastAsia="仿宋_GB2312"/>
          <w:color w:val="auto"/>
        </w:rPr>
        <w:t>本区域内共计</w:t>
      </w:r>
      <w:r>
        <w:rPr>
          <w:rFonts w:hint="eastAsia" w:ascii="Times New Roman" w:hAnsi="Times New Roman" w:eastAsia="仿宋_GB2312"/>
          <w:color w:val="auto"/>
        </w:rPr>
        <w:t>撒播草籽面积12.87</w:t>
      </w:r>
      <w:r>
        <w:rPr>
          <w:rFonts w:ascii="Times New Roman" w:hAnsi="Times New Roman" w:eastAsia="仿宋_GB2312"/>
          <w:color w:val="auto"/>
        </w:rPr>
        <w:t>hm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w:t>
      </w:r>
    </w:p>
    <w:p>
      <w:pPr>
        <w:spacing w:line="360" w:lineRule="auto"/>
        <w:ind w:firstLine="482" w:firstLineChars="200"/>
        <w:rPr>
          <w:rFonts w:ascii="Times New Roman" w:hAnsi="Times New Roman" w:eastAsia="仿宋_GB2312"/>
          <w:color w:val="auto"/>
        </w:rPr>
      </w:pPr>
      <w:r>
        <w:rPr>
          <w:rFonts w:ascii="Times New Roman" w:hAnsi="Times New Roman" w:eastAsia="仿宋_GB2312"/>
          <w:b/>
          <w:bCs/>
          <w:color w:val="auto"/>
        </w:rPr>
        <w:t>水土保持评价：</w:t>
      </w:r>
      <w:r>
        <w:rPr>
          <w:rFonts w:ascii="Times New Roman" w:hAnsi="Times New Roman" w:eastAsia="仿宋_GB2312"/>
          <w:color w:val="auto"/>
        </w:rPr>
        <w:t>主体工程设计中</w:t>
      </w:r>
      <w:r>
        <w:rPr>
          <w:rFonts w:hint="eastAsia" w:ascii="Times New Roman" w:hAnsi="Times New Roman" w:eastAsia="仿宋_GB2312"/>
          <w:color w:val="auto"/>
        </w:rPr>
        <w:t>撒播草籽植被恢复</w:t>
      </w:r>
      <w:r>
        <w:rPr>
          <w:rFonts w:ascii="Times New Roman" w:hAnsi="Times New Roman" w:eastAsia="仿宋_GB2312"/>
          <w:color w:val="auto"/>
        </w:rPr>
        <w:t>工程不仅增加项目区的植被覆盖度，</w:t>
      </w:r>
      <w:r>
        <w:rPr>
          <w:rFonts w:hint="eastAsia" w:ascii="Times New Roman" w:hAnsi="Times New Roman" w:eastAsia="仿宋_GB2312"/>
          <w:color w:val="auto"/>
        </w:rPr>
        <w:t>恢复</w:t>
      </w:r>
      <w:r>
        <w:rPr>
          <w:rFonts w:ascii="Times New Roman" w:hAnsi="Times New Roman" w:eastAsia="仿宋_GB2312"/>
          <w:color w:val="auto"/>
        </w:rPr>
        <w:t>场地植被，同时植物根系的固土作用和草的拦挡、截留作用，都可减弱雨水对</w:t>
      </w:r>
      <w:r>
        <w:rPr>
          <w:rFonts w:hint="eastAsia" w:ascii="Times New Roman" w:hAnsi="Times New Roman" w:eastAsia="仿宋_GB2312"/>
          <w:color w:val="auto"/>
        </w:rPr>
        <w:t>裸露</w:t>
      </w:r>
      <w:r>
        <w:rPr>
          <w:rFonts w:ascii="Times New Roman" w:hAnsi="Times New Roman" w:eastAsia="仿宋_GB2312"/>
          <w:color w:val="auto"/>
        </w:rPr>
        <w:t>地面的冲刷，起到涵养水源，防止水土流失，调节项目区生态环境的作用。符合水土保持要求。根据水土保持工程界定原则，将</w:t>
      </w:r>
      <w:r>
        <w:rPr>
          <w:rFonts w:hint="eastAsia" w:ascii="Times New Roman" w:hAnsi="Times New Roman" w:eastAsia="仿宋_GB2312"/>
          <w:color w:val="auto"/>
        </w:rPr>
        <w:t>撒播草籽</w:t>
      </w:r>
      <w:r>
        <w:rPr>
          <w:rFonts w:ascii="Times New Roman" w:hAnsi="Times New Roman" w:eastAsia="仿宋_GB2312"/>
          <w:color w:val="auto"/>
        </w:rPr>
        <w:t>界定为水土保持措施。</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（二）本区域需完善的水土保持措施：</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施工期间，</w:t>
      </w:r>
      <w:r>
        <w:rPr>
          <w:rFonts w:hint="eastAsia" w:ascii="Times New Roman" w:hAnsi="Times New Roman" w:eastAsia="仿宋_GB2312"/>
          <w:color w:val="auto"/>
        </w:rPr>
        <w:t>本</w:t>
      </w:r>
      <w:r>
        <w:rPr>
          <w:rFonts w:hint="eastAsia" w:ascii="Times New Roman" w:hAnsi="Times New Roman" w:eastAsia="仿宋_GB2312"/>
          <w:color w:val="auto"/>
          <w:lang w:val="en-US" w:eastAsia="zh-CN"/>
        </w:rPr>
        <w:t>区域评估报告</w:t>
      </w:r>
      <w:r>
        <w:rPr>
          <w:rFonts w:hint="eastAsia" w:ascii="Times New Roman" w:hAnsi="Times New Roman" w:eastAsia="仿宋_GB2312"/>
          <w:color w:val="auto"/>
        </w:rPr>
        <w:t>补充</w:t>
      </w:r>
      <w:r>
        <w:rPr>
          <w:rFonts w:ascii="Times New Roman" w:hAnsi="Times New Roman" w:eastAsia="仿宋_GB2312"/>
          <w:color w:val="auto"/>
        </w:rPr>
        <w:t>在场地周边直接开挖土质排水沟组织场地雨水走</w:t>
      </w:r>
      <w:r>
        <w:rPr>
          <w:rFonts w:hint="eastAsia" w:ascii="Times New Roman" w:hAnsi="Times New Roman" w:eastAsia="仿宋_GB2312"/>
          <w:color w:val="auto"/>
        </w:rPr>
        <w:t>向，并沿排水沟布设沉沙池，雨水经沉沙后排水周边沟渠或水系。场地整平后，对未及时绿化的区域进行临时苫盖防护，以减少水土流失。</w:t>
      </w:r>
    </w:p>
    <w:p>
      <w:pPr>
        <w:spacing w:line="360" w:lineRule="auto"/>
        <w:ind w:firstLine="482" w:firstLineChars="200"/>
        <w:rPr>
          <w:rFonts w:ascii="Times New Roman" w:hAnsi="Times New Roman" w:eastAsia="仿宋_GB2312"/>
          <w:color w:val="auto"/>
        </w:rPr>
      </w:pPr>
      <w:r>
        <w:rPr>
          <w:rFonts w:hint="eastAsia" w:ascii="Times New Roman" w:hAnsi="Times New Roman" w:eastAsia="仿宋_GB2312"/>
          <w:b/>
          <w:color w:val="auto"/>
        </w:rPr>
        <w:t>三、绿地区</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（一）绿地区</w:t>
      </w:r>
      <w:r>
        <w:rPr>
          <w:rFonts w:ascii="Times New Roman" w:hAnsi="Times New Roman" w:eastAsia="仿宋_GB2312"/>
          <w:color w:val="auto"/>
        </w:rPr>
        <w:t>主体工程设计中具有水土保持功能措施主要有表土剥离及回填、场地平整及</w:t>
      </w:r>
      <w:r>
        <w:rPr>
          <w:rFonts w:hint="eastAsia" w:ascii="Times New Roman" w:hAnsi="Times New Roman" w:eastAsia="仿宋_GB2312"/>
          <w:color w:val="auto"/>
        </w:rPr>
        <w:t>景观绿化</w:t>
      </w:r>
      <w:r>
        <w:rPr>
          <w:rFonts w:ascii="Times New Roman" w:hAnsi="Times New Roman" w:eastAsia="仿宋_GB2312"/>
          <w:color w:val="auto"/>
        </w:rPr>
        <w:t>。具体布设情况如下：</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（1）土地整治工程</w:t>
      </w:r>
    </w:p>
    <w:p>
      <w:pPr>
        <w:spacing w:line="360" w:lineRule="auto"/>
        <w:ind w:firstLine="480" w:firstLineChars="200"/>
        <w:rPr>
          <w:rFonts w:ascii="Times New Roman" w:hAnsi="Times New Roman" w:eastAsia="仿宋_GB2312"/>
          <w:color w:val="auto"/>
        </w:rPr>
      </w:pPr>
      <w:r>
        <w:rPr>
          <w:rFonts w:hint="eastAsia" w:ascii="宋体" w:hAnsi="宋体" w:cs="宋体"/>
          <w:color w:val="auto"/>
        </w:rPr>
        <w:t>①</w:t>
      </w:r>
      <w:r>
        <w:rPr>
          <w:rFonts w:ascii="Times New Roman" w:hAnsi="Times New Roman" w:eastAsia="仿宋_GB2312"/>
          <w:color w:val="auto"/>
        </w:rPr>
        <w:t>表土剥离及回填</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对</w:t>
      </w:r>
      <w:r>
        <w:rPr>
          <w:rFonts w:hint="eastAsia" w:ascii="Times New Roman" w:hAnsi="Times New Roman" w:eastAsia="仿宋_GB2312"/>
          <w:color w:val="auto"/>
        </w:rPr>
        <w:t>扰动范围内土质肥沃区域进行表土剥离，表土剥离面积6.07hm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，剥离厚度20~30cm，剥离的表土临时堆存于表土临时堆放场进行统一保护。该区域后期绿化前进行表土回填，以利于植物的生长，表土回填厚度为20~40cm，回填面积18.81hm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w:t>
      </w:r>
      <w:r>
        <w:rPr>
          <w:rFonts w:ascii="Times New Roman" w:hAnsi="Times New Roman" w:eastAsia="仿宋_GB2312"/>
          <w:color w:val="auto"/>
        </w:rPr>
        <w:t>本区域内共计</w:t>
      </w:r>
      <w:r>
        <w:rPr>
          <w:rFonts w:hint="eastAsia" w:ascii="Times New Roman" w:hAnsi="Times New Roman" w:eastAsia="仿宋_GB2312"/>
          <w:color w:val="auto"/>
        </w:rPr>
        <w:t>表土剥离1.79万m</w:t>
      </w:r>
      <w:r>
        <w:rPr>
          <w:rFonts w:hint="eastAsia" w:ascii="Times New Roman" w:hAnsi="Times New Roman" w:eastAsia="仿宋_GB2312"/>
          <w:color w:val="auto"/>
          <w:vertAlign w:val="superscript"/>
        </w:rPr>
        <w:t>3</w:t>
      </w:r>
      <w:r>
        <w:rPr>
          <w:rFonts w:hint="eastAsia" w:ascii="Times New Roman" w:hAnsi="Times New Roman" w:eastAsia="仿宋_GB2312"/>
          <w:color w:val="auto"/>
        </w:rPr>
        <w:t>，表土回填4</w:t>
      </w:r>
      <w:r>
        <w:rPr>
          <w:rFonts w:hint="eastAsia" w:ascii="Times New Roman" w:hAnsi="Times New Roman" w:eastAsia="仿宋_GB2312"/>
          <w:color w:val="auto"/>
          <w:lang w:val="en-US" w:eastAsia="zh-CN"/>
        </w:rPr>
        <w:t>.83</w:t>
      </w:r>
      <w:r>
        <w:rPr>
          <w:rFonts w:hint="eastAsia" w:ascii="Times New Roman" w:hAnsi="Times New Roman" w:eastAsia="仿宋_GB2312"/>
          <w:color w:val="auto"/>
        </w:rPr>
        <w:t>万m</w:t>
      </w:r>
      <w:r>
        <w:rPr>
          <w:rFonts w:hint="eastAsia" w:ascii="Times New Roman" w:hAnsi="Times New Roman" w:eastAsia="仿宋_GB2312"/>
          <w:color w:val="auto"/>
          <w:vertAlign w:val="superscript"/>
        </w:rPr>
        <w:t>3</w:t>
      </w:r>
      <w:r>
        <w:rPr>
          <w:rFonts w:ascii="Times New Roman" w:hAnsi="Times New Roman" w:eastAsia="仿宋_GB2312"/>
          <w:color w:val="auto"/>
        </w:rPr>
        <w:t>。</w:t>
      </w:r>
    </w:p>
    <w:p>
      <w:pPr>
        <w:spacing w:line="360" w:lineRule="auto"/>
        <w:ind w:firstLine="482" w:firstLineChars="200"/>
        <w:rPr>
          <w:rFonts w:ascii="Times New Roman" w:hAnsi="Times New Roman" w:eastAsia="仿宋_GB2312"/>
          <w:color w:val="auto"/>
        </w:rPr>
      </w:pPr>
      <w:r>
        <w:rPr>
          <w:rFonts w:ascii="Times New Roman" w:hAnsi="Times New Roman" w:eastAsia="仿宋_GB2312"/>
          <w:b/>
          <w:bCs/>
          <w:color w:val="auto"/>
        </w:rPr>
        <w:t>水土保持评价：</w:t>
      </w:r>
      <w:r>
        <w:rPr>
          <w:rFonts w:ascii="Times New Roman" w:hAnsi="Times New Roman" w:eastAsia="仿宋_GB2312"/>
          <w:color w:val="auto"/>
        </w:rPr>
        <w:t>通过表土剥离措施，可以避免后期购买种植土，做到了综合利用，减少借方数量，同时可以避免土方运输过程中的水土流失。根据水土保持工程界定原则，表土剥离及回填属于水土保持工程，将其纳入水土保持防治措施体系。</w:t>
      </w:r>
    </w:p>
    <w:p>
      <w:pPr>
        <w:spacing w:line="360" w:lineRule="auto"/>
        <w:ind w:firstLine="480" w:firstLineChars="200"/>
        <w:rPr>
          <w:rFonts w:ascii="Times New Roman" w:hAnsi="Times New Roman" w:eastAsia="仿宋_GB2312" w:cs="Times New Roman"/>
          <w:color w:val="auto"/>
        </w:rPr>
      </w:pPr>
      <w:r>
        <w:rPr>
          <w:rFonts w:hint="eastAsia" w:ascii="宋体" w:hAnsi="宋体" w:cs="宋体"/>
          <w:color w:val="auto"/>
        </w:rPr>
        <w:t>②</w:t>
      </w:r>
      <w:r>
        <w:rPr>
          <w:rFonts w:ascii="Times New Roman" w:hAnsi="Times New Roman" w:eastAsia="仿宋_GB2312" w:cs="Times New Roman"/>
          <w:color w:val="auto"/>
        </w:rPr>
        <w:t>场地平整</w:t>
      </w:r>
    </w:p>
    <w:p>
      <w:pPr>
        <w:widowControl/>
        <w:spacing w:line="360" w:lineRule="auto"/>
        <w:ind w:firstLine="480" w:firstLineChars="200"/>
        <w:jc w:val="left"/>
        <w:rPr>
          <w:rFonts w:ascii="Times New Roman" w:hAnsi="Times New Roman" w:eastAsia="仿宋_GB2312" w:cs="Times New Roman"/>
          <w:color w:val="auto"/>
        </w:rPr>
      </w:pPr>
      <w:r>
        <w:rPr>
          <w:rFonts w:ascii="Times New Roman" w:hAnsi="Times New Roman" w:eastAsia="仿宋_GB2312" w:cs="Times New Roman"/>
          <w:color w:val="auto"/>
          <w:kern w:val="0"/>
          <w:szCs w:val="24"/>
        </w:rPr>
        <w:t>施工结束后，</w:t>
      </w:r>
      <w:r>
        <w:rPr>
          <w:rFonts w:hint="eastAsia" w:ascii="Times New Roman" w:hAnsi="Times New Roman" w:eastAsia="仿宋_GB2312" w:cs="Times New Roman"/>
          <w:color w:val="auto"/>
          <w:kern w:val="0"/>
          <w:szCs w:val="24"/>
        </w:rPr>
        <w:t>对裸露区域</w:t>
      </w:r>
      <w:r>
        <w:rPr>
          <w:rFonts w:ascii="Times New Roman" w:hAnsi="Times New Roman" w:eastAsia="仿宋_GB2312" w:cs="Times New Roman"/>
          <w:color w:val="auto"/>
          <w:kern w:val="0"/>
          <w:szCs w:val="24"/>
        </w:rPr>
        <w:t>进行场地平整</w:t>
      </w:r>
      <w:r>
        <w:rPr>
          <w:rFonts w:ascii="Times New Roman" w:hAnsi="Times New Roman" w:eastAsia="仿宋_GB2312" w:cs="Times New Roman"/>
          <w:color w:val="auto"/>
        </w:rPr>
        <w:t>，共计平整场地面积</w:t>
      </w:r>
      <w:r>
        <w:rPr>
          <w:rFonts w:hint="eastAsia" w:ascii="Times New Roman" w:hAnsi="Times New Roman" w:eastAsia="仿宋_GB2312" w:cs="Times New Roman"/>
          <w:color w:val="auto"/>
        </w:rPr>
        <w:t>18.81</w:t>
      </w:r>
      <w:r>
        <w:rPr>
          <w:rFonts w:ascii="Times New Roman" w:hAnsi="Times New Roman" w:eastAsia="仿宋_GB2312" w:cs="Times New Roman"/>
          <w:color w:val="auto"/>
        </w:rPr>
        <w:t>hm</w:t>
      </w:r>
      <w:r>
        <w:rPr>
          <w:rFonts w:ascii="Times New Roman" w:hAnsi="Times New Roman" w:eastAsia="仿宋_GB2312" w:cs="Times New Roman"/>
          <w:color w:val="auto"/>
          <w:vertAlign w:val="superscript"/>
        </w:rPr>
        <w:t>2</w:t>
      </w:r>
      <w:r>
        <w:rPr>
          <w:rFonts w:ascii="Times New Roman" w:hAnsi="Times New Roman" w:eastAsia="仿宋_GB2312" w:cs="Times New Roman"/>
          <w:color w:val="auto"/>
        </w:rPr>
        <w:t>。</w:t>
      </w:r>
    </w:p>
    <w:p>
      <w:pPr>
        <w:spacing w:line="360" w:lineRule="auto"/>
        <w:ind w:firstLine="482" w:firstLineChars="200"/>
        <w:rPr>
          <w:rFonts w:ascii="Times New Roman" w:hAnsi="Times New Roman" w:eastAsia="仿宋_GB2312" w:cs="Times New Roman"/>
          <w:color w:val="auto"/>
        </w:rPr>
      </w:pPr>
      <w:r>
        <w:rPr>
          <w:rFonts w:ascii="Times New Roman" w:hAnsi="Times New Roman" w:eastAsia="仿宋_GB2312" w:cs="Times New Roman"/>
          <w:b/>
          <w:bCs/>
          <w:color w:val="auto"/>
        </w:rPr>
        <w:t>水土保持评价：</w:t>
      </w:r>
      <w:r>
        <w:rPr>
          <w:rFonts w:ascii="Times New Roman" w:hAnsi="Times New Roman" w:eastAsia="仿宋_GB2312" w:cs="Times New Roman"/>
          <w:color w:val="auto"/>
        </w:rPr>
        <w:t>场地平整可以改善立地条件，提高植被存活率，同时可以控制地表径流，具有较好的保水保土效果，符合水土保持要求，具有水土保持功能，根据水土保持工程界定原则，场地平整属于水土保持工程，将其纳入水土保持防治措施体系。</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（2）</w:t>
      </w:r>
      <w:r>
        <w:rPr>
          <w:rFonts w:hint="eastAsia" w:ascii="Times New Roman" w:hAnsi="Times New Roman" w:eastAsia="仿宋_GB2312"/>
          <w:color w:val="auto"/>
        </w:rPr>
        <w:t>绿化</w:t>
      </w:r>
      <w:r>
        <w:rPr>
          <w:rFonts w:ascii="Times New Roman" w:hAnsi="Times New Roman" w:eastAsia="仿宋_GB2312"/>
          <w:color w:val="auto"/>
        </w:rPr>
        <w:t>工程</w:t>
      </w:r>
      <w:r>
        <w:rPr>
          <w:rFonts w:hint="eastAsia" w:ascii="Times New Roman" w:hAnsi="Times New Roman" w:eastAsia="仿宋_GB2312"/>
          <w:color w:val="auto"/>
        </w:rPr>
        <w:t>---景观绿化</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本项目公园绿地主要以铺设草皮和栽植景观树种相结合的方式布设，防护绿地主要为环园区周边</w:t>
      </w:r>
      <w:r>
        <w:rPr>
          <w:rFonts w:ascii="Times New Roman" w:hAnsi="Times New Roman" w:eastAsia="仿宋_GB2312"/>
          <w:color w:val="auto"/>
        </w:rPr>
        <w:t>30m</w:t>
      </w:r>
      <w:r>
        <w:rPr>
          <w:rFonts w:hint="eastAsia" w:ascii="Times New Roman" w:hAnsi="Times New Roman" w:eastAsia="仿宋_GB2312"/>
          <w:color w:val="auto"/>
        </w:rPr>
        <w:t>范围布设，以乔灌草组成的隔离绿地。</w:t>
      </w:r>
      <w:r>
        <w:rPr>
          <w:rFonts w:ascii="Times New Roman" w:hAnsi="Times New Roman" w:eastAsia="仿宋_GB2312"/>
          <w:color w:val="auto"/>
        </w:rPr>
        <w:t>本区域内共计布置</w:t>
      </w:r>
      <w:r>
        <w:rPr>
          <w:rFonts w:hint="eastAsia" w:ascii="Times New Roman" w:hAnsi="Times New Roman" w:eastAsia="仿宋_GB2312"/>
          <w:color w:val="auto"/>
        </w:rPr>
        <w:t>景观绿化面积18.81</w:t>
      </w:r>
      <w:r>
        <w:rPr>
          <w:rFonts w:ascii="Times New Roman" w:hAnsi="Times New Roman" w:eastAsia="仿宋_GB2312"/>
          <w:color w:val="auto"/>
        </w:rPr>
        <w:t>hm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w:t>
      </w:r>
    </w:p>
    <w:p>
      <w:pPr>
        <w:spacing w:line="360" w:lineRule="auto"/>
        <w:ind w:firstLine="482" w:firstLineChars="200"/>
        <w:rPr>
          <w:rFonts w:ascii="Times New Roman" w:hAnsi="Times New Roman" w:eastAsia="仿宋_GB2312"/>
          <w:color w:val="auto"/>
        </w:rPr>
      </w:pPr>
      <w:r>
        <w:rPr>
          <w:rFonts w:ascii="Times New Roman" w:hAnsi="Times New Roman" w:eastAsia="仿宋_GB2312"/>
          <w:b/>
          <w:bCs/>
          <w:color w:val="auto"/>
        </w:rPr>
        <w:t>水土保持评价：</w:t>
      </w:r>
      <w:r>
        <w:rPr>
          <w:rFonts w:hint="eastAsia" w:ascii="Times New Roman" w:hAnsi="Times New Roman" w:eastAsia="仿宋_GB2312"/>
          <w:color w:val="auto"/>
        </w:rPr>
        <w:t>主体工程结合项目特点设计了多种绿化措施，能使裸露地表得到有效覆盖，有利于减少雨水击溅和地表径流冲刷，</w:t>
      </w:r>
      <w:r>
        <w:rPr>
          <w:rFonts w:ascii="Times New Roman" w:hAnsi="Times New Roman" w:eastAsia="仿宋_GB2312"/>
          <w:color w:val="auto"/>
        </w:rPr>
        <w:t>起到涵养水源，防止水土流失，调节项目区生态环境的作用。符合水土保持要求。根据水土保持工程界定原则，将</w:t>
      </w:r>
      <w:r>
        <w:rPr>
          <w:rFonts w:hint="eastAsia" w:ascii="Times New Roman" w:hAnsi="Times New Roman" w:eastAsia="仿宋_GB2312"/>
          <w:color w:val="auto"/>
        </w:rPr>
        <w:t>景观绿化</w:t>
      </w:r>
      <w:r>
        <w:rPr>
          <w:rFonts w:ascii="Times New Roman" w:hAnsi="Times New Roman" w:eastAsia="仿宋_GB2312"/>
          <w:color w:val="auto"/>
        </w:rPr>
        <w:t>界定为水土保持措施。</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（3）透水铺装工程---透水铺装</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工程主体设计结合海绵城市建设理念，在</w:t>
      </w:r>
      <w:r>
        <w:rPr>
          <w:rFonts w:hint="eastAsia" w:ascii="Times New Roman" w:hAnsi="Times New Roman" w:eastAsia="仿宋_GB2312"/>
          <w:color w:val="auto"/>
        </w:rPr>
        <w:t>公园绿地内部人行道</w:t>
      </w:r>
      <w:r>
        <w:rPr>
          <w:rFonts w:ascii="Times New Roman" w:hAnsi="Times New Roman" w:eastAsia="仿宋_GB2312"/>
          <w:color w:val="auto"/>
        </w:rPr>
        <w:t>路设置透水铺装，采用</w:t>
      </w:r>
      <w:r>
        <w:rPr>
          <w:rFonts w:hint="eastAsia" w:ascii="Times New Roman" w:hAnsi="Times New Roman" w:eastAsia="仿宋_GB2312"/>
          <w:color w:val="auto"/>
        </w:rPr>
        <w:t>面</w:t>
      </w:r>
      <w:r>
        <w:rPr>
          <w:rFonts w:ascii="Times New Roman" w:hAnsi="Times New Roman" w:eastAsia="仿宋_GB2312"/>
          <w:color w:val="auto"/>
        </w:rPr>
        <w:t>层6cm厚的透水砖</w:t>
      </w:r>
      <w:r>
        <w:rPr>
          <w:rFonts w:hint="eastAsia" w:ascii="Times New Roman" w:hAnsi="Times New Roman" w:eastAsia="仿宋_GB2312"/>
          <w:color w:val="auto"/>
        </w:rPr>
        <w:t>、封层3cm厚水泥砂浆、基层15</w:t>
      </w:r>
      <w:r>
        <w:rPr>
          <w:rFonts w:ascii="Times New Roman" w:hAnsi="Times New Roman" w:eastAsia="仿宋_GB2312"/>
          <w:color w:val="auto"/>
        </w:rPr>
        <w:t>cmC20透水混凝土和垫层</w:t>
      </w:r>
      <w:r>
        <w:rPr>
          <w:rFonts w:hint="eastAsia" w:ascii="Times New Roman" w:hAnsi="Times New Roman" w:eastAsia="仿宋_GB2312"/>
          <w:color w:val="auto"/>
        </w:rPr>
        <w:t>10cm级配碎石的</w:t>
      </w:r>
      <w:r>
        <w:rPr>
          <w:rFonts w:ascii="Times New Roman" w:hAnsi="Times New Roman" w:eastAsia="仿宋_GB2312"/>
          <w:color w:val="auto"/>
        </w:rPr>
        <w:t>型式进行人行道铺装。本区域内共计布置人行道透水铺装</w:t>
      </w:r>
      <w:r>
        <w:rPr>
          <w:rFonts w:hint="eastAsia" w:ascii="Times New Roman" w:hAnsi="Times New Roman" w:eastAsia="仿宋_GB2312"/>
          <w:color w:val="auto"/>
        </w:rPr>
        <w:t>1.20hm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w:t>
      </w:r>
    </w:p>
    <w:p>
      <w:pPr>
        <w:snapToGrid w:val="0"/>
        <w:spacing w:line="360" w:lineRule="auto"/>
        <w:ind w:firstLine="482" w:firstLineChars="200"/>
        <w:rPr>
          <w:rFonts w:ascii="Times New Roman" w:hAnsi="Times New Roman" w:eastAsia="仿宋_GB2312" w:cs="Times New Roman"/>
          <w:color w:val="auto"/>
          <w:szCs w:val="24"/>
        </w:rPr>
      </w:pPr>
      <w:r>
        <w:rPr>
          <w:rFonts w:ascii="Times New Roman" w:hAnsi="Times New Roman" w:eastAsia="仿宋_GB2312" w:cs="Times New Roman"/>
          <w:b/>
          <w:color w:val="auto"/>
          <w:szCs w:val="24"/>
        </w:rPr>
        <w:t>水土保持评价：</w:t>
      </w:r>
      <w:r>
        <w:rPr>
          <w:rFonts w:ascii="Times New Roman" w:hAnsi="Times New Roman" w:eastAsia="仿宋_GB2312" w:cs="Times New Roman"/>
          <w:color w:val="auto"/>
          <w:szCs w:val="24"/>
        </w:rPr>
        <w:t>项目区域内设置的透水材料铺装不仅可以增加透入地表的雨水，减少地表径流，还积极响应海绵城市的政策号召，涵养地下水源，该项措施符合水土保持要求，纳入水土保持防治措施体系。</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olor w:val="auto"/>
        </w:rPr>
        <w:t>（二）本区域需完善的水土保持措施：</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olor w:val="auto"/>
        </w:rPr>
        <w:t>①</w:t>
      </w:r>
      <w:r>
        <w:rPr>
          <w:rFonts w:ascii="Times New Roman" w:hAnsi="Times New Roman" w:eastAsia="仿宋_GB2312"/>
          <w:color w:val="auto"/>
        </w:rPr>
        <w:t>施工期间，</w:t>
      </w:r>
      <w:r>
        <w:rPr>
          <w:rFonts w:hint="eastAsia" w:ascii="Times New Roman" w:hAnsi="Times New Roman" w:eastAsia="仿宋_GB2312"/>
          <w:color w:val="auto"/>
        </w:rPr>
        <w:t>本</w:t>
      </w:r>
      <w:r>
        <w:rPr>
          <w:rFonts w:hint="eastAsia" w:ascii="Times New Roman" w:hAnsi="Times New Roman" w:eastAsia="仿宋_GB2312"/>
          <w:color w:val="auto"/>
          <w:lang w:val="en-US" w:eastAsia="zh-CN"/>
        </w:rPr>
        <w:t>区域评估报告</w:t>
      </w:r>
      <w:r>
        <w:rPr>
          <w:rFonts w:hint="eastAsia" w:ascii="Times New Roman" w:hAnsi="Times New Roman" w:eastAsia="仿宋_GB2312"/>
          <w:color w:val="auto"/>
        </w:rPr>
        <w:t>补充</w:t>
      </w:r>
      <w:r>
        <w:rPr>
          <w:rFonts w:ascii="Times New Roman" w:hAnsi="Times New Roman" w:eastAsia="仿宋_GB2312"/>
          <w:color w:val="auto"/>
        </w:rPr>
        <w:t>在场地周边直接开挖土质排水沟组织场地雨水走</w:t>
      </w:r>
      <w:r>
        <w:rPr>
          <w:rFonts w:hint="eastAsia" w:ascii="Times New Roman" w:hAnsi="Times New Roman" w:eastAsia="仿宋_GB2312"/>
          <w:color w:val="auto"/>
        </w:rPr>
        <w:t>向，并沿排水沟布设沉沙池，雨水经沉沙后排水周边沟渠或水系。场地整平后，对未及时绿化的区域进行临时苫盖防护，以减少水土流失。</w:t>
      </w:r>
    </w:p>
    <w:p>
      <w:pPr>
        <w:snapToGrid w:val="0"/>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②为组织绿地区域内雨水走向，根据实际需求，本</w:t>
      </w:r>
      <w:r>
        <w:rPr>
          <w:rFonts w:hint="eastAsia" w:ascii="Times New Roman" w:hAnsi="Times New Roman" w:eastAsia="仿宋_GB2312"/>
          <w:color w:val="auto"/>
          <w:lang w:val="en-US" w:eastAsia="zh-CN"/>
        </w:rPr>
        <w:t>区域评估报告</w:t>
      </w:r>
      <w:r>
        <w:rPr>
          <w:rFonts w:hint="eastAsia" w:ascii="Times New Roman" w:hAnsi="Times New Roman" w:eastAsia="仿宋_GB2312"/>
          <w:color w:val="auto"/>
        </w:rPr>
        <w:t>依据场地地势于公园绿地内布设植草沟，收集场地内雨水，雨水通过植草沟收集后排入西侧西总干渠内。</w:t>
      </w:r>
    </w:p>
    <w:p>
      <w:pPr>
        <w:keepNext/>
        <w:keepLines/>
        <w:spacing w:line="360" w:lineRule="auto"/>
        <w:outlineLvl w:val="3"/>
        <w:rPr>
          <w:rFonts w:ascii="Times New Roman" w:hAnsi="Times New Roman" w:eastAsia="仿宋_GB2312" w:cs="Times New Roman"/>
          <w:b/>
          <w:bCs/>
          <w:color w:val="auto"/>
          <w:sz w:val="28"/>
          <w:szCs w:val="24"/>
        </w:rPr>
      </w:pPr>
      <w:bookmarkStart w:id="268" w:name="_Toc28808"/>
      <w:r>
        <w:rPr>
          <w:rFonts w:ascii="Times New Roman" w:hAnsi="Times New Roman" w:eastAsia="仿宋_GB2312" w:cs="Times New Roman"/>
          <w:b/>
          <w:bCs/>
          <w:color w:val="auto"/>
          <w:sz w:val="28"/>
          <w:szCs w:val="24"/>
        </w:rPr>
        <w:t>3.2.7.</w:t>
      </w:r>
      <w:r>
        <w:rPr>
          <w:rFonts w:hint="eastAsia" w:ascii="Times New Roman" w:hAnsi="Times New Roman" w:eastAsia="仿宋_GB2312" w:cs="Times New Roman"/>
          <w:b/>
          <w:bCs/>
          <w:color w:val="auto"/>
          <w:sz w:val="28"/>
          <w:szCs w:val="24"/>
        </w:rPr>
        <w:t>2</w:t>
      </w:r>
      <w:r>
        <w:rPr>
          <w:rFonts w:ascii="Times New Roman" w:hAnsi="Times New Roman" w:eastAsia="仿宋_GB2312" w:cs="Times New Roman"/>
          <w:b/>
          <w:bCs/>
          <w:color w:val="auto"/>
          <w:sz w:val="28"/>
          <w:szCs w:val="24"/>
        </w:rPr>
        <w:t xml:space="preserve"> 区域规划功能区</w:t>
      </w:r>
    </w:p>
    <w:p>
      <w:pPr>
        <w:spacing w:line="360" w:lineRule="auto"/>
        <w:ind w:firstLine="482" w:firstLineChars="200"/>
        <w:rPr>
          <w:rFonts w:ascii="Times New Roman" w:hAnsi="Times New Roman" w:eastAsia="仿宋_GB2312"/>
          <w:b/>
          <w:color w:val="auto"/>
        </w:rPr>
      </w:pPr>
      <w:r>
        <w:rPr>
          <w:rFonts w:hint="eastAsia" w:ascii="Times New Roman" w:hAnsi="Times New Roman" w:eastAsia="仿宋_GB2312"/>
          <w:b/>
          <w:color w:val="auto"/>
        </w:rPr>
        <w:t>一、已建工程区</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本区域的已建工程区为评估前已完成建设的E11地块及评估前已完成平整，后续</w:t>
      </w:r>
      <w:r>
        <w:rPr>
          <w:rFonts w:ascii="Times New Roman" w:hAnsi="Times New Roman" w:eastAsia="仿宋_GB2312" w:cs="Times New Roman"/>
          <w:color w:val="auto"/>
          <w:szCs w:val="24"/>
        </w:rPr>
        <w:t>建设单位不再扰动的</w:t>
      </w:r>
      <w:r>
        <w:rPr>
          <w:rFonts w:hint="eastAsia" w:ascii="Times New Roman" w:hAnsi="Times New Roman" w:eastAsia="仿宋_GB2312" w:cs="Times New Roman"/>
          <w:color w:val="auto"/>
          <w:szCs w:val="24"/>
        </w:rPr>
        <w:t>E09和E19地块。</w:t>
      </w:r>
      <w:r>
        <w:rPr>
          <w:rFonts w:ascii="Times New Roman" w:hAnsi="Times New Roman" w:eastAsia="仿宋_GB2312"/>
          <w:color w:val="auto"/>
        </w:rPr>
        <w:t>主体工程设计中具有水土保持功能措施主要有场地平整</w:t>
      </w:r>
      <w:r>
        <w:rPr>
          <w:rFonts w:hint="eastAsia" w:ascii="Times New Roman" w:hAnsi="Times New Roman" w:eastAsia="仿宋_GB2312"/>
          <w:color w:val="auto"/>
        </w:rPr>
        <w:t>、撒播草籽及E11地块雨水管网和厂区绿化</w:t>
      </w:r>
      <w:r>
        <w:rPr>
          <w:rFonts w:ascii="Times New Roman" w:hAnsi="Times New Roman" w:eastAsia="仿宋_GB2312"/>
          <w:color w:val="auto"/>
        </w:rPr>
        <w:t>。具体布设情况如下：</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（1）土地整治工程---</w:t>
      </w:r>
      <w:r>
        <w:rPr>
          <w:rFonts w:ascii="Times New Roman" w:hAnsi="Times New Roman" w:eastAsia="仿宋_GB2312" w:cs="Times New Roman"/>
          <w:color w:val="auto"/>
        </w:rPr>
        <w:t>场地平整</w:t>
      </w:r>
      <w:r>
        <w:rPr>
          <w:rFonts w:hint="eastAsia" w:ascii="Times New Roman" w:hAnsi="Times New Roman" w:eastAsia="仿宋_GB2312" w:cs="Times New Roman"/>
          <w:color w:val="auto"/>
        </w:rPr>
        <w:t>（已实施）</w:t>
      </w:r>
    </w:p>
    <w:p>
      <w:pPr>
        <w:widowControl/>
        <w:spacing w:line="360" w:lineRule="auto"/>
        <w:ind w:firstLine="480" w:firstLineChars="200"/>
        <w:jc w:val="left"/>
        <w:rPr>
          <w:rFonts w:ascii="Times New Roman" w:hAnsi="Times New Roman" w:eastAsia="仿宋_GB2312" w:cs="Times New Roman"/>
          <w:color w:val="auto"/>
        </w:rPr>
      </w:pPr>
      <w:r>
        <w:rPr>
          <w:rFonts w:ascii="Times New Roman" w:hAnsi="Times New Roman" w:eastAsia="仿宋_GB2312" w:cs="Times New Roman"/>
          <w:color w:val="auto"/>
          <w:kern w:val="0"/>
          <w:szCs w:val="24"/>
        </w:rPr>
        <w:t>施工结束后，</w:t>
      </w:r>
      <w:r>
        <w:rPr>
          <w:rFonts w:hint="eastAsia" w:ascii="Times New Roman" w:hAnsi="Times New Roman" w:eastAsia="仿宋_GB2312" w:cs="Times New Roman"/>
          <w:color w:val="auto"/>
          <w:kern w:val="0"/>
          <w:szCs w:val="24"/>
        </w:rPr>
        <w:t>对裸露区域</w:t>
      </w:r>
      <w:r>
        <w:rPr>
          <w:rFonts w:ascii="Times New Roman" w:hAnsi="Times New Roman" w:eastAsia="仿宋_GB2312" w:cs="Times New Roman"/>
          <w:color w:val="auto"/>
          <w:kern w:val="0"/>
          <w:szCs w:val="24"/>
        </w:rPr>
        <w:t>进行场地平整</w:t>
      </w:r>
      <w:r>
        <w:rPr>
          <w:rFonts w:ascii="Times New Roman" w:hAnsi="Times New Roman" w:eastAsia="仿宋_GB2312" w:cs="Times New Roman"/>
          <w:color w:val="auto"/>
        </w:rPr>
        <w:t>，已完成平整场地面积</w:t>
      </w:r>
      <w:r>
        <w:rPr>
          <w:rFonts w:hint="eastAsia" w:ascii="Times New Roman" w:hAnsi="Times New Roman" w:eastAsia="仿宋_GB2312" w:cs="Times New Roman"/>
          <w:color w:val="auto"/>
        </w:rPr>
        <w:t>8.0</w:t>
      </w:r>
      <w:r>
        <w:rPr>
          <w:rFonts w:hint="eastAsia" w:ascii="Times New Roman" w:hAnsi="Times New Roman" w:eastAsia="仿宋_GB2312" w:cs="Times New Roman"/>
          <w:color w:val="auto"/>
          <w:lang w:val="en-US" w:eastAsia="zh-CN"/>
        </w:rPr>
        <w:t>5</w:t>
      </w:r>
      <w:r>
        <w:rPr>
          <w:rFonts w:ascii="Times New Roman" w:hAnsi="Times New Roman" w:eastAsia="仿宋_GB2312" w:cs="Times New Roman"/>
          <w:color w:val="auto"/>
        </w:rPr>
        <w:t>hm</w:t>
      </w:r>
      <w:r>
        <w:rPr>
          <w:rFonts w:ascii="Times New Roman" w:hAnsi="Times New Roman" w:eastAsia="仿宋_GB2312" w:cs="Times New Roman"/>
          <w:color w:val="auto"/>
          <w:vertAlign w:val="superscript"/>
        </w:rPr>
        <w:t>2</w:t>
      </w:r>
      <w:r>
        <w:rPr>
          <w:rFonts w:ascii="Times New Roman" w:hAnsi="Times New Roman" w:eastAsia="仿宋_GB2312" w:cs="Times New Roman"/>
          <w:color w:val="auto"/>
        </w:rPr>
        <w:t>。</w:t>
      </w:r>
    </w:p>
    <w:p>
      <w:pPr>
        <w:spacing w:line="360" w:lineRule="auto"/>
        <w:ind w:firstLine="482" w:firstLineChars="200"/>
        <w:rPr>
          <w:rFonts w:ascii="Times New Roman" w:hAnsi="Times New Roman" w:eastAsia="仿宋_GB2312" w:cs="Times New Roman"/>
          <w:color w:val="auto"/>
        </w:rPr>
      </w:pPr>
      <w:r>
        <w:rPr>
          <w:rFonts w:ascii="Times New Roman" w:hAnsi="Times New Roman" w:eastAsia="仿宋_GB2312" w:cs="Times New Roman"/>
          <w:b/>
          <w:bCs/>
          <w:color w:val="auto"/>
        </w:rPr>
        <w:t>水土保持评价：</w:t>
      </w:r>
      <w:r>
        <w:rPr>
          <w:rFonts w:ascii="Times New Roman" w:hAnsi="Times New Roman" w:eastAsia="仿宋_GB2312" w:cs="Times New Roman"/>
          <w:color w:val="auto"/>
        </w:rPr>
        <w:t>场地平整可以改善立地条件，提高植被存活率，同时可以控制地表径流，具有较好的保水保土效果，符合水土保持要求，具有水土保持功能，根据水土保持工程界定原则，场地平整属于水土保持工程，将其纳入水土保持防治措施体系。</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（2）排水工程---雨水管、雨水口、雨水井（已实施）</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根据</w:t>
      </w:r>
      <w:r>
        <w:rPr>
          <w:rFonts w:hint="eastAsia" w:ascii="Times New Roman" w:hAnsi="Times New Roman" w:eastAsia="仿宋_GB2312"/>
          <w:color w:val="auto"/>
        </w:rPr>
        <w:t>现场实际调查，本项目E11地块已有企业入驻，且存在生产建设项目的建设，已完成厂区内雨水管网的布设，雨水管沿厂区内道路布置，采用管径为DN300~DN800。E11地块</w:t>
      </w:r>
      <w:r>
        <w:rPr>
          <w:rFonts w:ascii="Times New Roman" w:hAnsi="Times New Roman" w:eastAsia="仿宋_GB2312"/>
          <w:color w:val="auto"/>
        </w:rPr>
        <w:t>内共计布置</w:t>
      </w:r>
      <w:r>
        <w:rPr>
          <w:rFonts w:hint="eastAsia" w:ascii="Times New Roman" w:hAnsi="Times New Roman" w:eastAsia="仿宋_GB2312"/>
          <w:color w:val="auto"/>
        </w:rPr>
        <w:t>雨水管58</w:t>
      </w:r>
      <w:r>
        <w:rPr>
          <w:rFonts w:hint="eastAsia" w:ascii="Times New Roman" w:hAnsi="Times New Roman" w:eastAsia="仿宋_GB2312"/>
          <w:color w:val="auto"/>
          <w:lang w:val="en-US" w:eastAsia="zh-CN"/>
        </w:rPr>
        <w:t>5</w:t>
      </w:r>
      <w:r>
        <w:rPr>
          <w:rFonts w:hint="eastAsia" w:ascii="Times New Roman" w:hAnsi="Times New Roman" w:eastAsia="仿宋_GB2312"/>
          <w:color w:val="auto"/>
        </w:rPr>
        <w:t>m，雨水口2</w:t>
      </w:r>
      <w:r>
        <w:rPr>
          <w:rFonts w:hint="eastAsia" w:ascii="Times New Roman" w:hAnsi="Times New Roman" w:eastAsia="仿宋_GB2312"/>
          <w:color w:val="auto"/>
          <w:lang w:val="en-US" w:eastAsia="zh-CN"/>
        </w:rPr>
        <w:t>3</w:t>
      </w:r>
      <w:r>
        <w:rPr>
          <w:rFonts w:hint="eastAsia" w:ascii="Times New Roman" w:hAnsi="Times New Roman" w:eastAsia="仿宋_GB2312"/>
          <w:color w:val="auto"/>
        </w:rPr>
        <w:t>个，雨水井12座。</w:t>
      </w:r>
    </w:p>
    <w:p>
      <w:pPr>
        <w:spacing w:line="360" w:lineRule="auto"/>
        <w:ind w:firstLine="482" w:firstLineChars="200"/>
        <w:rPr>
          <w:rFonts w:ascii="Times New Roman" w:hAnsi="Times New Roman" w:eastAsia="仿宋_GB2312" w:cs="Times New Roman"/>
          <w:color w:val="auto"/>
        </w:rPr>
      </w:pPr>
      <w:r>
        <w:rPr>
          <w:rFonts w:ascii="Times New Roman" w:hAnsi="Times New Roman" w:eastAsia="仿宋_GB2312" w:cs="Times New Roman"/>
          <w:b/>
          <w:color w:val="auto"/>
        </w:rPr>
        <w:t>水土保持评价：</w:t>
      </w:r>
      <w:r>
        <w:rPr>
          <w:rFonts w:ascii="Times New Roman" w:hAnsi="Times New Roman" w:eastAsia="仿宋_GB2312" w:cs="Times New Roman"/>
          <w:color w:val="auto"/>
        </w:rPr>
        <w:t>从水土保持角度分析，雨水管网的布设有利于场内雨水的收集、汇流和排放，减轻因地表水乱流而导致的地表冲刷，减少了水土流失，该项措施符合水土保持要求，纳入水土保持防治措施体系。</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（3）绿化工程</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①厂区绿化（已实施）</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根据现场实际调查，本项目E11地块沿建筑物周边布设有绿化，主要为种植桂花及撒播草籽绿化。E11地块</w:t>
      </w:r>
      <w:r>
        <w:rPr>
          <w:rFonts w:ascii="Times New Roman" w:hAnsi="Times New Roman" w:eastAsia="仿宋_GB2312"/>
          <w:color w:val="auto"/>
        </w:rPr>
        <w:t>内共计设置</w:t>
      </w:r>
      <w:r>
        <w:rPr>
          <w:rFonts w:hint="eastAsia" w:ascii="Times New Roman" w:hAnsi="Times New Roman" w:eastAsia="仿宋_GB2312"/>
          <w:color w:val="auto"/>
        </w:rPr>
        <w:t>厂区绿化0.02hm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w:t>
      </w:r>
    </w:p>
    <w:p>
      <w:pPr>
        <w:spacing w:line="360" w:lineRule="auto"/>
        <w:ind w:firstLine="482" w:firstLineChars="200"/>
        <w:rPr>
          <w:rFonts w:ascii="Times New Roman" w:hAnsi="Times New Roman" w:eastAsia="仿宋_GB2312"/>
          <w:color w:val="auto"/>
        </w:rPr>
      </w:pPr>
      <w:r>
        <w:rPr>
          <w:rFonts w:ascii="Times New Roman" w:hAnsi="Times New Roman" w:eastAsia="仿宋_GB2312"/>
          <w:b/>
          <w:bCs/>
          <w:color w:val="auto"/>
        </w:rPr>
        <w:t>水土保持评价：</w:t>
      </w:r>
      <w:r>
        <w:rPr>
          <w:rFonts w:ascii="Times New Roman" w:hAnsi="Times New Roman" w:eastAsia="仿宋_GB2312"/>
          <w:color w:val="auto"/>
        </w:rPr>
        <w:t>从水土保持角度分析，</w:t>
      </w:r>
      <w:r>
        <w:rPr>
          <w:rFonts w:hint="eastAsia" w:ascii="Times New Roman" w:hAnsi="Times New Roman" w:eastAsia="仿宋_GB2312"/>
          <w:color w:val="auto"/>
        </w:rPr>
        <w:t>厂区</w:t>
      </w:r>
      <w:r>
        <w:rPr>
          <w:rFonts w:ascii="Times New Roman" w:hAnsi="Times New Roman" w:eastAsia="仿宋_GB2312"/>
          <w:color w:val="auto"/>
        </w:rPr>
        <w:t>绿化的建设有利于场内植物的恢复，涵养水源，减轻水土流失，根据水土保持工程界定原则，</w:t>
      </w:r>
      <w:r>
        <w:rPr>
          <w:rFonts w:hint="eastAsia" w:ascii="Times New Roman" w:hAnsi="Times New Roman" w:eastAsia="仿宋_GB2312"/>
          <w:color w:val="auto"/>
        </w:rPr>
        <w:t>厂区</w:t>
      </w:r>
      <w:r>
        <w:rPr>
          <w:rFonts w:ascii="Times New Roman" w:hAnsi="Times New Roman" w:eastAsia="仿宋_GB2312"/>
          <w:color w:val="auto"/>
        </w:rPr>
        <w:t>绿化属于水土保持工程，将其纳入水土保持防治措施体系。</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②撒播草籽（已实施）</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根据现场实际调查，本项目已对E09和E19的平整地块裸露地表进行撒播草籽复绿。</w:t>
      </w:r>
      <w:r>
        <w:rPr>
          <w:rFonts w:ascii="Times New Roman" w:hAnsi="Times New Roman" w:eastAsia="仿宋_GB2312"/>
          <w:color w:val="auto"/>
        </w:rPr>
        <w:t>本区域内共计</w:t>
      </w:r>
      <w:r>
        <w:rPr>
          <w:rFonts w:hint="eastAsia" w:ascii="Times New Roman" w:hAnsi="Times New Roman" w:eastAsia="仿宋_GB2312"/>
          <w:color w:val="auto"/>
        </w:rPr>
        <w:t>撒播草籽8.0</w:t>
      </w:r>
      <w:r>
        <w:rPr>
          <w:rFonts w:hint="eastAsia" w:ascii="Times New Roman" w:hAnsi="Times New Roman" w:eastAsia="仿宋_GB2312"/>
          <w:color w:val="auto"/>
          <w:lang w:val="en-US" w:eastAsia="zh-CN"/>
        </w:rPr>
        <w:t>5</w:t>
      </w:r>
      <w:r>
        <w:rPr>
          <w:rFonts w:hint="eastAsia" w:ascii="Times New Roman" w:hAnsi="Times New Roman" w:eastAsia="仿宋_GB2312"/>
          <w:color w:val="auto"/>
        </w:rPr>
        <w:t>hm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w:t>
      </w:r>
    </w:p>
    <w:p>
      <w:pPr>
        <w:spacing w:line="360" w:lineRule="auto"/>
        <w:ind w:firstLine="482" w:firstLineChars="200"/>
        <w:rPr>
          <w:rFonts w:ascii="Times New Roman" w:hAnsi="Times New Roman" w:eastAsia="仿宋_GB2312"/>
          <w:color w:val="auto"/>
        </w:rPr>
      </w:pPr>
      <w:r>
        <w:rPr>
          <w:rFonts w:ascii="Times New Roman" w:hAnsi="Times New Roman" w:eastAsia="仿宋_GB2312"/>
          <w:b/>
          <w:bCs/>
          <w:color w:val="auto"/>
        </w:rPr>
        <w:t>水土保持评价：</w:t>
      </w:r>
      <w:r>
        <w:rPr>
          <w:rFonts w:ascii="Times New Roman" w:hAnsi="Times New Roman" w:eastAsia="仿宋_GB2312"/>
          <w:color w:val="auto"/>
        </w:rPr>
        <w:t>主体工程设计中</w:t>
      </w:r>
      <w:r>
        <w:rPr>
          <w:rFonts w:hint="eastAsia" w:ascii="Times New Roman" w:hAnsi="Times New Roman" w:eastAsia="仿宋_GB2312"/>
          <w:color w:val="auto"/>
        </w:rPr>
        <w:t>撒播草籽植被恢复</w:t>
      </w:r>
      <w:r>
        <w:rPr>
          <w:rFonts w:ascii="Times New Roman" w:hAnsi="Times New Roman" w:eastAsia="仿宋_GB2312"/>
          <w:color w:val="auto"/>
        </w:rPr>
        <w:t>工程不仅增加项目区的植被覆盖度，</w:t>
      </w:r>
      <w:r>
        <w:rPr>
          <w:rFonts w:hint="eastAsia" w:ascii="Times New Roman" w:hAnsi="Times New Roman" w:eastAsia="仿宋_GB2312"/>
          <w:color w:val="auto"/>
        </w:rPr>
        <w:t>恢复</w:t>
      </w:r>
      <w:r>
        <w:rPr>
          <w:rFonts w:ascii="Times New Roman" w:hAnsi="Times New Roman" w:eastAsia="仿宋_GB2312"/>
          <w:color w:val="auto"/>
        </w:rPr>
        <w:t>场地植被，同时植物根系的固土作用和草的拦挡、截留作用，都可减弱雨水对</w:t>
      </w:r>
      <w:r>
        <w:rPr>
          <w:rFonts w:hint="eastAsia" w:ascii="Times New Roman" w:hAnsi="Times New Roman" w:eastAsia="仿宋_GB2312"/>
          <w:color w:val="auto"/>
        </w:rPr>
        <w:t>裸露</w:t>
      </w:r>
      <w:r>
        <w:rPr>
          <w:rFonts w:ascii="Times New Roman" w:hAnsi="Times New Roman" w:eastAsia="仿宋_GB2312"/>
          <w:color w:val="auto"/>
        </w:rPr>
        <w:t>地面的冲刷，起到涵养水源，防止水土流失，调节项目区生态环境的作用。符合水土保持要求。根据水土保持工程界定原则，将</w:t>
      </w:r>
      <w:r>
        <w:rPr>
          <w:rFonts w:hint="eastAsia" w:ascii="Times New Roman" w:hAnsi="Times New Roman" w:eastAsia="仿宋_GB2312"/>
          <w:color w:val="auto"/>
        </w:rPr>
        <w:t>撒播草籽</w:t>
      </w:r>
      <w:r>
        <w:rPr>
          <w:rFonts w:ascii="Times New Roman" w:hAnsi="Times New Roman" w:eastAsia="仿宋_GB2312"/>
          <w:color w:val="auto"/>
        </w:rPr>
        <w:t>界定为水土保持措施。</w:t>
      </w:r>
    </w:p>
    <w:p>
      <w:pPr>
        <w:spacing w:line="360" w:lineRule="auto"/>
        <w:ind w:firstLine="482" w:firstLineChars="200"/>
        <w:rPr>
          <w:rFonts w:ascii="Times New Roman" w:hAnsi="Times New Roman" w:eastAsia="仿宋_GB2312"/>
          <w:b/>
          <w:color w:val="auto"/>
        </w:rPr>
      </w:pPr>
      <w:r>
        <w:rPr>
          <w:rFonts w:hint="eastAsia" w:ascii="Times New Roman" w:hAnsi="Times New Roman" w:eastAsia="仿宋_GB2312"/>
          <w:b/>
          <w:color w:val="auto"/>
        </w:rPr>
        <w:t>二、在建工程区</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在建工程</w:t>
      </w:r>
      <w:r>
        <w:rPr>
          <w:rFonts w:ascii="Times New Roman" w:hAnsi="Times New Roman" w:eastAsia="仿宋_GB2312"/>
          <w:color w:val="auto"/>
        </w:rPr>
        <w:t>区为</w:t>
      </w:r>
      <w:r>
        <w:rPr>
          <w:rFonts w:hint="eastAsia" w:ascii="Times New Roman" w:hAnsi="Times New Roman" w:eastAsia="仿宋_GB2312"/>
          <w:color w:val="auto"/>
        </w:rPr>
        <w:t>评估前已批复水土保持方案且正在建设</w:t>
      </w:r>
      <w:r>
        <w:rPr>
          <w:rFonts w:hint="eastAsia" w:ascii="Times New Roman" w:hAnsi="Times New Roman" w:eastAsia="仿宋_GB2312" w:cs="Times New Roman"/>
          <w:color w:val="auto"/>
          <w:szCs w:val="24"/>
        </w:rPr>
        <w:t>南昌电子信息（LED）产业创新示范园（二期）一组团项目</w:t>
      </w:r>
      <w:r>
        <w:rPr>
          <w:rFonts w:hint="eastAsia" w:ascii="Times New Roman" w:hAnsi="Times New Roman" w:eastAsia="仿宋_GB2312"/>
          <w:color w:val="auto"/>
        </w:rPr>
        <w:t>的E17和E21地块部分区域。水土保持</w:t>
      </w:r>
      <w:r>
        <w:rPr>
          <w:rFonts w:ascii="Times New Roman" w:hAnsi="Times New Roman" w:eastAsia="仿宋_GB2312"/>
          <w:color w:val="auto"/>
        </w:rPr>
        <w:t>方案设计中具有水土保持功能措施主要有土地整治工程</w:t>
      </w:r>
      <w:r>
        <w:rPr>
          <w:rFonts w:hint="eastAsia" w:ascii="Times New Roman" w:hAnsi="Times New Roman" w:eastAsia="仿宋_GB2312"/>
          <w:color w:val="auto"/>
        </w:rPr>
        <w:t>、</w:t>
      </w:r>
      <w:r>
        <w:rPr>
          <w:rFonts w:ascii="Times New Roman" w:hAnsi="Times New Roman" w:eastAsia="仿宋_GB2312"/>
          <w:color w:val="auto"/>
        </w:rPr>
        <w:t>雨水排水工程</w:t>
      </w:r>
      <w:r>
        <w:rPr>
          <w:rFonts w:hint="eastAsia" w:ascii="Times New Roman" w:hAnsi="Times New Roman" w:eastAsia="仿宋_GB2312"/>
          <w:color w:val="auto"/>
        </w:rPr>
        <w:t>、</w:t>
      </w:r>
      <w:r>
        <w:rPr>
          <w:rFonts w:ascii="Times New Roman" w:hAnsi="Times New Roman" w:eastAsia="仿宋_GB2312"/>
          <w:color w:val="auto"/>
        </w:rPr>
        <w:t>绿化工程</w:t>
      </w:r>
      <w:r>
        <w:rPr>
          <w:rFonts w:hint="eastAsia" w:ascii="Times New Roman" w:hAnsi="Times New Roman" w:eastAsia="仿宋_GB2312"/>
          <w:color w:val="auto"/>
        </w:rPr>
        <w:t>和临时防护工程</w:t>
      </w:r>
      <w:r>
        <w:rPr>
          <w:rFonts w:ascii="Times New Roman" w:hAnsi="Times New Roman" w:eastAsia="仿宋_GB2312"/>
          <w:color w:val="auto"/>
        </w:rPr>
        <w:t>。具体布设情况如下：</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（1）土地整治工程---表土剥离、场地平整、表土回填</w:t>
      </w:r>
    </w:p>
    <w:p>
      <w:pPr>
        <w:spacing w:line="360" w:lineRule="auto"/>
        <w:ind w:firstLine="480" w:firstLineChars="200"/>
        <w:rPr>
          <w:rFonts w:ascii="Times New Roman" w:hAnsi="Times New Roman" w:eastAsia="仿宋_GB2312"/>
          <w:color w:val="auto"/>
        </w:rPr>
      </w:pPr>
      <w:r>
        <w:rPr>
          <w:rFonts w:hint="eastAsia" w:ascii="宋体" w:hAnsi="宋体" w:cs="宋体"/>
          <w:color w:val="auto"/>
        </w:rPr>
        <w:t>①</w:t>
      </w:r>
      <w:r>
        <w:rPr>
          <w:rFonts w:ascii="Times New Roman" w:hAnsi="Times New Roman" w:eastAsia="仿宋_GB2312"/>
          <w:color w:val="auto"/>
        </w:rPr>
        <w:t>表土剥离</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对</w:t>
      </w:r>
      <w:r>
        <w:rPr>
          <w:rFonts w:hint="eastAsia" w:ascii="Times New Roman" w:hAnsi="Times New Roman" w:eastAsia="仿宋_GB2312"/>
          <w:color w:val="auto"/>
        </w:rPr>
        <w:t>扰动范围内土质肥沃区域进行表土剥离，表土剥离面积为12.48hm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，剥离厚度15cm，剥离的表土临时堆存于表土临时堆放场进行统一保护。工程量：表土剥离1.87万m</w:t>
      </w:r>
      <w:r>
        <w:rPr>
          <w:rFonts w:hint="eastAsia" w:ascii="Times New Roman" w:hAnsi="Times New Roman" w:eastAsia="仿宋_GB2312"/>
          <w:color w:val="auto"/>
          <w:vertAlign w:val="superscript"/>
        </w:rPr>
        <w:t>3</w:t>
      </w:r>
      <w:r>
        <w:rPr>
          <w:rFonts w:ascii="Times New Roman" w:hAnsi="Times New Roman" w:eastAsia="仿宋_GB2312"/>
          <w:color w:val="auto"/>
        </w:rPr>
        <w:t>。</w:t>
      </w:r>
    </w:p>
    <w:p>
      <w:pPr>
        <w:spacing w:line="360" w:lineRule="auto"/>
        <w:ind w:firstLine="480" w:firstLineChars="200"/>
        <w:rPr>
          <w:rFonts w:ascii="Times New Roman" w:hAnsi="Times New Roman" w:eastAsia="仿宋_GB2312" w:cs="Times New Roman"/>
          <w:color w:val="auto"/>
        </w:rPr>
      </w:pPr>
      <w:r>
        <w:rPr>
          <w:rFonts w:hint="eastAsia" w:ascii="宋体" w:hAnsi="宋体" w:cs="宋体"/>
          <w:color w:val="auto"/>
        </w:rPr>
        <w:t>②</w:t>
      </w:r>
      <w:r>
        <w:rPr>
          <w:rFonts w:ascii="Times New Roman" w:hAnsi="Times New Roman" w:eastAsia="仿宋_GB2312" w:cs="Times New Roman"/>
          <w:color w:val="auto"/>
        </w:rPr>
        <w:t>场地平整</w:t>
      </w:r>
    </w:p>
    <w:p>
      <w:pPr>
        <w:widowControl/>
        <w:spacing w:line="360" w:lineRule="auto"/>
        <w:ind w:firstLine="480" w:firstLineChars="200"/>
        <w:jc w:val="left"/>
        <w:rPr>
          <w:rFonts w:hint="eastAsia" w:ascii="Times New Roman" w:hAnsi="Times New Roman" w:eastAsia="仿宋_GB2312" w:cs="Times New Roman"/>
          <w:color w:val="auto"/>
        </w:rPr>
      </w:pPr>
      <w:r>
        <w:rPr>
          <w:rFonts w:hint="eastAsia" w:ascii="Times New Roman" w:hAnsi="Times New Roman" w:eastAsia="仿宋_GB2312" w:cs="Times New Roman"/>
          <w:color w:val="auto"/>
          <w:kern w:val="0"/>
          <w:szCs w:val="24"/>
        </w:rPr>
        <w:t>工程</w:t>
      </w:r>
      <w:r>
        <w:rPr>
          <w:rFonts w:ascii="Times New Roman" w:hAnsi="Times New Roman" w:eastAsia="仿宋_GB2312" w:cs="Times New Roman"/>
          <w:color w:val="auto"/>
          <w:kern w:val="0"/>
          <w:szCs w:val="24"/>
        </w:rPr>
        <w:t>建设后期</w:t>
      </w:r>
      <w:r>
        <w:rPr>
          <w:rFonts w:hint="eastAsia" w:ascii="Times New Roman" w:hAnsi="Times New Roman" w:eastAsia="仿宋_GB2312" w:cs="Times New Roman"/>
          <w:color w:val="auto"/>
          <w:kern w:val="0"/>
          <w:szCs w:val="24"/>
        </w:rPr>
        <w:t>，</w:t>
      </w:r>
      <w:r>
        <w:rPr>
          <w:rFonts w:ascii="Times New Roman" w:hAnsi="Times New Roman" w:eastAsia="仿宋_GB2312" w:cs="Times New Roman"/>
          <w:color w:val="auto"/>
          <w:kern w:val="0"/>
          <w:szCs w:val="24"/>
        </w:rPr>
        <w:t>对区域内有栽植植被的区域进行场地平整</w:t>
      </w:r>
      <w:r>
        <w:rPr>
          <w:rFonts w:hint="eastAsia" w:ascii="Times New Roman" w:hAnsi="Times New Roman" w:eastAsia="仿宋_GB2312" w:cs="Times New Roman"/>
          <w:color w:val="auto"/>
          <w:kern w:val="0"/>
          <w:szCs w:val="24"/>
        </w:rPr>
        <w:t>，</w:t>
      </w:r>
      <w:r>
        <w:rPr>
          <w:rFonts w:ascii="Times New Roman" w:hAnsi="Times New Roman" w:eastAsia="仿宋_GB2312" w:cs="Times New Roman"/>
          <w:color w:val="auto"/>
        </w:rPr>
        <w:t>共计平整场地面积</w:t>
      </w:r>
      <w:r>
        <w:rPr>
          <w:rFonts w:hint="eastAsia" w:ascii="Times New Roman" w:hAnsi="Times New Roman" w:eastAsia="仿宋_GB2312" w:cs="Times New Roman"/>
          <w:color w:val="auto"/>
        </w:rPr>
        <w:t>2.55</w:t>
      </w:r>
      <w:r>
        <w:rPr>
          <w:rFonts w:ascii="Times New Roman" w:hAnsi="Times New Roman" w:eastAsia="仿宋_GB2312" w:cs="Times New Roman"/>
          <w:color w:val="auto"/>
        </w:rPr>
        <w:t>hm</w:t>
      </w:r>
      <w:r>
        <w:rPr>
          <w:rFonts w:ascii="Times New Roman" w:hAnsi="Times New Roman" w:eastAsia="仿宋_GB2312" w:cs="Times New Roman"/>
          <w:color w:val="auto"/>
          <w:vertAlign w:val="superscript"/>
        </w:rPr>
        <w:t>2</w:t>
      </w:r>
      <w:r>
        <w:rPr>
          <w:rFonts w:ascii="Times New Roman" w:hAnsi="Times New Roman" w:eastAsia="仿宋_GB2312" w:cs="Times New Roman"/>
          <w:color w:val="auto"/>
        </w:rPr>
        <w:t>。</w:t>
      </w:r>
    </w:p>
    <w:p>
      <w:pPr>
        <w:widowControl/>
        <w:spacing w:line="360" w:lineRule="auto"/>
        <w:ind w:firstLine="480" w:firstLineChars="200"/>
        <w:jc w:val="left"/>
        <w:rPr>
          <w:rFonts w:hint="eastAsia" w:ascii="Times New Roman" w:hAnsi="Times New Roman" w:eastAsia="仿宋_GB2312" w:cs="Times New Roman"/>
          <w:color w:val="auto"/>
        </w:rPr>
      </w:pPr>
      <w:r>
        <w:rPr>
          <w:rFonts w:hint="eastAsia" w:ascii="Times New Roman" w:hAnsi="Times New Roman" w:eastAsia="仿宋_GB2312" w:cs="Times New Roman"/>
          <w:color w:val="auto"/>
        </w:rPr>
        <w:t>③表土回填</w:t>
      </w:r>
    </w:p>
    <w:p>
      <w:pPr>
        <w:widowControl/>
        <w:spacing w:line="360" w:lineRule="auto"/>
        <w:ind w:firstLine="480" w:firstLineChars="200"/>
        <w:jc w:val="left"/>
        <w:rPr>
          <w:rFonts w:ascii="Times New Roman" w:hAnsi="Times New Roman" w:eastAsia="仿宋_GB2312" w:cs="Times New Roman"/>
          <w:color w:val="auto"/>
        </w:rPr>
      </w:pPr>
      <w:r>
        <w:rPr>
          <w:rFonts w:hint="eastAsia" w:ascii="Times New Roman" w:hAnsi="Times New Roman" w:eastAsia="仿宋_GB2312" w:cs="Times New Roman"/>
          <w:color w:val="auto"/>
        </w:rPr>
        <w:t>园林绿化施工前，先进行种植土回填，以提高植物生长率，表土运至绿化区域后采用人工和机械相结合的方法进行平整，根据优化的施工工艺，表土回填厚度为60cm，回填量为1.87万m</w:t>
      </w:r>
      <w:r>
        <w:rPr>
          <w:rFonts w:hint="eastAsia" w:ascii="Times New Roman" w:hAnsi="Times New Roman" w:eastAsia="仿宋_GB2312" w:cs="Times New Roman"/>
          <w:color w:val="auto"/>
          <w:vertAlign w:val="superscript"/>
        </w:rPr>
        <w:t>3</w:t>
      </w:r>
      <w:r>
        <w:rPr>
          <w:rFonts w:hint="eastAsia" w:ascii="Times New Roman" w:hAnsi="Times New Roman" w:eastAsia="仿宋_GB2312" w:cs="Times New Roman"/>
          <w:color w:val="auto"/>
        </w:rPr>
        <w:t>。</w:t>
      </w:r>
    </w:p>
    <w:p>
      <w:pPr>
        <w:spacing w:line="360" w:lineRule="auto"/>
        <w:ind w:firstLine="482" w:firstLineChars="200"/>
        <w:rPr>
          <w:rFonts w:ascii="Times New Roman" w:hAnsi="Times New Roman" w:eastAsia="仿宋_GB2312" w:cs="Times New Roman"/>
          <w:color w:val="auto"/>
        </w:rPr>
      </w:pPr>
      <w:r>
        <w:rPr>
          <w:rFonts w:ascii="Times New Roman" w:hAnsi="Times New Roman" w:eastAsia="仿宋_GB2312" w:cs="Times New Roman"/>
          <w:b/>
          <w:color w:val="auto"/>
          <w:szCs w:val="24"/>
        </w:rPr>
        <w:t>水土保持评价：</w:t>
      </w:r>
      <w:r>
        <w:rPr>
          <w:rFonts w:ascii="Times New Roman" w:hAnsi="Times New Roman" w:eastAsia="仿宋_GB2312" w:cs="Times New Roman"/>
          <w:color w:val="auto"/>
        </w:rPr>
        <w:t>表土是经过熟化过程的土壤，其中水、肥、气、热条件更适合植被生长，是珍贵的土壤资源，将剥离出的表土临时堆置，作为后期绿化区域回覆的种植土，既可以保护区域内表土资源，又可减少余方量和借方量，减少土方转运，可有效防治施工过程中造成的水土流失</w:t>
      </w:r>
      <w:r>
        <w:rPr>
          <w:rFonts w:hint="eastAsia" w:ascii="Times New Roman" w:hAnsi="Times New Roman" w:eastAsia="仿宋_GB2312" w:cs="Times New Roman"/>
          <w:color w:val="auto"/>
        </w:rPr>
        <w:t>，</w:t>
      </w:r>
      <w:r>
        <w:rPr>
          <w:rFonts w:ascii="Times New Roman" w:hAnsi="Times New Roman" w:eastAsia="仿宋_GB2312" w:cs="Times New Roman"/>
          <w:color w:val="auto"/>
        </w:rPr>
        <w:t>绿化施工前先对场地进行平整，可以使雨水处于可控状态，能有效地控制雨水对地面的冲刷程度，具有较好的保水保土效。根据水土保持工程鉴定原则，表土剥离</w:t>
      </w:r>
      <w:r>
        <w:rPr>
          <w:rFonts w:hint="eastAsia" w:ascii="Times New Roman" w:hAnsi="Times New Roman" w:eastAsia="仿宋_GB2312" w:cs="Times New Roman"/>
          <w:color w:val="auto"/>
        </w:rPr>
        <w:t>、</w:t>
      </w:r>
      <w:r>
        <w:rPr>
          <w:rFonts w:ascii="Times New Roman" w:hAnsi="Times New Roman" w:eastAsia="仿宋_GB2312" w:cs="Times New Roman"/>
          <w:color w:val="auto"/>
        </w:rPr>
        <w:t>场地平整</w:t>
      </w:r>
      <w:r>
        <w:rPr>
          <w:rFonts w:hint="eastAsia" w:ascii="Times New Roman" w:hAnsi="Times New Roman" w:eastAsia="仿宋_GB2312" w:cs="Times New Roman"/>
          <w:color w:val="auto"/>
        </w:rPr>
        <w:t>和</w:t>
      </w:r>
      <w:r>
        <w:rPr>
          <w:rFonts w:ascii="Times New Roman" w:hAnsi="Times New Roman" w:eastAsia="仿宋_GB2312" w:cs="Times New Roman"/>
          <w:color w:val="auto"/>
        </w:rPr>
        <w:t>表土回填属于水土保持工程，</w:t>
      </w:r>
      <w:r>
        <w:rPr>
          <w:rFonts w:hint="eastAsia" w:ascii="Times New Roman" w:hAnsi="Times New Roman" w:eastAsia="仿宋_GB2312" w:cs="Times New Roman"/>
          <w:color w:val="auto"/>
        </w:rPr>
        <w:t>已</w:t>
      </w:r>
      <w:r>
        <w:rPr>
          <w:rFonts w:ascii="Times New Roman" w:hAnsi="Times New Roman" w:eastAsia="仿宋_GB2312" w:cs="Times New Roman"/>
          <w:color w:val="auto"/>
        </w:rPr>
        <w:t>将其纳入已批复的</w:t>
      </w:r>
      <w:r>
        <w:rPr>
          <w:rFonts w:hint="eastAsia" w:ascii="Times New Roman" w:hAnsi="Times New Roman" w:eastAsia="仿宋_GB2312" w:cs="Times New Roman"/>
          <w:color w:val="auto"/>
          <w:szCs w:val="24"/>
        </w:rPr>
        <w:t>南昌电子信息（LED）产业创新示范园（二期）一组团项目水土保持方案的</w:t>
      </w:r>
      <w:r>
        <w:rPr>
          <w:rFonts w:ascii="Times New Roman" w:hAnsi="Times New Roman" w:eastAsia="仿宋_GB2312" w:cs="Times New Roman"/>
          <w:color w:val="auto"/>
        </w:rPr>
        <w:t>水土保持措施体系</w:t>
      </w:r>
      <w:r>
        <w:rPr>
          <w:rFonts w:hint="eastAsia" w:ascii="Times New Roman" w:hAnsi="Times New Roman" w:eastAsia="仿宋_GB2312" w:cs="Times New Roman"/>
          <w:color w:val="auto"/>
        </w:rPr>
        <w:t>，</w:t>
      </w:r>
      <w:r>
        <w:rPr>
          <w:rFonts w:ascii="Times New Roman" w:hAnsi="Times New Roman" w:eastAsia="仿宋_GB2312" w:cs="Times New Roman"/>
          <w:color w:val="auto"/>
        </w:rPr>
        <w:t>故不再重复计算</w:t>
      </w:r>
      <w:r>
        <w:rPr>
          <w:rFonts w:hint="eastAsia" w:ascii="Times New Roman" w:hAnsi="Times New Roman" w:eastAsia="仿宋_GB2312" w:cs="Times New Roman"/>
          <w:color w:val="auto"/>
        </w:rPr>
        <w:t>，</w:t>
      </w:r>
      <w:r>
        <w:rPr>
          <w:rFonts w:ascii="Times New Roman" w:hAnsi="Times New Roman" w:eastAsia="仿宋_GB2312" w:cs="Times New Roman"/>
          <w:color w:val="auto"/>
        </w:rPr>
        <w:t>不纳入本评估区域水土保持措施体系。</w:t>
      </w:r>
    </w:p>
    <w:p>
      <w:pPr>
        <w:spacing w:line="360" w:lineRule="auto"/>
        <w:ind w:firstLine="480" w:firstLineChars="200"/>
        <w:rPr>
          <w:rFonts w:hint="eastAsia" w:ascii="Times New Roman" w:hAnsi="Times New Roman" w:eastAsia="仿宋_GB2312"/>
          <w:color w:val="auto"/>
        </w:rPr>
      </w:pPr>
      <w:r>
        <w:rPr>
          <w:rFonts w:hint="eastAsia" w:ascii="Times New Roman" w:hAnsi="Times New Roman" w:eastAsia="仿宋_GB2312"/>
          <w:color w:val="auto"/>
        </w:rPr>
        <w:t>（2）排水工程---雨水管、雨水井</w:t>
      </w:r>
    </w:p>
    <w:p>
      <w:pPr>
        <w:spacing w:line="360" w:lineRule="auto"/>
        <w:ind w:firstLine="480" w:firstLineChars="200"/>
        <w:rPr>
          <w:rFonts w:hint="eastAsia" w:ascii="Times New Roman" w:hAnsi="Times New Roman" w:eastAsia="仿宋_GB2312"/>
          <w:color w:val="auto"/>
        </w:rPr>
      </w:pPr>
      <w:r>
        <w:rPr>
          <w:rFonts w:hint="eastAsia" w:ascii="Times New Roman" w:hAnsi="Times New Roman" w:eastAsia="仿宋_GB2312"/>
          <w:color w:val="auto"/>
        </w:rPr>
        <w:t>该项目雨水排水系统主要布设在建筑物周边及沿道路布设，接纳项目区内的屋面及地面雨水，雨水经收集后汇到已建成的杨家山路的排水系统内。排水管道坡向与项目场内道路坡向一致，排水坡度为0.4%，管道管径为DN400。根据主体工程设计，共布设雨水管长6290m，雨水井100个。</w:t>
      </w:r>
    </w:p>
    <w:p>
      <w:pPr>
        <w:spacing w:line="360" w:lineRule="auto"/>
        <w:ind w:firstLine="482" w:firstLineChars="200"/>
        <w:rPr>
          <w:rFonts w:ascii="Times New Roman" w:hAnsi="Times New Roman" w:eastAsia="仿宋_GB2312" w:cs="Times New Roman"/>
          <w:color w:val="auto"/>
        </w:rPr>
      </w:pPr>
      <w:r>
        <w:rPr>
          <w:rFonts w:ascii="Times New Roman" w:hAnsi="Times New Roman" w:eastAsia="仿宋_GB2312" w:cs="Times New Roman"/>
          <w:b/>
          <w:bCs/>
          <w:color w:val="auto"/>
        </w:rPr>
        <w:t>水土保持评价：</w:t>
      </w:r>
      <w:r>
        <w:rPr>
          <w:rFonts w:ascii="Times New Roman" w:hAnsi="Times New Roman" w:eastAsia="仿宋_GB2312" w:cs="Times New Roman"/>
          <w:color w:val="auto"/>
        </w:rPr>
        <w:t>雨水管</w:t>
      </w:r>
      <w:r>
        <w:rPr>
          <w:rFonts w:hint="eastAsia" w:ascii="Times New Roman" w:hAnsi="Times New Roman" w:eastAsia="仿宋_GB2312" w:cs="Times New Roman"/>
          <w:color w:val="auto"/>
        </w:rPr>
        <w:t>和</w:t>
      </w:r>
      <w:r>
        <w:rPr>
          <w:rFonts w:ascii="Times New Roman" w:hAnsi="Times New Roman" w:eastAsia="仿宋_GB2312" w:cs="Times New Roman"/>
          <w:color w:val="auto"/>
        </w:rPr>
        <w:t>雨水井的布置有利于场内雨水的收集、汇流和排放，减轻因地表水乱流而导致的地表冲刷，减少了水土流失，该项措施符合水土保持要求，</w:t>
      </w:r>
      <w:r>
        <w:rPr>
          <w:rFonts w:hint="eastAsia" w:ascii="Times New Roman" w:hAnsi="Times New Roman" w:eastAsia="仿宋_GB2312" w:cs="Times New Roman"/>
          <w:color w:val="auto"/>
        </w:rPr>
        <w:t>已</w:t>
      </w:r>
      <w:r>
        <w:rPr>
          <w:rFonts w:ascii="Times New Roman" w:hAnsi="Times New Roman" w:eastAsia="仿宋_GB2312" w:cs="Times New Roman"/>
          <w:color w:val="auto"/>
        </w:rPr>
        <w:t>纳入已批复的</w:t>
      </w:r>
      <w:r>
        <w:rPr>
          <w:rFonts w:hint="eastAsia" w:ascii="Times New Roman" w:hAnsi="Times New Roman" w:eastAsia="仿宋_GB2312" w:cs="Times New Roman"/>
          <w:color w:val="auto"/>
          <w:szCs w:val="24"/>
        </w:rPr>
        <w:t>南昌电子信息（LED）产业创新示范园（二期）一组团项目水土保持方案的</w:t>
      </w:r>
      <w:r>
        <w:rPr>
          <w:rFonts w:ascii="Times New Roman" w:hAnsi="Times New Roman" w:eastAsia="仿宋_GB2312" w:cs="Times New Roman"/>
          <w:color w:val="auto"/>
        </w:rPr>
        <w:t>水土保持措施体系</w:t>
      </w:r>
      <w:r>
        <w:rPr>
          <w:rFonts w:hint="eastAsia" w:ascii="Times New Roman" w:hAnsi="Times New Roman" w:eastAsia="仿宋_GB2312" w:cs="Times New Roman"/>
          <w:color w:val="auto"/>
        </w:rPr>
        <w:t>，</w:t>
      </w:r>
      <w:r>
        <w:rPr>
          <w:rFonts w:ascii="Times New Roman" w:hAnsi="Times New Roman" w:eastAsia="仿宋_GB2312" w:cs="Times New Roman"/>
          <w:color w:val="auto"/>
        </w:rPr>
        <w:t>故不再重复计算</w:t>
      </w:r>
      <w:r>
        <w:rPr>
          <w:rFonts w:hint="eastAsia" w:ascii="Times New Roman" w:hAnsi="Times New Roman" w:eastAsia="仿宋_GB2312" w:cs="Times New Roman"/>
          <w:color w:val="auto"/>
        </w:rPr>
        <w:t>，</w:t>
      </w:r>
      <w:r>
        <w:rPr>
          <w:rFonts w:ascii="Times New Roman" w:hAnsi="Times New Roman" w:eastAsia="仿宋_GB2312" w:cs="Times New Roman"/>
          <w:color w:val="auto"/>
        </w:rPr>
        <w:t>不纳入本评估区域水土保持措施体系。</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（3）绿化工程---园林绿化、施工生产生活区临时绿化及撒播草籽</w:t>
      </w:r>
    </w:p>
    <w:p>
      <w:pPr>
        <w:spacing w:line="360" w:lineRule="auto"/>
        <w:ind w:firstLine="480" w:firstLineChars="200"/>
        <w:rPr>
          <w:rFonts w:hint="eastAsia" w:ascii="Times New Roman" w:hAnsi="Times New Roman" w:eastAsia="仿宋_GB2312"/>
          <w:color w:val="auto"/>
        </w:rPr>
      </w:pPr>
      <w:r>
        <w:rPr>
          <w:rFonts w:hint="eastAsia" w:ascii="Times New Roman" w:hAnsi="Times New Roman" w:eastAsia="仿宋_GB2312"/>
          <w:color w:val="auto"/>
        </w:rPr>
        <w:t>①园林绿化</w:t>
      </w:r>
    </w:p>
    <w:p>
      <w:pPr>
        <w:spacing w:line="360" w:lineRule="auto"/>
        <w:ind w:firstLine="480" w:firstLineChars="200"/>
        <w:rPr>
          <w:rFonts w:hint="eastAsia" w:ascii="Times New Roman" w:hAnsi="Times New Roman" w:eastAsia="仿宋_GB2312"/>
          <w:color w:val="auto"/>
        </w:rPr>
      </w:pPr>
      <w:r>
        <w:rPr>
          <w:rFonts w:hint="eastAsia" w:ascii="Times New Roman" w:hAnsi="Times New Roman" w:eastAsia="仿宋_GB2312"/>
          <w:color w:val="auto"/>
        </w:rPr>
        <w:t>为了绿化项目内场地环境，主体工程设计在建筑物间，道路广场周围等空地上进行园林式绿化，种植遮阳、防尘的树种，布置一些绿化小景观，这些绿化措施的布设，覆盖了裸露的地表，增加了地表入渗，减少了地表径流量，减少了由于地表裸露而造成的溅蚀及面蚀。园林绿化面积为2.55h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w:t>
      </w:r>
    </w:p>
    <w:p>
      <w:pPr>
        <w:spacing w:line="360" w:lineRule="auto"/>
        <w:ind w:firstLine="480" w:firstLineChars="200"/>
        <w:rPr>
          <w:rFonts w:hint="eastAsia" w:ascii="Times New Roman" w:hAnsi="Times New Roman" w:eastAsia="仿宋_GB2312"/>
          <w:color w:val="auto"/>
        </w:rPr>
      </w:pPr>
      <w:r>
        <w:rPr>
          <w:rFonts w:hint="eastAsia" w:ascii="Times New Roman" w:hAnsi="Times New Roman" w:eastAsia="仿宋_GB2312"/>
          <w:color w:val="auto"/>
        </w:rPr>
        <w:t>②临时绿化</w:t>
      </w:r>
    </w:p>
    <w:p>
      <w:pPr>
        <w:spacing w:line="360" w:lineRule="auto"/>
        <w:ind w:firstLine="480" w:firstLineChars="200"/>
        <w:rPr>
          <w:rFonts w:hint="eastAsia" w:ascii="Times New Roman" w:hAnsi="Times New Roman" w:eastAsia="仿宋_GB2312"/>
          <w:color w:val="auto"/>
        </w:rPr>
      </w:pPr>
      <w:r>
        <w:rPr>
          <w:rFonts w:hint="eastAsia" w:ascii="Times New Roman" w:hAnsi="Times New Roman" w:eastAsia="仿宋_GB2312"/>
          <w:color w:val="auto"/>
        </w:rPr>
        <w:t>该项目施工工期较长，通过现场调查，主体工程在施工期间对施工生产生活区的项目部布设了临时绿化，主要为铺草坪和少量桂花树，占地面积约1500m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w:t>
      </w:r>
    </w:p>
    <w:p>
      <w:pPr>
        <w:spacing w:line="360" w:lineRule="auto"/>
        <w:ind w:firstLine="480" w:firstLineChars="200"/>
        <w:rPr>
          <w:rFonts w:hint="eastAsia" w:ascii="Times New Roman" w:hAnsi="Times New Roman" w:eastAsia="仿宋_GB2312"/>
          <w:color w:val="auto"/>
        </w:rPr>
      </w:pPr>
      <w:r>
        <w:rPr>
          <w:rFonts w:hint="eastAsia" w:ascii="Times New Roman" w:hAnsi="Times New Roman" w:eastAsia="仿宋_GB2312"/>
          <w:color w:val="auto"/>
        </w:rPr>
        <w:t>③撒播草籽</w:t>
      </w:r>
    </w:p>
    <w:p>
      <w:pPr>
        <w:spacing w:line="360" w:lineRule="auto"/>
        <w:ind w:firstLine="480" w:firstLineChars="200"/>
        <w:rPr>
          <w:rFonts w:hint="eastAsia" w:ascii="Times New Roman" w:hAnsi="Times New Roman" w:eastAsia="仿宋_GB2312"/>
          <w:color w:val="auto"/>
        </w:rPr>
      </w:pPr>
      <w:r>
        <w:rPr>
          <w:rFonts w:hint="eastAsia" w:ascii="Times New Roman" w:hAnsi="Times New Roman" w:eastAsia="仿宋_GB2312"/>
          <w:color w:val="auto"/>
        </w:rPr>
        <w:t>施工结束后，该项目会拆除布置与E17地块东侧施工生产生活区的项目部，拆除后对该部分区域进行撒播草籽植被恢复，混合草籽采用狗牙根、假俭草、高羊茅混合而成的混合草籽，共撒播草籽0.9</w:t>
      </w:r>
      <w:r>
        <w:rPr>
          <w:rFonts w:hint="eastAsia" w:ascii="Times New Roman" w:hAnsi="Times New Roman" w:eastAsia="仿宋_GB2312"/>
          <w:color w:val="auto"/>
          <w:lang w:val="en-US" w:eastAsia="zh-CN"/>
        </w:rPr>
        <w:t>0</w:t>
      </w:r>
      <w:r>
        <w:rPr>
          <w:rFonts w:hint="eastAsia" w:ascii="Times New Roman" w:hAnsi="Times New Roman" w:eastAsia="仿宋_GB2312"/>
          <w:color w:val="auto"/>
        </w:rPr>
        <w:t>hm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w:t>
      </w:r>
    </w:p>
    <w:p>
      <w:pPr>
        <w:spacing w:line="360" w:lineRule="auto"/>
        <w:ind w:firstLine="482" w:firstLineChars="200"/>
        <w:rPr>
          <w:rFonts w:hint="eastAsia" w:ascii="Times New Roman" w:hAnsi="Times New Roman" w:eastAsia="仿宋_GB2312"/>
          <w:color w:val="auto"/>
        </w:rPr>
      </w:pPr>
      <w:r>
        <w:rPr>
          <w:rFonts w:ascii="Times New Roman" w:hAnsi="Times New Roman" w:eastAsia="仿宋_GB2312"/>
          <w:b/>
          <w:bCs/>
          <w:color w:val="auto"/>
        </w:rPr>
        <w:t>水土保持评价：</w:t>
      </w:r>
      <w:r>
        <w:rPr>
          <w:rFonts w:hint="eastAsia" w:ascii="Times New Roman" w:hAnsi="Times New Roman" w:eastAsia="仿宋_GB2312"/>
          <w:color w:val="auto"/>
        </w:rPr>
        <w:t>绿化</w:t>
      </w:r>
      <w:r>
        <w:rPr>
          <w:rFonts w:ascii="Times New Roman" w:hAnsi="Times New Roman" w:eastAsia="仿宋_GB2312"/>
          <w:color w:val="auto"/>
        </w:rPr>
        <w:t>工程中的园林绿化</w:t>
      </w:r>
      <w:r>
        <w:rPr>
          <w:rFonts w:hint="eastAsia" w:ascii="Times New Roman" w:hAnsi="Times New Roman" w:eastAsia="仿宋_GB2312"/>
          <w:color w:val="auto"/>
        </w:rPr>
        <w:t>、</w:t>
      </w:r>
      <w:r>
        <w:rPr>
          <w:rFonts w:ascii="Times New Roman" w:hAnsi="Times New Roman" w:eastAsia="仿宋_GB2312"/>
          <w:color w:val="auto"/>
        </w:rPr>
        <w:t>施工生产生活区临时绿化和</w:t>
      </w:r>
      <w:r>
        <w:rPr>
          <w:rFonts w:hint="eastAsia" w:ascii="Times New Roman" w:hAnsi="Times New Roman" w:eastAsia="仿宋_GB2312"/>
          <w:color w:val="auto"/>
        </w:rPr>
        <w:t>撒播草籽植被恢复</w:t>
      </w:r>
      <w:r>
        <w:rPr>
          <w:rFonts w:ascii="Times New Roman" w:hAnsi="Times New Roman" w:eastAsia="仿宋_GB2312"/>
          <w:color w:val="auto"/>
        </w:rPr>
        <w:t>工程不仅增加项目区的植被覆盖度，</w:t>
      </w:r>
      <w:r>
        <w:rPr>
          <w:rFonts w:hint="eastAsia" w:ascii="Times New Roman" w:hAnsi="Times New Roman" w:eastAsia="仿宋_GB2312"/>
          <w:color w:val="auto"/>
        </w:rPr>
        <w:t>恢复</w:t>
      </w:r>
      <w:r>
        <w:rPr>
          <w:rFonts w:ascii="Times New Roman" w:hAnsi="Times New Roman" w:eastAsia="仿宋_GB2312"/>
          <w:color w:val="auto"/>
        </w:rPr>
        <w:t>场地植被，同时植物根系的固土作用和草的拦挡、截留作用，都可减弱雨水对</w:t>
      </w:r>
      <w:r>
        <w:rPr>
          <w:rFonts w:hint="eastAsia" w:ascii="Times New Roman" w:hAnsi="Times New Roman" w:eastAsia="仿宋_GB2312"/>
          <w:color w:val="auto"/>
        </w:rPr>
        <w:t>裸露</w:t>
      </w:r>
      <w:r>
        <w:rPr>
          <w:rFonts w:ascii="Times New Roman" w:hAnsi="Times New Roman" w:eastAsia="仿宋_GB2312"/>
          <w:color w:val="auto"/>
        </w:rPr>
        <w:t>地面的冲刷，起到涵养水源，防止水土流失，调节项目区生态环境的作用。符合水土保持要求</w:t>
      </w:r>
      <w:r>
        <w:rPr>
          <w:rFonts w:hint="eastAsia" w:ascii="Times New Roman" w:hAnsi="Times New Roman" w:eastAsia="仿宋_GB2312"/>
          <w:color w:val="auto"/>
        </w:rPr>
        <w:t>，</w:t>
      </w:r>
      <w:r>
        <w:rPr>
          <w:rFonts w:hint="eastAsia" w:ascii="Times New Roman" w:hAnsi="Times New Roman" w:eastAsia="仿宋_GB2312" w:cs="Times New Roman"/>
          <w:color w:val="auto"/>
        </w:rPr>
        <w:t>已</w:t>
      </w:r>
      <w:r>
        <w:rPr>
          <w:rFonts w:ascii="Times New Roman" w:hAnsi="Times New Roman" w:eastAsia="仿宋_GB2312" w:cs="Times New Roman"/>
          <w:color w:val="auto"/>
        </w:rPr>
        <w:t>纳入已批复的</w:t>
      </w:r>
      <w:r>
        <w:rPr>
          <w:rFonts w:hint="eastAsia" w:ascii="Times New Roman" w:hAnsi="Times New Roman" w:eastAsia="仿宋_GB2312" w:cs="Times New Roman"/>
          <w:color w:val="auto"/>
          <w:szCs w:val="24"/>
        </w:rPr>
        <w:t>南昌电子信息（LED）产业创新示范园（二期）一组团项目水土保持方案的</w:t>
      </w:r>
      <w:r>
        <w:rPr>
          <w:rFonts w:ascii="Times New Roman" w:hAnsi="Times New Roman" w:eastAsia="仿宋_GB2312" w:cs="Times New Roman"/>
          <w:color w:val="auto"/>
        </w:rPr>
        <w:t>水土保持措施体系</w:t>
      </w:r>
      <w:r>
        <w:rPr>
          <w:rFonts w:hint="eastAsia" w:ascii="Times New Roman" w:hAnsi="Times New Roman" w:eastAsia="仿宋_GB2312" w:cs="Times New Roman"/>
          <w:color w:val="auto"/>
        </w:rPr>
        <w:t>，</w:t>
      </w:r>
      <w:r>
        <w:rPr>
          <w:rFonts w:ascii="Times New Roman" w:hAnsi="Times New Roman" w:eastAsia="仿宋_GB2312" w:cs="Times New Roman"/>
          <w:color w:val="auto"/>
        </w:rPr>
        <w:t>故不再重复计算</w:t>
      </w:r>
      <w:r>
        <w:rPr>
          <w:rFonts w:hint="eastAsia" w:ascii="Times New Roman" w:hAnsi="Times New Roman" w:eastAsia="仿宋_GB2312" w:cs="Times New Roman"/>
          <w:color w:val="auto"/>
        </w:rPr>
        <w:t>，</w:t>
      </w:r>
      <w:r>
        <w:rPr>
          <w:rFonts w:ascii="Times New Roman" w:hAnsi="Times New Roman" w:eastAsia="仿宋_GB2312" w:cs="Times New Roman"/>
          <w:color w:val="auto"/>
        </w:rPr>
        <w:t>不纳入本评估区域水土保持措施体系。</w:t>
      </w:r>
    </w:p>
    <w:p>
      <w:pPr>
        <w:spacing w:line="360" w:lineRule="auto"/>
        <w:ind w:firstLine="480" w:firstLineChars="200"/>
        <w:rPr>
          <w:rFonts w:hint="eastAsia" w:ascii="Times New Roman" w:hAnsi="Times New Roman" w:eastAsia="仿宋_GB2312"/>
          <w:color w:val="auto"/>
        </w:rPr>
      </w:pPr>
      <w:r>
        <w:rPr>
          <w:rFonts w:hint="eastAsia" w:ascii="Times New Roman" w:hAnsi="Times New Roman" w:eastAsia="仿宋_GB2312"/>
          <w:color w:val="auto"/>
        </w:rPr>
        <w:t>（4）临时防护工程</w:t>
      </w:r>
    </w:p>
    <w:p>
      <w:pPr>
        <w:spacing w:line="360" w:lineRule="auto"/>
        <w:ind w:firstLine="480" w:firstLineChars="200"/>
        <w:rPr>
          <w:rFonts w:hint="eastAsia" w:ascii="Times New Roman" w:hAnsi="Times New Roman" w:eastAsia="仿宋_GB2312"/>
          <w:color w:val="auto"/>
        </w:rPr>
      </w:pPr>
      <w:r>
        <w:rPr>
          <w:rFonts w:hint="eastAsia" w:ascii="Times New Roman" w:hAnsi="Times New Roman" w:eastAsia="仿宋_GB2312"/>
          <w:color w:val="auto"/>
        </w:rPr>
        <w:t>①洗车槽</w:t>
      </w:r>
    </w:p>
    <w:p>
      <w:pPr>
        <w:spacing w:line="360" w:lineRule="auto"/>
        <w:ind w:firstLine="480" w:firstLineChars="200"/>
        <w:rPr>
          <w:rFonts w:hint="eastAsia" w:ascii="Times New Roman" w:hAnsi="Times New Roman" w:eastAsia="仿宋_GB2312"/>
          <w:color w:val="auto"/>
        </w:rPr>
      </w:pPr>
      <w:r>
        <w:rPr>
          <w:rFonts w:hint="eastAsia" w:ascii="Times New Roman" w:hAnsi="Times New Roman" w:eastAsia="仿宋_GB2312"/>
          <w:color w:val="auto"/>
        </w:rPr>
        <w:t>在该项目施工期间，位于E17和E21地块的出入口处各设1座洗车槽，洗车槽尺寸为长5m，宽3m，深</w:t>
      </w:r>
      <w:r>
        <w:rPr>
          <w:rFonts w:ascii="Times New Roman" w:hAnsi="Times New Roman" w:eastAsia="仿宋_GB2312"/>
          <w:color w:val="auto"/>
        </w:rPr>
        <w:t>0.4m</w:t>
      </w:r>
      <w:r>
        <w:rPr>
          <w:rFonts w:hint="eastAsia" w:ascii="Times New Roman" w:hAnsi="Times New Roman" w:eastAsia="仿宋_GB2312"/>
          <w:color w:val="auto"/>
        </w:rPr>
        <w:t>，配置高压水枪，对进出车辆进行清洗。共布置2座洗车槽。</w:t>
      </w:r>
    </w:p>
    <w:p>
      <w:pPr>
        <w:spacing w:line="360" w:lineRule="auto"/>
        <w:ind w:firstLine="480" w:firstLineChars="200"/>
        <w:rPr>
          <w:rFonts w:hint="eastAsia" w:ascii="Times New Roman" w:hAnsi="Times New Roman" w:eastAsia="仿宋_GB2312"/>
          <w:color w:val="auto"/>
        </w:rPr>
      </w:pPr>
      <w:r>
        <w:rPr>
          <w:rFonts w:hint="eastAsia" w:ascii="Times New Roman" w:hAnsi="Times New Roman" w:eastAsia="仿宋_GB2312"/>
          <w:color w:val="auto"/>
        </w:rPr>
        <w:t>②临时排水沟和临时沉沙池</w:t>
      </w:r>
    </w:p>
    <w:p>
      <w:pPr>
        <w:spacing w:line="360" w:lineRule="auto"/>
        <w:ind w:firstLine="480" w:firstLineChars="200"/>
        <w:rPr>
          <w:rFonts w:hint="eastAsia" w:ascii="Times New Roman" w:hAnsi="Times New Roman" w:eastAsia="仿宋_GB2312"/>
          <w:color w:val="auto"/>
        </w:rPr>
      </w:pPr>
      <w:r>
        <w:rPr>
          <w:rFonts w:hint="eastAsia" w:ascii="Times New Roman" w:hAnsi="Times New Roman" w:eastAsia="仿宋_GB2312"/>
          <w:color w:val="auto"/>
        </w:rPr>
        <w:t>批复的水土保持方案沿该项目各地块及施工生产生活区周边设计有临时排水沟，在排水沟拐角和出水口处布置有沉沙池。排水沟收集汇水后，经沉沙池沉淀过滤后排入杨家山路现状雨水箱涵中。在E17和E21地块内的临时堆土场周边设计有临时排水沟和临时沉沙池。临时排水沟采用矩形断面砖砌沟，内侧抹砂浆，尺寸为0.3m×0.4m，且已通过批复方案的过流能力验算，能满足区域排水；临时沉沙池采用方形结构，尺寸宽1.0m，长2.0m，深1m，采用M7.5砖块砌筑。共布置临时排水沟3100m，临时沉沙池22座。</w:t>
      </w:r>
    </w:p>
    <w:p>
      <w:pPr>
        <w:spacing w:line="360" w:lineRule="auto"/>
        <w:ind w:firstLine="480" w:firstLineChars="200"/>
        <w:rPr>
          <w:rFonts w:hint="eastAsia" w:ascii="Times New Roman" w:hAnsi="Times New Roman" w:eastAsia="仿宋_GB2312"/>
          <w:color w:val="auto"/>
        </w:rPr>
      </w:pPr>
      <w:r>
        <w:rPr>
          <w:rFonts w:hint="eastAsia" w:ascii="Times New Roman" w:hAnsi="Times New Roman" w:eastAsia="仿宋_GB2312"/>
          <w:color w:val="auto"/>
        </w:rPr>
        <w:t>③装土编织袋拦挡</w:t>
      </w:r>
    </w:p>
    <w:p>
      <w:pPr>
        <w:spacing w:line="360" w:lineRule="auto"/>
        <w:ind w:firstLine="480" w:firstLineChars="200"/>
        <w:rPr>
          <w:rFonts w:hint="eastAsia" w:ascii="Times New Roman" w:hAnsi="Times New Roman" w:eastAsia="仿宋_GB2312"/>
          <w:color w:val="auto"/>
        </w:rPr>
      </w:pPr>
      <w:r>
        <w:rPr>
          <w:rFonts w:hint="eastAsia" w:ascii="Times New Roman" w:hAnsi="Times New Roman" w:eastAsia="仿宋_GB2312"/>
          <w:color w:val="auto"/>
        </w:rPr>
        <w:t>批复的水土保持方案在该项目的临时堆土场周边布置有装土编织袋拦挡，装土编织袋拦挡采用装土编织袋堆砌而成，装土编织袋拦挡断面：底宽1.5m×高1.5m×上底宽0.75m，堆砌时，编织袋应相互咬合、搭接，搭接长度不小于编织袋长度的1/3。共布置装土编织袋拦挡860m。</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④临时苫盖</w:t>
      </w:r>
    </w:p>
    <w:p>
      <w:pPr>
        <w:spacing w:line="360" w:lineRule="auto"/>
        <w:ind w:firstLine="480" w:firstLineChars="200"/>
        <w:rPr>
          <w:rFonts w:hint="eastAsia" w:ascii="Times New Roman" w:hAnsi="Times New Roman" w:eastAsia="仿宋_GB2312"/>
          <w:color w:val="auto"/>
        </w:rPr>
      </w:pPr>
      <w:r>
        <w:rPr>
          <w:rFonts w:hint="eastAsia" w:ascii="Times New Roman" w:hAnsi="Times New Roman" w:eastAsia="仿宋_GB2312"/>
          <w:color w:val="auto"/>
        </w:rPr>
        <w:t>批复的水土保持方案在该项目的裸露地表和临时堆土场处布置临时苫盖措施。共计布置临时苫盖32000m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w:t>
      </w:r>
    </w:p>
    <w:p>
      <w:pPr>
        <w:spacing w:line="360" w:lineRule="auto"/>
        <w:ind w:firstLine="482" w:firstLineChars="200"/>
        <w:rPr>
          <w:rFonts w:hint="eastAsia" w:ascii="Times New Roman" w:hAnsi="Times New Roman" w:eastAsia="仿宋_GB2312"/>
          <w:color w:val="auto"/>
        </w:rPr>
      </w:pPr>
      <w:r>
        <w:rPr>
          <w:rFonts w:ascii="Times New Roman" w:hAnsi="Times New Roman" w:eastAsia="仿宋_GB2312"/>
          <w:b/>
          <w:bCs/>
          <w:color w:val="auto"/>
        </w:rPr>
        <w:t>水土保持评价：</w:t>
      </w:r>
      <w:r>
        <w:rPr>
          <w:rFonts w:ascii="Times New Roman" w:hAnsi="Times New Roman" w:eastAsia="仿宋_GB2312"/>
          <w:bCs/>
          <w:color w:val="auto"/>
        </w:rPr>
        <w:t>临时防护工程的洗车槽</w:t>
      </w:r>
      <w:r>
        <w:rPr>
          <w:rFonts w:hint="eastAsia" w:ascii="Times New Roman" w:hAnsi="Times New Roman" w:eastAsia="仿宋_GB2312"/>
          <w:bCs/>
          <w:color w:val="auto"/>
        </w:rPr>
        <w:t>可以将车轮上的泥土在进入城市道路之前冲洗干净，一定程度上改善了城市的生态环境，有利于防止水土流失；临时排水沟和临时沉沙池能有效汇集施工期间场地内地表径流，并能沉降泥沙，具有水土保持功能；装土编织袋拦挡能起到临时堆土的拦挡效果，控制堆土范围，防止堆土外溢及流失，具有水土保持功能；临时苫盖能</w:t>
      </w:r>
      <w:r>
        <w:rPr>
          <w:rFonts w:ascii="Times New Roman" w:hAnsi="Times New Roman" w:eastAsia="仿宋_GB2312" w:cs="Times New Roman"/>
          <w:color w:val="auto"/>
          <w:szCs w:val="24"/>
        </w:rPr>
        <w:t>对裸露</w:t>
      </w:r>
      <w:r>
        <w:rPr>
          <w:rFonts w:hint="eastAsia" w:ascii="Times New Roman" w:hAnsi="Times New Roman" w:eastAsia="仿宋_GB2312" w:cs="Times New Roman"/>
          <w:color w:val="auto"/>
          <w:szCs w:val="24"/>
        </w:rPr>
        <w:t>地面</w:t>
      </w:r>
      <w:r>
        <w:rPr>
          <w:rFonts w:ascii="Times New Roman" w:hAnsi="Times New Roman" w:eastAsia="仿宋_GB2312" w:cs="Times New Roman"/>
          <w:color w:val="auto"/>
          <w:szCs w:val="24"/>
        </w:rPr>
        <w:t>及堆土进行有效覆盖</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有利于减少雨水击溅和地表径流冲刷</w:t>
      </w:r>
      <w:r>
        <w:rPr>
          <w:rFonts w:hint="eastAsia" w:ascii="Times New Roman" w:hAnsi="Times New Roman" w:eastAsia="仿宋_GB2312" w:cs="Times New Roman"/>
          <w:color w:val="auto"/>
          <w:szCs w:val="24"/>
        </w:rPr>
        <w:t>，有效的减少了水土流失的发生，满足水土保持要求</w:t>
      </w:r>
      <w:r>
        <w:rPr>
          <w:rFonts w:ascii="Times New Roman" w:hAnsi="Times New Roman" w:eastAsia="仿宋_GB2312"/>
          <w:color w:val="auto"/>
        </w:rPr>
        <w:t>。以上措施均符合水土保持要求</w:t>
      </w:r>
      <w:r>
        <w:rPr>
          <w:rFonts w:hint="eastAsia" w:ascii="Times New Roman" w:hAnsi="Times New Roman" w:eastAsia="仿宋_GB2312"/>
          <w:color w:val="auto"/>
        </w:rPr>
        <w:t>，</w:t>
      </w:r>
      <w:r>
        <w:rPr>
          <w:rFonts w:hint="eastAsia" w:ascii="Times New Roman" w:hAnsi="Times New Roman" w:eastAsia="仿宋_GB2312" w:cs="Times New Roman"/>
          <w:color w:val="auto"/>
        </w:rPr>
        <w:t>已</w:t>
      </w:r>
      <w:r>
        <w:rPr>
          <w:rFonts w:ascii="Times New Roman" w:hAnsi="Times New Roman" w:eastAsia="仿宋_GB2312" w:cs="Times New Roman"/>
          <w:color w:val="auto"/>
        </w:rPr>
        <w:t>纳入已批复的</w:t>
      </w:r>
      <w:r>
        <w:rPr>
          <w:rFonts w:hint="eastAsia" w:ascii="Times New Roman" w:hAnsi="Times New Roman" w:eastAsia="仿宋_GB2312" w:cs="Times New Roman"/>
          <w:color w:val="auto"/>
          <w:szCs w:val="24"/>
        </w:rPr>
        <w:t>南昌电子信息（LED）产业创新示范园（二期）一组团项目水土保持方案的</w:t>
      </w:r>
      <w:r>
        <w:rPr>
          <w:rFonts w:ascii="Times New Roman" w:hAnsi="Times New Roman" w:eastAsia="仿宋_GB2312" w:cs="Times New Roman"/>
          <w:color w:val="auto"/>
        </w:rPr>
        <w:t>水土保持措施体系</w:t>
      </w:r>
      <w:r>
        <w:rPr>
          <w:rFonts w:hint="eastAsia" w:ascii="Times New Roman" w:hAnsi="Times New Roman" w:eastAsia="仿宋_GB2312" w:cs="Times New Roman"/>
          <w:color w:val="auto"/>
        </w:rPr>
        <w:t>，</w:t>
      </w:r>
      <w:r>
        <w:rPr>
          <w:rFonts w:ascii="Times New Roman" w:hAnsi="Times New Roman" w:eastAsia="仿宋_GB2312" w:cs="Times New Roman"/>
          <w:color w:val="auto"/>
        </w:rPr>
        <w:t>故不再重复计算</w:t>
      </w:r>
      <w:r>
        <w:rPr>
          <w:rFonts w:hint="eastAsia" w:ascii="Times New Roman" w:hAnsi="Times New Roman" w:eastAsia="仿宋_GB2312" w:cs="Times New Roman"/>
          <w:color w:val="auto"/>
        </w:rPr>
        <w:t>，</w:t>
      </w:r>
      <w:r>
        <w:rPr>
          <w:rFonts w:ascii="Times New Roman" w:hAnsi="Times New Roman" w:eastAsia="仿宋_GB2312" w:cs="Times New Roman"/>
          <w:color w:val="auto"/>
        </w:rPr>
        <w:t>不纳入本评估区域水土保持措施体系。</w:t>
      </w:r>
    </w:p>
    <w:p>
      <w:pPr>
        <w:spacing w:line="360" w:lineRule="auto"/>
        <w:ind w:firstLine="482" w:firstLineChars="200"/>
        <w:rPr>
          <w:rFonts w:hint="eastAsia" w:ascii="Times New Roman" w:hAnsi="Times New Roman" w:eastAsia="仿宋_GB2312"/>
          <w:b/>
          <w:color w:val="auto"/>
        </w:rPr>
      </w:pPr>
      <w:r>
        <w:rPr>
          <w:rFonts w:hint="eastAsia" w:ascii="Times New Roman" w:hAnsi="Times New Roman" w:eastAsia="仿宋_GB2312"/>
          <w:b/>
          <w:color w:val="auto"/>
        </w:rPr>
        <w:t>三</w:t>
      </w:r>
      <w:r>
        <w:rPr>
          <w:rFonts w:hint="eastAsia" w:ascii="Times New Roman" w:hAnsi="Times New Roman" w:eastAsia="仿宋_GB2312"/>
          <w:b/>
          <w:color w:val="auto"/>
          <w:lang w:eastAsia="zh-CN"/>
        </w:rPr>
        <w:t>、</w:t>
      </w:r>
      <w:r>
        <w:rPr>
          <w:rFonts w:hint="eastAsia" w:ascii="Times New Roman" w:hAnsi="Times New Roman" w:eastAsia="仿宋_GB2312"/>
          <w:b/>
          <w:color w:val="auto"/>
        </w:rPr>
        <w:t>待建工程区</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待建</w:t>
      </w:r>
      <w:r>
        <w:rPr>
          <w:rFonts w:ascii="Times New Roman" w:hAnsi="Times New Roman" w:eastAsia="仿宋_GB2312"/>
          <w:color w:val="auto"/>
        </w:rPr>
        <w:t>工程区主体工程设计中具有水土保持功能措施主要有表土剥离、场地平整</w:t>
      </w:r>
      <w:r>
        <w:rPr>
          <w:rFonts w:hint="eastAsia" w:ascii="Times New Roman" w:hAnsi="Times New Roman" w:eastAsia="仿宋_GB2312"/>
          <w:color w:val="auto"/>
        </w:rPr>
        <w:t>和撒播草籽</w:t>
      </w:r>
      <w:r>
        <w:rPr>
          <w:rFonts w:ascii="Times New Roman" w:hAnsi="Times New Roman" w:eastAsia="仿宋_GB2312"/>
          <w:color w:val="auto"/>
        </w:rPr>
        <w:t>。具体布设情况如下：</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（1）土地整治工程</w:t>
      </w:r>
    </w:p>
    <w:p>
      <w:pPr>
        <w:spacing w:line="360" w:lineRule="auto"/>
        <w:ind w:firstLine="480" w:firstLineChars="200"/>
        <w:rPr>
          <w:rFonts w:ascii="Times New Roman" w:hAnsi="Times New Roman" w:eastAsia="仿宋_GB2312"/>
          <w:color w:val="auto"/>
        </w:rPr>
      </w:pPr>
      <w:r>
        <w:rPr>
          <w:rFonts w:hint="eastAsia" w:ascii="宋体" w:hAnsi="宋体" w:cs="宋体"/>
          <w:color w:val="auto"/>
        </w:rPr>
        <w:t>①</w:t>
      </w:r>
      <w:r>
        <w:rPr>
          <w:rFonts w:ascii="Times New Roman" w:hAnsi="Times New Roman" w:eastAsia="仿宋_GB2312"/>
          <w:color w:val="auto"/>
        </w:rPr>
        <w:t>表土剥离</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对</w:t>
      </w:r>
      <w:r>
        <w:rPr>
          <w:rFonts w:hint="eastAsia" w:ascii="Times New Roman" w:hAnsi="Times New Roman" w:eastAsia="仿宋_GB2312"/>
          <w:color w:val="auto"/>
        </w:rPr>
        <w:t>扰动范围内土质肥沃区域进行表土剥离，表土剥离面积为1.04hm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，剥离厚度20~30cm，剥离的表土临时堆存于表土临时堆放场进行统一保护。</w:t>
      </w:r>
      <w:r>
        <w:rPr>
          <w:rFonts w:ascii="Times New Roman" w:hAnsi="Times New Roman" w:eastAsia="仿宋_GB2312"/>
          <w:color w:val="auto"/>
        </w:rPr>
        <w:t>本区域内共计</w:t>
      </w:r>
      <w:r>
        <w:rPr>
          <w:rFonts w:hint="eastAsia" w:ascii="Times New Roman" w:hAnsi="Times New Roman" w:eastAsia="仿宋_GB2312"/>
          <w:color w:val="auto"/>
        </w:rPr>
        <w:t>表土剥离0.2</w:t>
      </w:r>
      <w:r>
        <w:rPr>
          <w:rFonts w:hint="eastAsia" w:ascii="Times New Roman" w:hAnsi="Times New Roman" w:eastAsia="仿宋_GB2312"/>
          <w:color w:val="auto"/>
          <w:lang w:val="en-US" w:eastAsia="zh-CN"/>
        </w:rPr>
        <w:t>8</w:t>
      </w:r>
      <w:r>
        <w:rPr>
          <w:rFonts w:hint="eastAsia" w:ascii="Times New Roman" w:hAnsi="Times New Roman" w:eastAsia="仿宋_GB2312"/>
          <w:color w:val="auto"/>
        </w:rPr>
        <w:t>万m</w:t>
      </w:r>
      <w:r>
        <w:rPr>
          <w:rFonts w:hint="eastAsia" w:ascii="Times New Roman" w:hAnsi="Times New Roman" w:eastAsia="仿宋_GB2312"/>
          <w:color w:val="auto"/>
          <w:vertAlign w:val="superscript"/>
        </w:rPr>
        <w:t>3</w:t>
      </w:r>
      <w:r>
        <w:rPr>
          <w:rFonts w:ascii="Times New Roman" w:hAnsi="Times New Roman" w:eastAsia="仿宋_GB2312"/>
          <w:color w:val="auto"/>
        </w:rPr>
        <w:t>。</w:t>
      </w:r>
    </w:p>
    <w:p>
      <w:pPr>
        <w:spacing w:line="360" w:lineRule="auto"/>
        <w:ind w:firstLine="482" w:firstLineChars="200"/>
        <w:rPr>
          <w:rFonts w:ascii="Times New Roman" w:hAnsi="Times New Roman" w:eastAsia="仿宋_GB2312"/>
          <w:color w:val="auto"/>
        </w:rPr>
      </w:pPr>
      <w:r>
        <w:rPr>
          <w:rFonts w:ascii="Times New Roman" w:hAnsi="Times New Roman" w:eastAsia="仿宋_GB2312"/>
          <w:b/>
          <w:bCs/>
          <w:color w:val="auto"/>
        </w:rPr>
        <w:t>水土保持评价：</w:t>
      </w:r>
      <w:r>
        <w:rPr>
          <w:rFonts w:ascii="Times New Roman" w:hAnsi="Times New Roman" w:eastAsia="仿宋_GB2312"/>
          <w:color w:val="auto"/>
        </w:rPr>
        <w:t>通过表土剥离措施，可以避免后期购买种植土，做到了综合利用，减少借方数量，同时可以避免土方运输过程中的水土流失。根据水土保持工程界定原则，表土剥离属于水土保持工程，将其纳入水土保持防治措施体系。</w:t>
      </w:r>
    </w:p>
    <w:p>
      <w:pPr>
        <w:spacing w:line="360" w:lineRule="auto"/>
        <w:ind w:firstLine="480" w:firstLineChars="200"/>
        <w:rPr>
          <w:rFonts w:ascii="Times New Roman" w:hAnsi="Times New Roman" w:eastAsia="仿宋_GB2312" w:cs="Times New Roman"/>
          <w:color w:val="auto"/>
        </w:rPr>
      </w:pPr>
      <w:r>
        <w:rPr>
          <w:rFonts w:hint="eastAsia" w:ascii="宋体" w:hAnsi="宋体" w:cs="宋体"/>
          <w:color w:val="auto"/>
        </w:rPr>
        <w:t>②</w:t>
      </w:r>
      <w:r>
        <w:rPr>
          <w:rFonts w:ascii="Times New Roman" w:hAnsi="Times New Roman" w:eastAsia="仿宋_GB2312" w:cs="Times New Roman"/>
          <w:color w:val="auto"/>
        </w:rPr>
        <w:t>场地平整</w:t>
      </w:r>
    </w:p>
    <w:p>
      <w:pPr>
        <w:widowControl/>
        <w:spacing w:line="360" w:lineRule="auto"/>
        <w:ind w:firstLine="480" w:firstLineChars="200"/>
        <w:jc w:val="left"/>
        <w:rPr>
          <w:rFonts w:ascii="Times New Roman" w:hAnsi="Times New Roman" w:eastAsia="仿宋_GB2312" w:cs="Times New Roman"/>
          <w:color w:val="auto"/>
        </w:rPr>
      </w:pPr>
      <w:r>
        <w:rPr>
          <w:rFonts w:ascii="Times New Roman" w:hAnsi="Times New Roman" w:eastAsia="仿宋_GB2312" w:cs="Times New Roman"/>
          <w:color w:val="auto"/>
          <w:kern w:val="0"/>
          <w:szCs w:val="24"/>
        </w:rPr>
        <w:t>施工结束后，</w:t>
      </w:r>
      <w:r>
        <w:rPr>
          <w:rFonts w:hint="eastAsia" w:ascii="Times New Roman" w:hAnsi="Times New Roman" w:eastAsia="仿宋_GB2312" w:cs="Times New Roman"/>
          <w:color w:val="auto"/>
          <w:kern w:val="0"/>
          <w:szCs w:val="24"/>
        </w:rPr>
        <w:t>对裸露区域</w:t>
      </w:r>
      <w:r>
        <w:rPr>
          <w:rFonts w:ascii="Times New Roman" w:hAnsi="Times New Roman" w:eastAsia="仿宋_GB2312" w:cs="Times New Roman"/>
          <w:color w:val="auto"/>
          <w:kern w:val="0"/>
          <w:szCs w:val="24"/>
        </w:rPr>
        <w:t>进行场地平整</w:t>
      </w:r>
      <w:r>
        <w:rPr>
          <w:rFonts w:ascii="Times New Roman" w:hAnsi="Times New Roman" w:eastAsia="仿宋_GB2312" w:cs="Times New Roman"/>
          <w:color w:val="auto"/>
        </w:rPr>
        <w:t>，共计平整场地面积</w:t>
      </w:r>
      <w:r>
        <w:rPr>
          <w:rFonts w:hint="eastAsia" w:ascii="Times New Roman" w:hAnsi="Times New Roman" w:eastAsia="仿宋_GB2312" w:cs="Times New Roman"/>
          <w:color w:val="auto"/>
          <w:lang w:val="en-US" w:eastAsia="zh-CN"/>
        </w:rPr>
        <w:t>18.17</w:t>
      </w:r>
      <w:r>
        <w:rPr>
          <w:rFonts w:ascii="Times New Roman" w:hAnsi="Times New Roman" w:eastAsia="仿宋_GB2312" w:cs="Times New Roman"/>
          <w:color w:val="auto"/>
        </w:rPr>
        <w:t>hm</w:t>
      </w:r>
      <w:r>
        <w:rPr>
          <w:rFonts w:ascii="Times New Roman" w:hAnsi="Times New Roman" w:eastAsia="仿宋_GB2312" w:cs="Times New Roman"/>
          <w:color w:val="auto"/>
          <w:vertAlign w:val="superscript"/>
        </w:rPr>
        <w:t>2</w:t>
      </w:r>
      <w:r>
        <w:rPr>
          <w:rFonts w:ascii="Times New Roman" w:hAnsi="Times New Roman" w:eastAsia="仿宋_GB2312" w:cs="Times New Roman"/>
          <w:color w:val="auto"/>
        </w:rPr>
        <w:t>。</w:t>
      </w:r>
    </w:p>
    <w:p>
      <w:pPr>
        <w:spacing w:line="360" w:lineRule="auto"/>
        <w:ind w:firstLine="482" w:firstLineChars="200"/>
        <w:rPr>
          <w:rFonts w:ascii="Times New Roman" w:hAnsi="Times New Roman" w:eastAsia="仿宋_GB2312" w:cs="Times New Roman"/>
          <w:color w:val="auto"/>
        </w:rPr>
      </w:pPr>
      <w:r>
        <w:rPr>
          <w:rFonts w:ascii="Times New Roman" w:hAnsi="Times New Roman" w:eastAsia="仿宋_GB2312" w:cs="Times New Roman"/>
          <w:b/>
          <w:bCs/>
          <w:color w:val="auto"/>
        </w:rPr>
        <w:t>水土保持评价：</w:t>
      </w:r>
      <w:r>
        <w:rPr>
          <w:rFonts w:ascii="Times New Roman" w:hAnsi="Times New Roman" w:eastAsia="仿宋_GB2312" w:cs="Times New Roman"/>
          <w:color w:val="auto"/>
        </w:rPr>
        <w:t>场地平整可以改善立地条件，提高植被存活率，同时可以控制地表径流，具有较好的保水保土效果，符合水土保持要求，具有水土保持功能，根据水土保持工程界定原则，场地平整属于水土保持工程，将其纳入水土保持防治措施体系。</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（3）绿化工程---撒播草籽</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根据主体设计资料，本项目园区整平之后将对裸露地表进行撒播草籽复绿。</w:t>
      </w:r>
      <w:r>
        <w:rPr>
          <w:rFonts w:ascii="Times New Roman" w:hAnsi="Times New Roman" w:eastAsia="仿宋_GB2312"/>
          <w:color w:val="auto"/>
        </w:rPr>
        <w:t>本区域内共计</w:t>
      </w:r>
      <w:r>
        <w:rPr>
          <w:rFonts w:hint="eastAsia" w:ascii="Times New Roman" w:hAnsi="Times New Roman" w:eastAsia="仿宋_GB2312"/>
          <w:color w:val="auto"/>
        </w:rPr>
        <w:t>撒播草籽</w:t>
      </w:r>
      <w:r>
        <w:rPr>
          <w:rFonts w:hint="eastAsia" w:ascii="Times New Roman" w:hAnsi="Times New Roman" w:eastAsia="仿宋_GB2312"/>
          <w:color w:val="auto"/>
          <w:lang w:val="en-US" w:eastAsia="zh-CN"/>
        </w:rPr>
        <w:t>18.17</w:t>
      </w:r>
      <w:r>
        <w:rPr>
          <w:rFonts w:hint="eastAsia" w:ascii="Times New Roman" w:hAnsi="Times New Roman" w:eastAsia="仿宋_GB2312"/>
          <w:color w:val="auto"/>
        </w:rPr>
        <w:t>hm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w:t>
      </w:r>
    </w:p>
    <w:p>
      <w:pPr>
        <w:spacing w:line="360" w:lineRule="auto"/>
        <w:ind w:firstLine="482" w:firstLineChars="200"/>
        <w:rPr>
          <w:rFonts w:ascii="Times New Roman" w:hAnsi="Times New Roman" w:eastAsia="仿宋_GB2312"/>
          <w:color w:val="auto"/>
        </w:rPr>
      </w:pPr>
      <w:r>
        <w:rPr>
          <w:rFonts w:ascii="Times New Roman" w:hAnsi="Times New Roman" w:eastAsia="仿宋_GB2312"/>
          <w:b/>
          <w:bCs/>
          <w:color w:val="auto"/>
        </w:rPr>
        <w:t>水土保持评价：</w:t>
      </w:r>
      <w:r>
        <w:rPr>
          <w:rFonts w:ascii="Times New Roman" w:hAnsi="Times New Roman" w:eastAsia="仿宋_GB2312"/>
          <w:color w:val="auto"/>
        </w:rPr>
        <w:t>主体工程设计中</w:t>
      </w:r>
      <w:r>
        <w:rPr>
          <w:rFonts w:hint="eastAsia" w:ascii="Times New Roman" w:hAnsi="Times New Roman" w:eastAsia="仿宋_GB2312"/>
          <w:color w:val="auto"/>
        </w:rPr>
        <w:t>撒播草籽植被恢复</w:t>
      </w:r>
      <w:r>
        <w:rPr>
          <w:rFonts w:ascii="Times New Roman" w:hAnsi="Times New Roman" w:eastAsia="仿宋_GB2312"/>
          <w:color w:val="auto"/>
        </w:rPr>
        <w:t>工程不仅增加项目区的植被覆盖度，</w:t>
      </w:r>
      <w:r>
        <w:rPr>
          <w:rFonts w:hint="eastAsia" w:ascii="Times New Roman" w:hAnsi="Times New Roman" w:eastAsia="仿宋_GB2312"/>
          <w:color w:val="auto"/>
        </w:rPr>
        <w:t>恢复</w:t>
      </w:r>
      <w:r>
        <w:rPr>
          <w:rFonts w:ascii="Times New Roman" w:hAnsi="Times New Roman" w:eastAsia="仿宋_GB2312"/>
          <w:color w:val="auto"/>
        </w:rPr>
        <w:t>场地植被，同时植物根系的固土作用和草的拦挡、截留作用，都可减弱雨水对</w:t>
      </w:r>
      <w:r>
        <w:rPr>
          <w:rFonts w:hint="eastAsia" w:ascii="Times New Roman" w:hAnsi="Times New Roman" w:eastAsia="仿宋_GB2312"/>
          <w:color w:val="auto"/>
        </w:rPr>
        <w:t>裸露</w:t>
      </w:r>
      <w:r>
        <w:rPr>
          <w:rFonts w:ascii="Times New Roman" w:hAnsi="Times New Roman" w:eastAsia="仿宋_GB2312"/>
          <w:color w:val="auto"/>
        </w:rPr>
        <w:t>地面的冲刷，起到涵养水源，防止水土流失，调节项目区生态环境的作用。符合水土保持要求。根据水土保持工程界定原则，将</w:t>
      </w:r>
      <w:r>
        <w:rPr>
          <w:rFonts w:hint="eastAsia" w:ascii="Times New Roman" w:hAnsi="Times New Roman" w:eastAsia="仿宋_GB2312"/>
          <w:color w:val="auto"/>
        </w:rPr>
        <w:t>撒播草籽</w:t>
      </w:r>
      <w:r>
        <w:rPr>
          <w:rFonts w:ascii="Times New Roman" w:hAnsi="Times New Roman" w:eastAsia="仿宋_GB2312"/>
          <w:color w:val="auto"/>
        </w:rPr>
        <w:t>界定为水土保持措施。</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（二）本区域需完善的水土保持措施：</w:t>
      </w:r>
    </w:p>
    <w:p>
      <w:pPr>
        <w:spacing w:line="360" w:lineRule="auto"/>
        <w:ind w:firstLine="480" w:firstLineChars="200"/>
        <w:rPr>
          <w:rFonts w:hint="eastAsia" w:ascii="Times New Roman" w:hAnsi="Times New Roman" w:eastAsia="仿宋_GB2312"/>
          <w:color w:val="auto"/>
        </w:rPr>
      </w:pPr>
      <w:r>
        <w:rPr>
          <w:rFonts w:ascii="Times New Roman" w:hAnsi="Times New Roman" w:eastAsia="仿宋_GB2312"/>
          <w:color w:val="auto"/>
        </w:rPr>
        <w:t>施工期间，</w:t>
      </w:r>
      <w:r>
        <w:rPr>
          <w:rFonts w:hint="eastAsia" w:ascii="Times New Roman" w:hAnsi="Times New Roman" w:eastAsia="仿宋_GB2312"/>
          <w:color w:val="auto"/>
        </w:rPr>
        <w:t>本</w:t>
      </w:r>
      <w:r>
        <w:rPr>
          <w:rFonts w:hint="eastAsia" w:ascii="Times New Roman" w:hAnsi="Times New Roman" w:eastAsia="仿宋_GB2312"/>
          <w:color w:val="auto"/>
          <w:lang w:val="en-US" w:eastAsia="zh-CN"/>
        </w:rPr>
        <w:t>区域评估报告</w:t>
      </w:r>
      <w:r>
        <w:rPr>
          <w:rFonts w:hint="eastAsia" w:ascii="Times New Roman" w:hAnsi="Times New Roman" w:eastAsia="仿宋_GB2312"/>
          <w:color w:val="auto"/>
        </w:rPr>
        <w:t>补充</w:t>
      </w:r>
      <w:r>
        <w:rPr>
          <w:rFonts w:ascii="Times New Roman" w:hAnsi="Times New Roman" w:eastAsia="仿宋_GB2312"/>
          <w:color w:val="auto"/>
        </w:rPr>
        <w:t>在场地周边直接开挖土质排水沟组织场地雨水走</w:t>
      </w:r>
      <w:r>
        <w:rPr>
          <w:rFonts w:hint="eastAsia" w:ascii="Times New Roman" w:hAnsi="Times New Roman" w:eastAsia="仿宋_GB2312"/>
          <w:color w:val="auto"/>
        </w:rPr>
        <w:t>向，并沿排水沟布设沉沙池，雨水经沉沙后排水周边沟渠或水系。场地整平后，对未及时绿化的区域进行临时苫盖防护，以减少水土流失。</w:t>
      </w:r>
    </w:p>
    <w:p>
      <w:pPr>
        <w:keepNext/>
        <w:keepLines/>
        <w:spacing w:line="360" w:lineRule="auto"/>
        <w:outlineLvl w:val="3"/>
        <w:rPr>
          <w:rFonts w:ascii="Times New Roman" w:hAnsi="Times New Roman" w:eastAsia="仿宋_GB2312" w:cs="Times New Roman"/>
          <w:b/>
          <w:bCs/>
          <w:color w:val="auto"/>
          <w:sz w:val="28"/>
          <w:szCs w:val="24"/>
        </w:rPr>
      </w:pPr>
      <w:r>
        <w:rPr>
          <w:rFonts w:ascii="Times New Roman" w:hAnsi="Times New Roman" w:eastAsia="仿宋_GB2312" w:cs="Times New Roman"/>
          <w:b/>
          <w:bCs/>
          <w:color w:val="auto"/>
          <w:sz w:val="28"/>
          <w:szCs w:val="24"/>
        </w:rPr>
        <w:t>3.2.7.</w:t>
      </w:r>
      <w:r>
        <w:rPr>
          <w:rFonts w:hint="eastAsia" w:ascii="Times New Roman" w:hAnsi="Times New Roman" w:eastAsia="仿宋_GB2312" w:cs="Times New Roman"/>
          <w:b/>
          <w:bCs/>
          <w:color w:val="auto"/>
          <w:sz w:val="28"/>
          <w:szCs w:val="24"/>
        </w:rPr>
        <w:t>3</w:t>
      </w:r>
      <w:r>
        <w:rPr>
          <w:rFonts w:ascii="Times New Roman" w:hAnsi="Times New Roman" w:eastAsia="仿宋_GB2312" w:cs="Times New Roman"/>
          <w:b/>
          <w:bCs/>
          <w:color w:val="auto"/>
          <w:sz w:val="28"/>
          <w:szCs w:val="24"/>
        </w:rPr>
        <w:t xml:space="preserve"> 施工临时设施区</w:t>
      </w:r>
    </w:p>
    <w:p>
      <w:pPr>
        <w:spacing w:line="360" w:lineRule="auto"/>
        <w:ind w:firstLine="482" w:firstLineChars="200"/>
        <w:rPr>
          <w:rFonts w:ascii="Times New Roman" w:hAnsi="Times New Roman" w:eastAsia="仿宋_GB2312"/>
          <w:b/>
          <w:color w:val="auto"/>
        </w:rPr>
      </w:pPr>
      <w:r>
        <w:rPr>
          <w:rFonts w:hint="eastAsia" w:ascii="Times New Roman" w:hAnsi="Times New Roman" w:eastAsia="仿宋_GB2312"/>
          <w:b/>
          <w:color w:val="auto"/>
        </w:rPr>
        <w:t>一、临时堆土场区</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评估区域主体设计未对表土临时堆场和晾干淤泥堆场设计相应的防护措施，表土临时堆场位于E22地块内，主要是临时堆存规划区域内剥离出的报表土土方，用于后期规划区域内绿化区域覆土回填；晾干淤泥堆场位于E20地块内，主要是临时堆存及中转区域内水塘内晾干的淤泥，用于后期绿地区抬高地势。本</w:t>
      </w:r>
      <w:r>
        <w:rPr>
          <w:rFonts w:hint="eastAsia" w:ascii="Times New Roman" w:hAnsi="Times New Roman" w:eastAsia="仿宋_GB2312"/>
          <w:color w:val="auto"/>
          <w:lang w:val="en-US" w:eastAsia="zh-CN"/>
        </w:rPr>
        <w:t>区域评估报告</w:t>
      </w:r>
      <w:r>
        <w:rPr>
          <w:rFonts w:hint="eastAsia" w:ascii="Times New Roman" w:hAnsi="Times New Roman" w:eastAsia="仿宋_GB2312"/>
          <w:color w:val="auto"/>
        </w:rPr>
        <w:t>将补充完善表土土方和晾干淤泥堆放期间的临时防护措施，主要为临时拦挡和排水覆盖及临时绿化等。</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土方堆放前，先于堆场周边布设编织袋拦挡，并沿堆土场周边组织布设临时排水措施，收集堆场范围内雨水，在排水出口处设置临时沉沙池以沉降泥沙。土方堆放后，由于表土堆放时间较长，于其土堆面进行撒播草籽防护，并对其进行苫盖，形成完善的水土流失防治措施体系。</w:t>
      </w:r>
    </w:p>
    <w:p>
      <w:pPr>
        <w:spacing w:line="360" w:lineRule="auto"/>
        <w:ind w:firstLine="482" w:firstLineChars="200"/>
        <w:rPr>
          <w:rFonts w:ascii="Times New Roman" w:hAnsi="Times New Roman" w:eastAsia="仿宋_GB2312"/>
          <w:b/>
          <w:color w:val="auto"/>
        </w:rPr>
      </w:pPr>
      <w:r>
        <w:rPr>
          <w:rFonts w:hint="eastAsia" w:ascii="Times New Roman" w:hAnsi="Times New Roman" w:eastAsia="仿宋_GB2312"/>
          <w:b/>
          <w:color w:val="auto"/>
        </w:rPr>
        <w:t>二、苗木移栽区</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评估区域主体设计未对其设计相应的防护措施，本</w:t>
      </w:r>
      <w:r>
        <w:rPr>
          <w:rFonts w:hint="eastAsia" w:ascii="Times New Roman" w:hAnsi="Times New Roman" w:eastAsia="仿宋_GB2312"/>
          <w:color w:val="auto"/>
          <w:lang w:val="en-US" w:eastAsia="zh-CN"/>
        </w:rPr>
        <w:t>区域评估报告</w:t>
      </w:r>
      <w:r>
        <w:rPr>
          <w:rFonts w:hint="eastAsia" w:ascii="Times New Roman" w:hAnsi="Times New Roman" w:eastAsia="仿宋_GB2312"/>
          <w:color w:val="auto"/>
        </w:rPr>
        <w:t>将补充完善树木移栽期间的临时防护措施，主要为临时排水。</w:t>
      </w:r>
    </w:p>
    <w:p>
      <w:pPr>
        <w:spacing w:line="360" w:lineRule="auto"/>
        <w:ind w:firstLine="480" w:firstLineChars="200"/>
        <w:rPr>
          <w:rFonts w:ascii="Times New Roman" w:hAnsi="Times New Roman" w:eastAsia="仿宋_GB2312" w:cs="Times New Roman"/>
          <w:color w:val="auto"/>
        </w:rPr>
      </w:pPr>
      <w:r>
        <w:rPr>
          <w:rFonts w:hint="eastAsia" w:ascii="Times New Roman" w:hAnsi="Times New Roman" w:eastAsia="仿宋_GB2312"/>
          <w:color w:val="auto"/>
        </w:rPr>
        <w:t>由于苗木移栽期间，将产生裸露地表，影像其内部的排水走向，</w:t>
      </w:r>
      <w:r>
        <w:rPr>
          <w:rFonts w:hint="eastAsia" w:ascii="Times New Roman" w:hAnsi="Times New Roman" w:eastAsia="仿宋_GB2312"/>
          <w:color w:val="auto"/>
          <w:lang w:val="en-US" w:eastAsia="zh-CN"/>
        </w:rPr>
        <w:t>区域评估报告</w:t>
      </w:r>
      <w:r>
        <w:rPr>
          <w:rFonts w:hint="eastAsia" w:ascii="Times New Roman" w:hAnsi="Times New Roman" w:eastAsia="仿宋_GB2312"/>
          <w:color w:val="auto"/>
        </w:rPr>
        <w:t>依据地势，于场地内组组织开挖土质临时排水沉沙措施，疏导内部雨水，经沉沙后排入周边水系。</w:t>
      </w:r>
    </w:p>
    <w:p>
      <w:pPr>
        <w:pStyle w:val="5"/>
        <w:rPr>
          <w:rFonts w:eastAsia="仿宋_GB2312"/>
          <w:color w:val="auto"/>
        </w:rPr>
      </w:pPr>
      <w:bookmarkStart w:id="269" w:name="_Toc7877"/>
      <w:r>
        <w:rPr>
          <w:rFonts w:eastAsia="仿宋_GB2312"/>
          <w:color w:val="auto"/>
        </w:rPr>
        <w:t>3.3</w:t>
      </w:r>
      <w:bookmarkEnd w:id="268"/>
      <w:r>
        <w:rPr>
          <w:rFonts w:eastAsia="仿宋_GB2312"/>
          <w:color w:val="auto"/>
        </w:rPr>
        <w:t>主体工程设计中水土保持措施界定</w:t>
      </w:r>
      <w:bookmarkEnd w:id="269"/>
    </w:p>
    <w:p>
      <w:pPr>
        <w:pStyle w:val="6"/>
        <w:rPr>
          <w:rFonts w:eastAsia="仿宋_GB2312"/>
          <w:color w:val="auto"/>
        </w:rPr>
      </w:pPr>
      <w:bookmarkStart w:id="270" w:name="_Toc16666"/>
      <w:bookmarkStart w:id="271" w:name="_Toc514432606"/>
      <w:bookmarkStart w:id="272" w:name="_Toc514431462"/>
      <w:bookmarkStart w:id="273" w:name="_Toc514430852"/>
      <w:r>
        <w:rPr>
          <w:rFonts w:hint="eastAsia" w:eastAsia="仿宋_GB2312"/>
          <w:color w:val="auto"/>
        </w:rPr>
        <w:t>3.3.1</w:t>
      </w:r>
      <w:r>
        <w:rPr>
          <w:rFonts w:eastAsia="仿宋_GB2312"/>
          <w:color w:val="auto"/>
        </w:rPr>
        <w:t>界定原则</w:t>
      </w:r>
    </w:p>
    <w:p>
      <w:pPr>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rPr>
        <w:t>（1）应将主体工程设计中以水土保持功能为主的工程界定为水土保持措施。</w:t>
      </w:r>
    </w:p>
    <w:p>
      <w:pPr>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rPr>
        <w:t>（2）难以区分是否以水土保持功能为主的工程，可按破坏性试验的原则进行界定；即假定没有这些工程，主体设计功能仍然可以发挥作用，但会产生较大的水土流失，此类工程应界定为水土保持措施。</w:t>
      </w:r>
    </w:p>
    <w:p>
      <w:pPr>
        <w:pStyle w:val="6"/>
        <w:rPr>
          <w:rFonts w:eastAsia="仿宋_GB2312"/>
          <w:color w:val="auto"/>
        </w:rPr>
      </w:pPr>
      <w:r>
        <w:rPr>
          <w:rFonts w:hint="eastAsia" w:eastAsia="仿宋_GB2312"/>
          <w:color w:val="auto"/>
        </w:rPr>
        <w:t>3.3.2</w:t>
      </w:r>
      <w:r>
        <w:rPr>
          <w:rFonts w:eastAsia="仿宋_GB2312"/>
          <w:color w:val="auto"/>
        </w:rPr>
        <w:t>水土保持工程界定结论</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主体工程设计了土地整治工程、排水工程、绿化工程</w:t>
      </w:r>
      <w:r>
        <w:rPr>
          <w:rFonts w:hint="eastAsia" w:ascii="Times New Roman" w:hAnsi="Times New Roman" w:eastAsia="仿宋_GB2312" w:cs="Times New Roman"/>
          <w:color w:val="auto"/>
          <w:szCs w:val="24"/>
        </w:rPr>
        <w:t>和透水铺装工程</w:t>
      </w:r>
      <w:r>
        <w:rPr>
          <w:rFonts w:ascii="Times New Roman" w:hAnsi="Times New Roman" w:eastAsia="仿宋_GB2312" w:cs="Times New Roman"/>
          <w:color w:val="auto"/>
          <w:szCs w:val="24"/>
        </w:rPr>
        <w:t>等水保工程。其中土地整治工程包括表土剥离、表土回填、场地平整；排水工程包括雨水管、雨水口、雨水井</w:t>
      </w:r>
      <w:r>
        <w:rPr>
          <w:rFonts w:hint="eastAsia" w:ascii="Times New Roman" w:hAnsi="Times New Roman" w:eastAsia="仿宋_GB2312" w:cs="Times New Roman"/>
          <w:color w:val="auto"/>
          <w:szCs w:val="24"/>
          <w:lang w:eastAsia="zh-CN"/>
        </w:rPr>
        <w:t>、雨水箱涵</w:t>
      </w:r>
      <w:r>
        <w:rPr>
          <w:rFonts w:ascii="Times New Roman" w:hAnsi="Times New Roman" w:eastAsia="仿宋_GB2312" w:cs="Times New Roman"/>
          <w:color w:val="auto"/>
          <w:szCs w:val="24"/>
        </w:rPr>
        <w:t>；绿化工程为撒播草籽</w:t>
      </w:r>
      <w:r>
        <w:rPr>
          <w:rFonts w:hint="eastAsia" w:ascii="Times New Roman" w:hAnsi="Times New Roman" w:eastAsia="仿宋_GB2312" w:cs="Times New Roman"/>
          <w:color w:val="auto"/>
          <w:szCs w:val="24"/>
        </w:rPr>
        <w:t>、厂区绿化和景观绿化</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透水铺装</w:t>
      </w:r>
      <w:r>
        <w:rPr>
          <w:rFonts w:ascii="Times New Roman" w:hAnsi="Times New Roman" w:eastAsia="仿宋_GB2312" w:cs="Times New Roman"/>
          <w:color w:val="auto"/>
          <w:szCs w:val="24"/>
        </w:rPr>
        <w:t>工程为</w:t>
      </w:r>
      <w:r>
        <w:rPr>
          <w:rFonts w:hint="eastAsia" w:ascii="Times New Roman" w:hAnsi="Times New Roman" w:eastAsia="仿宋_GB2312" w:cs="Times New Roman"/>
          <w:color w:val="auto"/>
          <w:szCs w:val="24"/>
        </w:rPr>
        <w:t>透水铺装</w:t>
      </w:r>
      <w:r>
        <w:rPr>
          <w:rFonts w:ascii="Times New Roman" w:hAnsi="Times New Roman" w:eastAsia="仿宋_GB2312" w:cs="Times New Roman"/>
          <w:color w:val="auto"/>
          <w:szCs w:val="24"/>
        </w:rPr>
        <w:t>等。</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按照水土保持工程的界定原则，本项目的水土保持工程界定结论详见表3</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3-1，主体工程设计中已具有水土保持功能措施工程量详见表3</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3-2。</w:t>
      </w:r>
    </w:p>
    <w:p>
      <w:pPr>
        <w:snapToGrid w:val="0"/>
        <w:spacing w:line="360" w:lineRule="auto"/>
        <w:jc w:val="center"/>
        <w:rPr>
          <w:rFonts w:ascii="Times New Roman" w:hAnsi="Times New Roman" w:eastAsia="仿宋" w:cs="Times New Roman"/>
          <w:color w:val="auto"/>
          <w:sz w:val="28"/>
          <w:szCs w:val="28"/>
        </w:rPr>
      </w:pPr>
      <w:r>
        <w:rPr>
          <w:rFonts w:hint="default" w:ascii="Times New Roman" w:hAnsi="Times New Roman" w:eastAsia="仿宋_GB2312" w:cs="Times New Roman"/>
          <w:b/>
          <w:color w:val="auto"/>
          <w:szCs w:val="24"/>
        </w:rPr>
        <w:t>表3.3-1：水土保持工程界定表</w:t>
      </w:r>
    </w:p>
    <w:bookmarkEnd w:id="270"/>
    <w:tbl>
      <w:tblPr>
        <w:tblStyle w:val="37"/>
        <w:tblW w:w="576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81"/>
        <w:gridCol w:w="1412"/>
        <w:gridCol w:w="1609"/>
        <w:gridCol w:w="4266"/>
        <w:gridCol w:w="176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5" w:type="pct"/>
            <w:gridSpan w:val="2"/>
            <w:tcBorders>
              <w:tl2br w:val="nil"/>
              <w:tr2bl w:val="nil"/>
            </w:tcBorders>
            <w:vAlign w:val="center"/>
          </w:tcPr>
          <w:p>
            <w:pPr>
              <w:jc w:val="center"/>
              <w:rPr>
                <w:rFonts w:ascii="Times New Roman" w:hAnsi="Times New Roman" w:eastAsia="仿宋_GB2312" w:cs="Times New Roman"/>
                <w:b/>
                <w:bCs/>
                <w:color w:val="auto"/>
                <w:sz w:val="21"/>
                <w:szCs w:val="21"/>
              </w:rPr>
            </w:pPr>
            <w:bookmarkStart w:id="274" w:name="_Toc17414"/>
            <w:r>
              <w:rPr>
                <w:rFonts w:ascii="Times New Roman" w:hAnsi="Times New Roman" w:eastAsia="仿宋_GB2312" w:cs="Times New Roman"/>
                <w:b/>
                <w:bCs/>
                <w:color w:val="auto"/>
                <w:sz w:val="21"/>
                <w:szCs w:val="21"/>
              </w:rPr>
              <w:t>工程分区</w:t>
            </w:r>
          </w:p>
        </w:tc>
        <w:tc>
          <w:tcPr>
            <w:tcW w:w="818" w:type="pct"/>
            <w:tcBorders>
              <w:tl2br w:val="nil"/>
              <w:tr2bl w:val="nil"/>
            </w:tcBorders>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措施类型</w:t>
            </w:r>
          </w:p>
        </w:tc>
        <w:tc>
          <w:tcPr>
            <w:tcW w:w="2169" w:type="pct"/>
            <w:tcBorders>
              <w:tl2br w:val="nil"/>
              <w:tr2bl w:val="nil"/>
            </w:tcBorders>
            <w:vAlign w:val="center"/>
          </w:tcPr>
          <w:p>
            <w:pPr>
              <w:jc w:val="center"/>
              <w:rPr>
                <w:rFonts w:ascii="Times New Roman" w:hAnsi="Times New Roman" w:eastAsia="仿宋_GB2312" w:cs="Times New Roman"/>
                <w:b/>
                <w:bCs/>
                <w:color w:val="auto"/>
                <w:sz w:val="21"/>
                <w:szCs w:val="21"/>
              </w:rPr>
            </w:pPr>
            <w:r>
              <w:rPr>
                <w:rFonts w:hint="eastAsia" w:ascii="Times New Roman" w:hAnsi="Times New Roman" w:eastAsia="仿宋_GB2312" w:cs="Times New Roman"/>
                <w:b/>
                <w:bCs/>
                <w:color w:val="auto"/>
                <w:sz w:val="21"/>
                <w:szCs w:val="21"/>
              </w:rPr>
              <w:t>水土保持</w:t>
            </w:r>
            <w:r>
              <w:rPr>
                <w:rFonts w:ascii="Times New Roman" w:hAnsi="Times New Roman" w:eastAsia="仿宋_GB2312" w:cs="Times New Roman"/>
                <w:b/>
                <w:bCs/>
                <w:color w:val="auto"/>
                <w:sz w:val="21"/>
                <w:szCs w:val="21"/>
              </w:rPr>
              <w:t>措施</w:t>
            </w:r>
          </w:p>
        </w:tc>
        <w:tc>
          <w:tcPr>
            <w:tcW w:w="896" w:type="pct"/>
            <w:tcBorders>
              <w:tl2br w:val="nil"/>
              <w:tr2bl w:val="nil"/>
            </w:tcBorders>
            <w:vAlign w:val="center"/>
          </w:tcPr>
          <w:p>
            <w:pPr>
              <w:jc w:val="center"/>
              <w:rPr>
                <w:rFonts w:ascii="Times New Roman" w:hAnsi="Times New Roman" w:eastAsia="仿宋_GB2312" w:cs="Times New Roman"/>
                <w:b/>
                <w:bCs/>
                <w:color w:val="auto"/>
                <w:sz w:val="21"/>
                <w:szCs w:val="21"/>
              </w:rPr>
            </w:pPr>
            <w:r>
              <w:rPr>
                <w:rFonts w:hint="eastAsia" w:ascii="Times New Roman" w:hAnsi="Times New Roman" w:eastAsia="仿宋_GB2312" w:cs="Times New Roman"/>
                <w:b/>
                <w:bCs/>
                <w:color w:val="auto"/>
                <w:sz w:val="21"/>
                <w:szCs w:val="21"/>
              </w:rPr>
              <w:t>非水土保持</w:t>
            </w:r>
            <w:r>
              <w:rPr>
                <w:rFonts w:ascii="Times New Roman" w:hAnsi="Times New Roman" w:eastAsia="仿宋_GB2312" w:cs="Times New Roman"/>
                <w:b/>
                <w:bCs/>
                <w:color w:val="auto"/>
                <w:sz w:val="21"/>
                <w:szCs w:val="21"/>
              </w:rPr>
              <w:t>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97" w:type="pct"/>
            <w:vMerge w:val="restart"/>
            <w:tcBorders>
              <w:tl2br w:val="nil"/>
              <w:tr2bl w:val="nil"/>
            </w:tcBorders>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公共基础设施区</w:t>
            </w:r>
          </w:p>
        </w:tc>
        <w:tc>
          <w:tcPr>
            <w:tcW w:w="718" w:type="pct"/>
            <w:vMerge w:val="restart"/>
            <w:tcBorders>
              <w:tl2br w:val="nil"/>
              <w:tr2bl w:val="nil"/>
            </w:tcBorders>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道路与交通设施用地区</w:t>
            </w:r>
          </w:p>
        </w:tc>
        <w:tc>
          <w:tcPr>
            <w:tcW w:w="818" w:type="pct"/>
            <w:tcBorders>
              <w:tl2br w:val="nil"/>
              <w:tr2bl w:val="nil"/>
            </w:tcBorders>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工程措施</w:t>
            </w:r>
          </w:p>
        </w:tc>
        <w:tc>
          <w:tcPr>
            <w:tcW w:w="2169" w:type="pct"/>
            <w:tcBorders>
              <w:tl2br w:val="nil"/>
              <w:tr2bl w:val="nil"/>
            </w:tcBorders>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表土剥离</w:t>
            </w:r>
            <w:r>
              <w:rPr>
                <w:rFonts w:hint="eastAsia" w:ascii="Times New Roman" w:hAnsi="Times New Roman" w:eastAsia="仿宋_GB2312" w:cs="Times New Roman"/>
                <w:color w:val="auto"/>
                <w:sz w:val="21"/>
                <w:szCs w:val="21"/>
              </w:rPr>
              <w:t>、表土回填、</w:t>
            </w:r>
            <w:r>
              <w:rPr>
                <w:rFonts w:ascii="Times New Roman" w:hAnsi="Times New Roman" w:eastAsia="仿宋_GB2312" w:cs="Times New Roman"/>
                <w:color w:val="auto"/>
                <w:kern w:val="0"/>
                <w:sz w:val="21"/>
                <w:szCs w:val="21"/>
              </w:rPr>
              <w:t>雨水管、雨水口、雨水井、</w:t>
            </w:r>
            <w:r>
              <w:rPr>
                <w:rFonts w:hint="eastAsia" w:ascii="Times New Roman" w:hAnsi="Times New Roman" w:eastAsia="仿宋_GB2312" w:cs="Times New Roman"/>
                <w:color w:val="auto"/>
                <w:kern w:val="0"/>
                <w:sz w:val="21"/>
                <w:szCs w:val="21"/>
              </w:rPr>
              <w:t>雨水箱涵</w:t>
            </w:r>
            <w:r>
              <w:rPr>
                <w:rFonts w:hint="eastAsia" w:ascii="Times New Roman" w:hAnsi="Times New Roman" w:eastAsia="仿宋_GB2312" w:cs="Times New Roman"/>
                <w:color w:val="auto"/>
                <w:kern w:val="0"/>
                <w:sz w:val="21"/>
                <w:szCs w:val="21"/>
                <w:lang w:eastAsia="zh-CN"/>
              </w:rPr>
              <w:t>、</w:t>
            </w:r>
            <w:r>
              <w:rPr>
                <w:rFonts w:ascii="Times New Roman" w:hAnsi="Times New Roman" w:eastAsia="仿宋_GB2312" w:cs="Times New Roman"/>
                <w:color w:val="auto"/>
                <w:kern w:val="0"/>
                <w:sz w:val="21"/>
                <w:szCs w:val="21"/>
              </w:rPr>
              <w:t>透水铺装</w:t>
            </w:r>
          </w:p>
        </w:tc>
        <w:tc>
          <w:tcPr>
            <w:tcW w:w="896" w:type="pct"/>
            <w:tcBorders>
              <w:tl2br w:val="nil"/>
              <w:tr2bl w:val="nil"/>
            </w:tcBorders>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地面</w:t>
            </w:r>
            <w:r>
              <w:rPr>
                <w:rFonts w:ascii="Times New Roman" w:hAnsi="Times New Roman" w:eastAsia="仿宋_GB2312" w:cs="Times New Roman"/>
                <w:color w:val="auto"/>
                <w:sz w:val="21"/>
                <w:szCs w:val="21"/>
              </w:rPr>
              <w:t>硬化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97" w:type="pct"/>
            <w:vMerge w:val="continue"/>
            <w:tcBorders>
              <w:tl2br w:val="nil"/>
              <w:tr2bl w:val="nil"/>
            </w:tcBorders>
            <w:vAlign w:val="center"/>
          </w:tcPr>
          <w:p>
            <w:pPr>
              <w:widowControl/>
              <w:jc w:val="center"/>
              <w:textAlignment w:val="center"/>
              <w:rPr>
                <w:rFonts w:ascii="Times New Roman" w:hAnsi="Times New Roman" w:eastAsia="仿宋_GB2312" w:cs="Times New Roman"/>
                <w:color w:val="auto"/>
                <w:kern w:val="0"/>
                <w:sz w:val="21"/>
                <w:szCs w:val="21"/>
              </w:rPr>
            </w:pPr>
          </w:p>
        </w:tc>
        <w:tc>
          <w:tcPr>
            <w:tcW w:w="718" w:type="pct"/>
            <w:vMerge w:val="continue"/>
            <w:tcBorders>
              <w:tl2br w:val="nil"/>
              <w:tr2bl w:val="nil"/>
            </w:tcBorders>
            <w:vAlign w:val="center"/>
          </w:tcPr>
          <w:p>
            <w:pPr>
              <w:widowControl/>
              <w:jc w:val="center"/>
              <w:textAlignment w:val="center"/>
              <w:rPr>
                <w:rFonts w:ascii="Times New Roman" w:hAnsi="Times New Roman" w:eastAsia="仿宋_GB2312" w:cs="Times New Roman"/>
                <w:color w:val="auto"/>
                <w:kern w:val="0"/>
                <w:sz w:val="21"/>
                <w:szCs w:val="21"/>
              </w:rPr>
            </w:pPr>
          </w:p>
        </w:tc>
        <w:tc>
          <w:tcPr>
            <w:tcW w:w="818" w:type="pct"/>
            <w:tcBorders>
              <w:tl2br w:val="nil"/>
              <w:tr2bl w:val="nil"/>
            </w:tcBorders>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植物措施</w:t>
            </w:r>
          </w:p>
        </w:tc>
        <w:tc>
          <w:tcPr>
            <w:tcW w:w="2169" w:type="pct"/>
            <w:tcBorders>
              <w:tl2br w:val="nil"/>
              <w:tr2bl w:val="nil"/>
            </w:tcBorders>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道路绿化</w:t>
            </w:r>
          </w:p>
        </w:tc>
        <w:tc>
          <w:tcPr>
            <w:tcW w:w="896" w:type="pct"/>
            <w:tcBorders>
              <w:tl2br w:val="nil"/>
              <w:tr2bl w:val="nil"/>
            </w:tcBorders>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97" w:type="pct"/>
            <w:vMerge w:val="continue"/>
            <w:tcBorders>
              <w:tl2br w:val="nil"/>
              <w:tr2bl w:val="nil"/>
            </w:tcBorders>
            <w:vAlign w:val="center"/>
          </w:tcPr>
          <w:p>
            <w:pPr>
              <w:widowControl/>
              <w:jc w:val="center"/>
              <w:textAlignment w:val="center"/>
              <w:rPr>
                <w:rFonts w:ascii="Times New Roman" w:hAnsi="Times New Roman" w:eastAsia="仿宋_GB2312" w:cs="Times New Roman"/>
                <w:color w:val="auto"/>
                <w:kern w:val="0"/>
                <w:sz w:val="21"/>
                <w:szCs w:val="21"/>
              </w:rPr>
            </w:pPr>
          </w:p>
        </w:tc>
        <w:tc>
          <w:tcPr>
            <w:tcW w:w="718" w:type="pct"/>
            <w:vMerge w:val="restart"/>
            <w:tcBorders>
              <w:tl2br w:val="nil"/>
              <w:tr2bl w:val="nil"/>
            </w:tcBorders>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公用设施用地区</w:t>
            </w:r>
          </w:p>
        </w:tc>
        <w:tc>
          <w:tcPr>
            <w:tcW w:w="818" w:type="pct"/>
            <w:tcBorders>
              <w:tl2br w:val="nil"/>
              <w:tr2bl w:val="nil"/>
            </w:tcBorders>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工程措施</w:t>
            </w:r>
          </w:p>
        </w:tc>
        <w:tc>
          <w:tcPr>
            <w:tcW w:w="2169" w:type="pct"/>
            <w:tcBorders>
              <w:tl2br w:val="nil"/>
              <w:tr2bl w:val="nil"/>
            </w:tcBorders>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表土剥离、场地平整、</w:t>
            </w:r>
          </w:p>
        </w:tc>
        <w:tc>
          <w:tcPr>
            <w:tcW w:w="896" w:type="pct"/>
            <w:tcBorders>
              <w:tl2br w:val="nil"/>
              <w:tr2bl w:val="nil"/>
            </w:tcBorders>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地面</w:t>
            </w:r>
            <w:r>
              <w:rPr>
                <w:rFonts w:ascii="Times New Roman" w:hAnsi="Times New Roman" w:eastAsia="仿宋_GB2312" w:cs="Times New Roman"/>
                <w:color w:val="auto"/>
                <w:sz w:val="21"/>
                <w:szCs w:val="21"/>
              </w:rPr>
              <w:t>硬化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Merge w:val="continue"/>
            <w:tcBorders>
              <w:tl2br w:val="nil"/>
              <w:tr2bl w:val="nil"/>
            </w:tcBorders>
            <w:vAlign w:val="center"/>
          </w:tcPr>
          <w:p>
            <w:pPr>
              <w:widowControl/>
              <w:jc w:val="center"/>
              <w:textAlignment w:val="center"/>
              <w:rPr>
                <w:rFonts w:ascii="Times New Roman" w:hAnsi="Times New Roman" w:eastAsia="仿宋_GB2312" w:cs="Times New Roman"/>
                <w:color w:val="auto"/>
                <w:kern w:val="0"/>
                <w:sz w:val="21"/>
                <w:szCs w:val="21"/>
              </w:rPr>
            </w:pPr>
          </w:p>
        </w:tc>
        <w:tc>
          <w:tcPr>
            <w:tcW w:w="718" w:type="pct"/>
            <w:vMerge w:val="continue"/>
            <w:tcBorders>
              <w:tl2br w:val="nil"/>
              <w:tr2bl w:val="nil"/>
            </w:tcBorders>
            <w:vAlign w:val="center"/>
          </w:tcPr>
          <w:p>
            <w:pPr>
              <w:widowControl/>
              <w:jc w:val="center"/>
              <w:textAlignment w:val="center"/>
              <w:rPr>
                <w:rFonts w:ascii="Times New Roman" w:hAnsi="Times New Roman" w:eastAsia="仿宋_GB2312" w:cs="Times New Roman"/>
                <w:color w:val="auto"/>
                <w:kern w:val="0"/>
                <w:sz w:val="21"/>
                <w:szCs w:val="21"/>
              </w:rPr>
            </w:pPr>
          </w:p>
        </w:tc>
        <w:tc>
          <w:tcPr>
            <w:tcW w:w="818" w:type="pct"/>
            <w:tcBorders>
              <w:tl2br w:val="nil"/>
              <w:tr2bl w:val="nil"/>
            </w:tcBorders>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植物措施</w:t>
            </w:r>
          </w:p>
        </w:tc>
        <w:tc>
          <w:tcPr>
            <w:tcW w:w="2169" w:type="pct"/>
            <w:tcBorders>
              <w:tl2br w:val="nil"/>
              <w:tr2bl w:val="nil"/>
            </w:tcBorders>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撒播草籽</w:t>
            </w:r>
          </w:p>
        </w:tc>
        <w:tc>
          <w:tcPr>
            <w:tcW w:w="896" w:type="pct"/>
            <w:tcBorders>
              <w:tl2br w:val="nil"/>
              <w:tr2bl w:val="nil"/>
            </w:tcBorders>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Merge w:val="continue"/>
            <w:tcBorders>
              <w:tl2br w:val="nil"/>
              <w:tr2bl w:val="nil"/>
            </w:tcBorders>
            <w:vAlign w:val="center"/>
          </w:tcPr>
          <w:p>
            <w:pPr>
              <w:widowControl/>
              <w:jc w:val="center"/>
              <w:textAlignment w:val="center"/>
              <w:rPr>
                <w:rFonts w:ascii="Times New Roman" w:hAnsi="Times New Roman" w:eastAsia="仿宋_GB2312" w:cs="Times New Roman"/>
                <w:color w:val="auto"/>
                <w:kern w:val="0"/>
                <w:sz w:val="21"/>
                <w:szCs w:val="21"/>
              </w:rPr>
            </w:pPr>
          </w:p>
        </w:tc>
        <w:tc>
          <w:tcPr>
            <w:tcW w:w="718" w:type="pct"/>
            <w:vMerge w:val="restart"/>
            <w:tcBorders>
              <w:tl2br w:val="nil"/>
              <w:tr2bl w:val="nil"/>
            </w:tcBorders>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绿地区</w:t>
            </w:r>
          </w:p>
        </w:tc>
        <w:tc>
          <w:tcPr>
            <w:tcW w:w="818" w:type="pct"/>
            <w:tcBorders>
              <w:tl2br w:val="nil"/>
              <w:tr2bl w:val="nil"/>
            </w:tcBorders>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工程措施</w:t>
            </w:r>
          </w:p>
        </w:tc>
        <w:tc>
          <w:tcPr>
            <w:tcW w:w="2169" w:type="pct"/>
            <w:tcBorders>
              <w:tl2br w:val="nil"/>
              <w:tr2bl w:val="nil"/>
            </w:tcBorders>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表土剥离、表土回填、场地平整、</w:t>
            </w:r>
            <w:r>
              <w:rPr>
                <w:rFonts w:ascii="Times New Roman" w:hAnsi="Times New Roman" w:eastAsia="仿宋_GB2312" w:cs="Times New Roman"/>
                <w:color w:val="auto"/>
                <w:kern w:val="0"/>
                <w:sz w:val="21"/>
                <w:szCs w:val="21"/>
              </w:rPr>
              <w:t>透水铺装</w:t>
            </w:r>
          </w:p>
        </w:tc>
        <w:tc>
          <w:tcPr>
            <w:tcW w:w="896" w:type="pct"/>
            <w:tcBorders>
              <w:tl2br w:val="nil"/>
              <w:tr2bl w:val="nil"/>
            </w:tcBorders>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Merge w:val="continue"/>
            <w:tcBorders>
              <w:tl2br w:val="nil"/>
              <w:tr2bl w:val="nil"/>
            </w:tcBorders>
            <w:vAlign w:val="center"/>
          </w:tcPr>
          <w:p>
            <w:pPr>
              <w:widowControl/>
              <w:jc w:val="center"/>
              <w:textAlignment w:val="center"/>
              <w:rPr>
                <w:rFonts w:ascii="Times New Roman" w:hAnsi="Times New Roman" w:eastAsia="仿宋_GB2312" w:cs="Times New Roman"/>
                <w:color w:val="auto"/>
                <w:kern w:val="0"/>
                <w:sz w:val="21"/>
                <w:szCs w:val="21"/>
              </w:rPr>
            </w:pPr>
          </w:p>
        </w:tc>
        <w:tc>
          <w:tcPr>
            <w:tcW w:w="718" w:type="pct"/>
            <w:vMerge w:val="continue"/>
            <w:tcBorders>
              <w:tl2br w:val="nil"/>
              <w:tr2bl w:val="nil"/>
            </w:tcBorders>
            <w:vAlign w:val="center"/>
          </w:tcPr>
          <w:p>
            <w:pPr>
              <w:widowControl/>
              <w:jc w:val="center"/>
              <w:textAlignment w:val="center"/>
              <w:rPr>
                <w:rFonts w:ascii="Times New Roman" w:hAnsi="Times New Roman" w:eastAsia="仿宋_GB2312" w:cs="Times New Roman"/>
                <w:color w:val="auto"/>
                <w:kern w:val="0"/>
                <w:sz w:val="21"/>
                <w:szCs w:val="21"/>
              </w:rPr>
            </w:pPr>
          </w:p>
        </w:tc>
        <w:tc>
          <w:tcPr>
            <w:tcW w:w="818" w:type="pct"/>
            <w:tcBorders>
              <w:tl2br w:val="nil"/>
              <w:tr2bl w:val="nil"/>
            </w:tcBorders>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植物措施</w:t>
            </w:r>
          </w:p>
        </w:tc>
        <w:tc>
          <w:tcPr>
            <w:tcW w:w="2169" w:type="pct"/>
            <w:tcBorders>
              <w:tl2br w:val="nil"/>
              <w:tr2bl w:val="nil"/>
            </w:tcBorders>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景观绿化</w:t>
            </w:r>
          </w:p>
        </w:tc>
        <w:tc>
          <w:tcPr>
            <w:tcW w:w="896" w:type="pct"/>
            <w:tcBorders>
              <w:tl2br w:val="nil"/>
              <w:tr2bl w:val="nil"/>
            </w:tcBorders>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Merge w:val="restart"/>
            <w:tcBorders>
              <w:tl2br w:val="nil"/>
              <w:tr2bl w:val="nil"/>
            </w:tcBorders>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区域规划功能区</w:t>
            </w:r>
          </w:p>
        </w:tc>
        <w:tc>
          <w:tcPr>
            <w:tcW w:w="718" w:type="pct"/>
            <w:vMerge w:val="restart"/>
            <w:tcBorders>
              <w:tl2br w:val="nil"/>
              <w:tr2bl w:val="nil"/>
            </w:tcBorders>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已建工程区</w:t>
            </w:r>
          </w:p>
        </w:tc>
        <w:tc>
          <w:tcPr>
            <w:tcW w:w="818" w:type="pct"/>
            <w:tcBorders>
              <w:tl2br w:val="nil"/>
              <w:tr2bl w:val="nil"/>
            </w:tcBorders>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工程措施</w:t>
            </w:r>
          </w:p>
        </w:tc>
        <w:tc>
          <w:tcPr>
            <w:tcW w:w="2169" w:type="pct"/>
            <w:tcBorders>
              <w:tl2br w:val="nil"/>
              <w:tr2bl w:val="nil"/>
            </w:tcBorders>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场地平整、</w:t>
            </w:r>
            <w:r>
              <w:rPr>
                <w:rFonts w:ascii="Times New Roman" w:hAnsi="Times New Roman" w:eastAsia="仿宋_GB2312" w:cs="Times New Roman"/>
                <w:color w:val="auto"/>
                <w:kern w:val="0"/>
                <w:sz w:val="21"/>
                <w:szCs w:val="21"/>
              </w:rPr>
              <w:t>雨水管、雨水口、雨水井</w:t>
            </w:r>
          </w:p>
        </w:tc>
        <w:tc>
          <w:tcPr>
            <w:tcW w:w="896" w:type="pct"/>
            <w:tcBorders>
              <w:tl2br w:val="nil"/>
              <w:tr2bl w:val="nil"/>
            </w:tcBorders>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Merge w:val="continue"/>
            <w:tcBorders>
              <w:tl2br w:val="nil"/>
              <w:tr2bl w:val="nil"/>
            </w:tcBorders>
            <w:vAlign w:val="center"/>
          </w:tcPr>
          <w:p>
            <w:pPr>
              <w:jc w:val="center"/>
              <w:rPr>
                <w:rFonts w:ascii="Times New Roman" w:hAnsi="Times New Roman" w:eastAsia="仿宋_GB2312" w:cs="Times New Roman"/>
                <w:color w:val="auto"/>
                <w:sz w:val="21"/>
                <w:szCs w:val="21"/>
              </w:rPr>
            </w:pPr>
          </w:p>
        </w:tc>
        <w:tc>
          <w:tcPr>
            <w:tcW w:w="718" w:type="pct"/>
            <w:vMerge w:val="continue"/>
            <w:tcBorders>
              <w:tl2br w:val="nil"/>
              <w:tr2bl w:val="nil"/>
            </w:tcBorders>
            <w:vAlign w:val="center"/>
          </w:tcPr>
          <w:p>
            <w:pPr>
              <w:jc w:val="center"/>
              <w:rPr>
                <w:rFonts w:ascii="Times New Roman" w:hAnsi="Times New Roman" w:eastAsia="仿宋_GB2312" w:cs="Times New Roman"/>
                <w:color w:val="auto"/>
                <w:sz w:val="21"/>
                <w:szCs w:val="21"/>
              </w:rPr>
            </w:pPr>
          </w:p>
        </w:tc>
        <w:tc>
          <w:tcPr>
            <w:tcW w:w="818" w:type="pct"/>
            <w:tcBorders>
              <w:tl2br w:val="nil"/>
              <w:tr2bl w:val="nil"/>
            </w:tcBorders>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植物措施</w:t>
            </w:r>
          </w:p>
        </w:tc>
        <w:tc>
          <w:tcPr>
            <w:tcW w:w="2169" w:type="pct"/>
            <w:tcBorders>
              <w:tl2br w:val="nil"/>
              <w:tr2bl w:val="nil"/>
            </w:tcBorders>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厂区绿化</w:t>
            </w:r>
            <w:r>
              <w:rPr>
                <w:rFonts w:hint="eastAsia" w:ascii="Times New Roman" w:hAnsi="Times New Roman" w:eastAsia="仿宋_GB2312" w:cs="Times New Roman"/>
                <w:color w:val="auto"/>
                <w:kern w:val="0"/>
                <w:sz w:val="21"/>
                <w:szCs w:val="21"/>
              </w:rPr>
              <w:t>、</w:t>
            </w:r>
            <w:r>
              <w:rPr>
                <w:rFonts w:ascii="Times New Roman" w:hAnsi="Times New Roman" w:eastAsia="仿宋_GB2312" w:cs="Times New Roman"/>
                <w:color w:val="auto"/>
                <w:sz w:val="21"/>
                <w:szCs w:val="21"/>
              </w:rPr>
              <w:t>撒播草籽</w:t>
            </w:r>
          </w:p>
        </w:tc>
        <w:tc>
          <w:tcPr>
            <w:tcW w:w="896" w:type="pct"/>
            <w:tcBorders>
              <w:tl2br w:val="nil"/>
              <w:tr2bl w:val="nil"/>
            </w:tcBorders>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Merge w:val="continue"/>
            <w:tcBorders>
              <w:tl2br w:val="nil"/>
              <w:tr2bl w:val="nil"/>
            </w:tcBorders>
            <w:vAlign w:val="center"/>
          </w:tcPr>
          <w:p>
            <w:pPr>
              <w:jc w:val="center"/>
              <w:rPr>
                <w:rFonts w:ascii="Times New Roman" w:hAnsi="Times New Roman" w:eastAsia="仿宋_GB2312" w:cs="Times New Roman"/>
                <w:color w:val="auto"/>
                <w:sz w:val="21"/>
                <w:szCs w:val="21"/>
              </w:rPr>
            </w:pPr>
          </w:p>
        </w:tc>
        <w:tc>
          <w:tcPr>
            <w:tcW w:w="718" w:type="pct"/>
            <w:vMerge w:val="restart"/>
            <w:tcBorders>
              <w:tl2br w:val="nil"/>
              <w:tr2bl w:val="nil"/>
            </w:tcBorders>
            <w:vAlign w:val="center"/>
          </w:tcPr>
          <w:p>
            <w:pPr>
              <w:jc w:val="center"/>
              <w:rPr>
                <w:rFonts w:ascii="Times New Roman" w:hAnsi="Times New Roman" w:eastAsia="仿宋_GB2312" w:cs="Times New Roman"/>
                <w:color w:val="auto"/>
                <w:sz w:val="21"/>
                <w:szCs w:val="21"/>
                <w:u w:val="single"/>
              </w:rPr>
            </w:pPr>
            <w:r>
              <w:rPr>
                <w:rFonts w:hint="eastAsia" w:ascii="Times New Roman" w:hAnsi="Times New Roman" w:eastAsia="仿宋_GB2312" w:cs="Times New Roman"/>
                <w:color w:val="auto"/>
                <w:sz w:val="21"/>
                <w:szCs w:val="21"/>
                <w:u w:val="single"/>
              </w:rPr>
              <w:t>在建工程区</w:t>
            </w:r>
          </w:p>
        </w:tc>
        <w:tc>
          <w:tcPr>
            <w:tcW w:w="818" w:type="pct"/>
            <w:tcBorders>
              <w:tl2br w:val="nil"/>
              <w:tr2bl w:val="nil"/>
            </w:tcBorders>
            <w:vAlign w:val="center"/>
          </w:tcPr>
          <w:p>
            <w:pPr>
              <w:jc w:val="center"/>
              <w:rPr>
                <w:rFonts w:ascii="Times New Roman" w:hAnsi="Times New Roman" w:eastAsia="仿宋_GB2312" w:cs="Times New Roman"/>
                <w:color w:val="auto"/>
                <w:sz w:val="21"/>
                <w:szCs w:val="21"/>
                <w:u w:val="single"/>
              </w:rPr>
            </w:pPr>
            <w:r>
              <w:rPr>
                <w:rFonts w:ascii="Times New Roman" w:hAnsi="Times New Roman" w:eastAsia="仿宋_GB2312" w:cs="Times New Roman"/>
                <w:color w:val="auto"/>
                <w:sz w:val="21"/>
                <w:szCs w:val="21"/>
                <w:u w:val="single"/>
              </w:rPr>
              <w:t>工程措施</w:t>
            </w:r>
          </w:p>
        </w:tc>
        <w:tc>
          <w:tcPr>
            <w:tcW w:w="2169" w:type="pct"/>
            <w:tcBorders>
              <w:tl2br w:val="nil"/>
              <w:tr2bl w:val="nil"/>
            </w:tcBorders>
            <w:vAlign w:val="center"/>
          </w:tcPr>
          <w:p>
            <w:pPr>
              <w:jc w:val="center"/>
              <w:rPr>
                <w:rFonts w:hint="eastAsia" w:ascii="Times New Roman" w:hAnsi="Times New Roman" w:eastAsia="仿宋_GB2312" w:cs="Times New Roman"/>
                <w:color w:val="auto"/>
                <w:sz w:val="21"/>
                <w:szCs w:val="21"/>
                <w:u w:val="single"/>
                <w:lang w:eastAsia="zh-CN"/>
              </w:rPr>
            </w:pPr>
            <w:r>
              <w:rPr>
                <w:rFonts w:ascii="Times New Roman" w:hAnsi="Times New Roman" w:eastAsia="仿宋_GB2312" w:cs="Times New Roman"/>
                <w:color w:val="auto"/>
                <w:sz w:val="21"/>
                <w:szCs w:val="21"/>
                <w:u w:val="single"/>
              </w:rPr>
              <w:t>表土剥离、场地平整</w:t>
            </w:r>
            <w:r>
              <w:rPr>
                <w:rFonts w:hint="eastAsia" w:ascii="Times New Roman" w:hAnsi="Times New Roman" w:eastAsia="仿宋_GB2312" w:cs="Times New Roman"/>
                <w:color w:val="auto"/>
                <w:sz w:val="21"/>
                <w:szCs w:val="21"/>
                <w:u w:val="single"/>
                <w:lang w:eastAsia="zh-CN"/>
              </w:rPr>
              <w:t>、</w:t>
            </w:r>
            <w:r>
              <w:rPr>
                <w:rFonts w:ascii="Times New Roman" w:hAnsi="Times New Roman" w:eastAsia="仿宋_GB2312" w:cs="Times New Roman"/>
                <w:color w:val="auto"/>
                <w:sz w:val="21"/>
                <w:szCs w:val="21"/>
                <w:u w:val="single"/>
              </w:rPr>
              <w:t>表土回填、</w:t>
            </w:r>
            <w:r>
              <w:rPr>
                <w:rFonts w:ascii="Times New Roman" w:hAnsi="Times New Roman" w:eastAsia="仿宋_GB2312" w:cs="Times New Roman"/>
                <w:color w:val="auto"/>
                <w:kern w:val="0"/>
                <w:sz w:val="21"/>
                <w:szCs w:val="21"/>
                <w:u w:val="single"/>
              </w:rPr>
              <w:t>雨水管、雨水口、雨水井</w:t>
            </w:r>
          </w:p>
        </w:tc>
        <w:tc>
          <w:tcPr>
            <w:tcW w:w="896" w:type="pct"/>
            <w:tcBorders>
              <w:tl2br w:val="nil"/>
              <w:tr2bl w:val="nil"/>
            </w:tcBorders>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Merge w:val="continue"/>
            <w:tcBorders>
              <w:tl2br w:val="nil"/>
              <w:tr2bl w:val="nil"/>
            </w:tcBorders>
            <w:vAlign w:val="center"/>
          </w:tcPr>
          <w:p>
            <w:pPr>
              <w:jc w:val="center"/>
              <w:rPr>
                <w:rFonts w:ascii="Times New Roman" w:hAnsi="Times New Roman" w:eastAsia="仿宋_GB2312" w:cs="Times New Roman"/>
                <w:color w:val="auto"/>
                <w:sz w:val="21"/>
                <w:szCs w:val="21"/>
              </w:rPr>
            </w:pPr>
          </w:p>
        </w:tc>
        <w:tc>
          <w:tcPr>
            <w:tcW w:w="718" w:type="pct"/>
            <w:vMerge w:val="continue"/>
            <w:tcBorders>
              <w:tl2br w:val="nil"/>
              <w:tr2bl w:val="nil"/>
            </w:tcBorders>
            <w:vAlign w:val="center"/>
          </w:tcPr>
          <w:p>
            <w:pPr>
              <w:jc w:val="center"/>
              <w:rPr>
                <w:rFonts w:ascii="Times New Roman" w:hAnsi="Times New Roman" w:eastAsia="仿宋_GB2312" w:cs="Times New Roman"/>
                <w:color w:val="auto"/>
                <w:sz w:val="21"/>
                <w:szCs w:val="21"/>
                <w:u w:val="single"/>
              </w:rPr>
            </w:pPr>
          </w:p>
        </w:tc>
        <w:tc>
          <w:tcPr>
            <w:tcW w:w="818" w:type="pct"/>
            <w:tcBorders>
              <w:tl2br w:val="nil"/>
              <w:tr2bl w:val="nil"/>
            </w:tcBorders>
            <w:vAlign w:val="center"/>
          </w:tcPr>
          <w:p>
            <w:pPr>
              <w:jc w:val="center"/>
              <w:rPr>
                <w:rFonts w:ascii="Times New Roman" w:hAnsi="Times New Roman" w:eastAsia="仿宋_GB2312" w:cs="Times New Roman"/>
                <w:color w:val="auto"/>
                <w:sz w:val="21"/>
                <w:szCs w:val="21"/>
                <w:u w:val="single"/>
              </w:rPr>
            </w:pPr>
            <w:r>
              <w:rPr>
                <w:rFonts w:ascii="Times New Roman" w:hAnsi="Times New Roman" w:eastAsia="仿宋_GB2312" w:cs="Times New Roman"/>
                <w:color w:val="auto"/>
                <w:sz w:val="21"/>
                <w:szCs w:val="21"/>
                <w:u w:val="single"/>
              </w:rPr>
              <w:t>植物措施</w:t>
            </w:r>
          </w:p>
        </w:tc>
        <w:tc>
          <w:tcPr>
            <w:tcW w:w="2169" w:type="pct"/>
            <w:tcBorders>
              <w:tl2br w:val="nil"/>
              <w:tr2bl w:val="nil"/>
            </w:tcBorders>
            <w:vAlign w:val="center"/>
          </w:tcPr>
          <w:p>
            <w:pPr>
              <w:jc w:val="center"/>
              <w:rPr>
                <w:rFonts w:ascii="Times New Roman" w:hAnsi="Times New Roman" w:eastAsia="仿宋_GB2312" w:cs="Times New Roman"/>
                <w:color w:val="auto"/>
                <w:sz w:val="21"/>
                <w:szCs w:val="21"/>
                <w:u w:val="single"/>
              </w:rPr>
            </w:pPr>
            <w:r>
              <w:rPr>
                <w:rFonts w:hint="eastAsia" w:ascii="Times New Roman" w:hAnsi="Times New Roman" w:eastAsia="仿宋_GB2312" w:cs="Times New Roman"/>
                <w:color w:val="auto"/>
                <w:sz w:val="21"/>
                <w:szCs w:val="21"/>
                <w:u w:val="single"/>
              </w:rPr>
              <w:t>园林绿化</w:t>
            </w:r>
            <w:r>
              <w:rPr>
                <w:rFonts w:hint="eastAsia" w:ascii="Times New Roman" w:hAnsi="Times New Roman" w:eastAsia="仿宋_GB2312" w:cs="Times New Roman"/>
                <w:color w:val="auto"/>
                <w:sz w:val="21"/>
                <w:szCs w:val="21"/>
                <w:u w:val="single"/>
                <w:lang w:eastAsia="zh-CN"/>
              </w:rPr>
              <w:t>、临时绿化、</w:t>
            </w:r>
            <w:r>
              <w:rPr>
                <w:rFonts w:ascii="Times New Roman" w:hAnsi="Times New Roman" w:eastAsia="仿宋_GB2312" w:cs="Times New Roman"/>
                <w:color w:val="auto"/>
                <w:sz w:val="21"/>
                <w:szCs w:val="21"/>
                <w:u w:val="single"/>
              </w:rPr>
              <w:t>撒播草籽</w:t>
            </w:r>
          </w:p>
        </w:tc>
        <w:tc>
          <w:tcPr>
            <w:tcW w:w="896" w:type="pct"/>
            <w:tcBorders>
              <w:tl2br w:val="nil"/>
              <w:tr2bl w:val="nil"/>
            </w:tcBorders>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Merge w:val="continue"/>
            <w:tcBorders>
              <w:tl2br w:val="nil"/>
              <w:tr2bl w:val="nil"/>
            </w:tcBorders>
            <w:vAlign w:val="center"/>
          </w:tcPr>
          <w:p>
            <w:pPr>
              <w:jc w:val="center"/>
              <w:rPr>
                <w:rFonts w:ascii="Times New Roman" w:hAnsi="Times New Roman" w:eastAsia="仿宋_GB2312" w:cs="Times New Roman"/>
                <w:color w:val="auto"/>
                <w:sz w:val="21"/>
                <w:szCs w:val="21"/>
              </w:rPr>
            </w:pPr>
          </w:p>
        </w:tc>
        <w:tc>
          <w:tcPr>
            <w:tcW w:w="718" w:type="pct"/>
            <w:vMerge w:val="continue"/>
            <w:tcBorders>
              <w:tl2br w:val="nil"/>
              <w:tr2bl w:val="nil"/>
            </w:tcBorders>
            <w:vAlign w:val="center"/>
          </w:tcPr>
          <w:p>
            <w:pPr>
              <w:jc w:val="center"/>
              <w:rPr>
                <w:rFonts w:ascii="Times New Roman" w:hAnsi="Times New Roman" w:eastAsia="仿宋_GB2312" w:cs="Times New Roman"/>
                <w:color w:val="auto"/>
                <w:sz w:val="21"/>
                <w:szCs w:val="21"/>
                <w:u w:val="single"/>
              </w:rPr>
            </w:pPr>
          </w:p>
        </w:tc>
        <w:tc>
          <w:tcPr>
            <w:tcW w:w="818" w:type="pct"/>
            <w:tcBorders>
              <w:tl2br w:val="nil"/>
              <w:tr2bl w:val="nil"/>
            </w:tcBorders>
            <w:vAlign w:val="center"/>
          </w:tcPr>
          <w:p>
            <w:pPr>
              <w:jc w:val="center"/>
              <w:rPr>
                <w:rFonts w:hint="eastAsia" w:ascii="Times New Roman" w:hAnsi="Times New Roman" w:eastAsia="仿宋_GB2312" w:cs="Times New Roman"/>
                <w:color w:val="auto"/>
                <w:sz w:val="21"/>
                <w:szCs w:val="21"/>
                <w:u w:val="single"/>
                <w:lang w:eastAsia="zh-CN"/>
              </w:rPr>
            </w:pPr>
            <w:r>
              <w:rPr>
                <w:rFonts w:hint="eastAsia" w:ascii="Times New Roman" w:hAnsi="Times New Roman" w:eastAsia="仿宋_GB2312" w:cs="Times New Roman"/>
                <w:color w:val="auto"/>
                <w:sz w:val="21"/>
                <w:szCs w:val="21"/>
                <w:u w:val="single"/>
                <w:lang w:eastAsia="zh-CN"/>
              </w:rPr>
              <w:t>临时措施</w:t>
            </w:r>
          </w:p>
        </w:tc>
        <w:tc>
          <w:tcPr>
            <w:tcW w:w="2169" w:type="pct"/>
            <w:tcBorders>
              <w:tl2br w:val="nil"/>
              <w:tr2bl w:val="nil"/>
            </w:tcBorders>
            <w:vAlign w:val="center"/>
          </w:tcPr>
          <w:p>
            <w:pPr>
              <w:jc w:val="center"/>
              <w:rPr>
                <w:rFonts w:hint="eastAsia" w:ascii="Times New Roman" w:hAnsi="Times New Roman" w:eastAsia="仿宋_GB2312" w:cs="Times New Roman"/>
                <w:color w:val="auto"/>
                <w:sz w:val="21"/>
                <w:szCs w:val="21"/>
                <w:u w:val="single"/>
                <w:lang w:eastAsia="zh-CN"/>
              </w:rPr>
            </w:pPr>
            <w:r>
              <w:rPr>
                <w:rFonts w:hint="eastAsia" w:ascii="Times New Roman" w:hAnsi="Times New Roman" w:eastAsia="仿宋_GB2312" w:cs="Times New Roman"/>
                <w:color w:val="auto"/>
                <w:sz w:val="21"/>
                <w:szCs w:val="21"/>
                <w:u w:val="single"/>
              </w:rPr>
              <w:t>洗车槽</w:t>
            </w:r>
            <w:r>
              <w:rPr>
                <w:rFonts w:hint="eastAsia" w:ascii="Times New Roman" w:hAnsi="Times New Roman" w:eastAsia="仿宋_GB2312" w:cs="Times New Roman"/>
                <w:color w:val="auto"/>
                <w:sz w:val="21"/>
                <w:szCs w:val="21"/>
                <w:u w:val="single"/>
                <w:lang w:eastAsia="zh-CN"/>
              </w:rPr>
              <w:t>、临时排水沟、临时沉沙池、装土编织袋拦挡、临时苫盖</w:t>
            </w:r>
          </w:p>
        </w:tc>
        <w:tc>
          <w:tcPr>
            <w:tcW w:w="896" w:type="pct"/>
            <w:tcBorders>
              <w:tl2br w:val="nil"/>
              <w:tr2bl w:val="nil"/>
            </w:tcBorders>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Merge w:val="continue"/>
            <w:tcBorders>
              <w:tl2br w:val="nil"/>
              <w:tr2bl w:val="nil"/>
            </w:tcBorders>
            <w:vAlign w:val="center"/>
          </w:tcPr>
          <w:p>
            <w:pPr>
              <w:jc w:val="center"/>
              <w:rPr>
                <w:rFonts w:ascii="Times New Roman" w:hAnsi="Times New Roman" w:eastAsia="仿宋_GB2312" w:cs="Times New Roman"/>
                <w:color w:val="auto"/>
                <w:sz w:val="21"/>
                <w:szCs w:val="21"/>
              </w:rPr>
            </w:pPr>
          </w:p>
        </w:tc>
        <w:tc>
          <w:tcPr>
            <w:tcW w:w="718" w:type="pct"/>
            <w:vMerge w:val="restart"/>
            <w:tcBorders>
              <w:tl2br w:val="nil"/>
              <w:tr2bl w:val="nil"/>
            </w:tcBorders>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待建工程区</w:t>
            </w:r>
          </w:p>
        </w:tc>
        <w:tc>
          <w:tcPr>
            <w:tcW w:w="818" w:type="pct"/>
            <w:tcBorders>
              <w:tl2br w:val="nil"/>
              <w:tr2bl w:val="nil"/>
            </w:tcBorders>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工程措施</w:t>
            </w:r>
          </w:p>
        </w:tc>
        <w:tc>
          <w:tcPr>
            <w:tcW w:w="2169" w:type="pct"/>
            <w:tcBorders>
              <w:tl2br w:val="nil"/>
              <w:tr2bl w:val="nil"/>
            </w:tcBorders>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表土剥离、场地平整</w:t>
            </w:r>
            <w:r>
              <w:rPr>
                <w:rFonts w:hint="eastAsia" w:ascii="Times New Roman" w:hAnsi="Times New Roman" w:eastAsia="仿宋_GB2312" w:cs="Times New Roman"/>
                <w:color w:val="auto"/>
                <w:sz w:val="21"/>
                <w:szCs w:val="21"/>
                <w:lang w:eastAsia="zh-CN"/>
              </w:rPr>
              <w:t>、</w:t>
            </w:r>
          </w:p>
        </w:tc>
        <w:tc>
          <w:tcPr>
            <w:tcW w:w="896" w:type="pct"/>
            <w:tcBorders>
              <w:tl2br w:val="nil"/>
              <w:tr2bl w:val="nil"/>
            </w:tcBorders>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Merge w:val="continue"/>
            <w:tcBorders>
              <w:tl2br w:val="nil"/>
              <w:tr2bl w:val="nil"/>
            </w:tcBorders>
            <w:vAlign w:val="center"/>
          </w:tcPr>
          <w:p>
            <w:pPr>
              <w:jc w:val="center"/>
              <w:rPr>
                <w:rFonts w:ascii="Times New Roman" w:hAnsi="Times New Roman" w:eastAsia="仿宋_GB2312" w:cs="Times New Roman"/>
                <w:color w:val="auto"/>
                <w:sz w:val="21"/>
                <w:szCs w:val="21"/>
              </w:rPr>
            </w:pPr>
          </w:p>
        </w:tc>
        <w:tc>
          <w:tcPr>
            <w:tcW w:w="718" w:type="pct"/>
            <w:vMerge w:val="continue"/>
            <w:tcBorders>
              <w:tl2br w:val="nil"/>
              <w:tr2bl w:val="nil"/>
            </w:tcBorders>
            <w:vAlign w:val="center"/>
          </w:tcPr>
          <w:p>
            <w:pPr>
              <w:jc w:val="center"/>
              <w:rPr>
                <w:rFonts w:hint="eastAsia" w:ascii="Times New Roman" w:hAnsi="Times New Roman" w:eastAsia="仿宋_GB2312" w:cs="Times New Roman"/>
                <w:color w:val="auto"/>
                <w:sz w:val="21"/>
                <w:szCs w:val="21"/>
              </w:rPr>
            </w:pPr>
          </w:p>
        </w:tc>
        <w:tc>
          <w:tcPr>
            <w:tcW w:w="818" w:type="pct"/>
            <w:tcBorders>
              <w:tl2br w:val="nil"/>
              <w:tr2bl w:val="nil"/>
            </w:tcBorders>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植物措施</w:t>
            </w:r>
          </w:p>
        </w:tc>
        <w:tc>
          <w:tcPr>
            <w:tcW w:w="2169" w:type="pct"/>
            <w:tcBorders>
              <w:tl2br w:val="nil"/>
              <w:tr2bl w:val="nil"/>
            </w:tcBorders>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撒播草籽</w:t>
            </w:r>
          </w:p>
        </w:tc>
        <w:tc>
          <w:tcPr>
            <w:tcW w:w="896" w:type="pct"/>
            <w:tcBorders>
              <w:tl2br w:val="nil"/>
              <w:tr2bl w:val="nil"/>
            </w:tcBorders>
            <w:vAlign w:val="center"/>
          </w:tcPr>
          <w:p>
            <w:pPr>
              <w:jc w:val="center"/>
              <w:rPr>
                <w:rFonts w:ascii="Times New Roman" w:hAnsi="Times New Roman" w:eastAsia="仿宋_GB2312" w:cs="Times New Roman"/>
                <w:color w:val="auto"/>
                <w:sz w:val="21"/>
                <w:szCs w:val="21"/>
              </w:rPr>
            </w:pPr>
          </w:p>
        </w:tc>
      </w:tr>
    </w:tbl>
    <w:p>
      <w:pPr>
        <w:bidi w:val="0"/>
        <w:ind w:firstLine="480" w:firstLineChars="200"/>
        <w:rPr>
          <w:rFonts w:hint="eastAsia" w:ascii="Times New Roman" w:hAnsi="Times New Roman" w:eastAsia="仿宋_GB2312" w:cs="Times New Roman"/>
          <w:b w:val="0"/>
          <w:bCs/>
          <w:color w:val="auto"/>
          <w:sz w:val="24"/>
          <w:szCs w:val="24"/>
          <w:lang w:val="en-US" w:eastAsia="zh-CN"/>
        </w:rPr>
      </w:pPr>
      <w:r>
        <w:rPr>
          <w:rFonts w:hint="default" w:ascii="Times New Roman" w:hAnsi="Times New Roman" w:eastAsia="仿宋_GB2312" w:cs="Times New Roman"/>
          <w:color w:val="auto"/>
          <w:sz w:val="24"/>
          <w:szCs w:val="24"/>
          <w:lang w:val="en-US" w:eastAsia="zh-CN"/>
        </w:rPr>
        <w:t>说明：</w:t>
      </w:r>
      <w:r>
        <w:rPr>
          <w:rFonts w:hint="default" w:ascii="Times New Roman" w:hAnsi="Times New Roman" w:eastAsia="仿宋_GB2312" w:cs="Times New Roman"/>
          <w:b w:val="0"/>
          <w:bCs/>
          <w:color w:val="auto"/>
          <w:sz w:val="24"/>
          <w:szCs w:val="24"/>
        </w:rPr>
        <w:t>区域规划功能区的</w:t>
      </w:r>
      <w:r>
        <w:rPr>
          <w:rFonts w:hint="default" w:ascii="Times New Roman" w:hAnsi="Times New Roman" w:eastAsia="仿宋_GB2312" w:cs="Times New Roman"/>
          <w:b/>
          <w:bCs w:val="0"/>
          <w:color w:val="auto"/>
          <w:sz w:val="24"/>
          <w:szCs w:val="24"/>
        </w:rPr>
        <w:t>在建工程区</w:t>
      </w:r>
      <w:r>
        <w:rPr>
          <w:rFonts w:hint="default" w:ascii="Times New Roman" w:hAnsi="Times New Roman" w:eastAsia="仿宋_GB2312" w:cs="Times New Roman"/>
          <w:b w:val="0"/>
          <w:bCs/>
          <w:color w:val="auto"/>
          <w:sz w:val="24"/>
          <w:szCs w:val="24"/>
        </w:rPr>
        <w:t>的水土保持措施是纳入已批复的</w:t>
      </w:r>
      <w:r>
        <w:rPr>
          <w:rFonts w:hint="default" w:ascii="Times New Roman" w:hAnsi="Times New Roman" w:eastAsia="仿宋_GB2312" w:cs="Times New Roman"/>
          <w:b/>
          <w:bCs w:val="0"/>
          <w:color w:val="auto"/>
          <w:sz w:val="24"/>
          <w:szCs w:val="24"/>
        </w:rPr>
        <w:t>南昌电子信息（LED）产业创新示范园（二期）一组团项目</w:t>
      </w:r>
      <w:r>
        <w:rPr>
          <w:rFonts w:hint="default" w:ascii="Times New Roman" w:hAnsi="Times New Roman" w:eastAsia="仿宋_GB2312" w:cs="Times New Roman"/>
          <w:b w:val="0"/>
          <w:bCs/>
          <w:color w:val="auto"/>
          <w:sz w:val="24"/>
          <w:szCs w:val="24"/>
        </w:rPr>
        <w:t>水土保持方案的水土保持措防治体系</w:t>
      </w:r>
      <w:r>
        <w:rPr>
          <w:rFonts w:hint="eastAsia" w:ascii="Times New Roman" w:hAnsi="Times New Roman" w:eastAsia="仿宋_GB2312" w:cs="Times New Roman"/>
          <w:b w:val="0"/>
          <w:bCs/>
          <w:color w:val="auto"/>
          <w:sz w:val="24"/>
          <w:szCs w:val="24"/>
          <w:lang w:eastAsia="zh-CN"/>
        </w:rPr>
        <w:t>中</w:t>
      </w:r>
      <w:r>
        <w:rPr>
          <w:rFonts w:hint="default" w:ascii="Times New Roman" w:hAnsi="Times New Roman" w:eastAsia="仿宋_GB2312" w:cs="Times New Roman"/>
          <w:b w:val="0"/>
          <w:bCs/>
          <w:color w:val="auto"/>
          <w:sz w:val="24"/>
          <w:szCs w:val="24"/>
        </w:rPr>
        <w:t>，</w:t>
      </w:r>
      <w:r>
        <w:rPr>
          <w:rFonts w:hint="eastAsia" w:ascii="Times New Roman" w:hAnsi="Times New Roman" w:eastAsia="仿宋_GB2312" w:cs="Times New Roman"/>
          <w:b w:val="0"/>
          <w:bCs/>
          <w:color w:val="auto"/>
          <w:sz w:val="24"/>
          <w:szCs w:val="24"/>
          <w:lang w:eastAsia="zh-CN"/>
        </w:rPr>
        <w:t>本评估</w:t>
      </w:r>
      <w:r>
        <w:rPr>
          <w:rFonts w:hint="eastAsia" w:ascii="Times New Roman" w:hAnsi="Times New Roman" w:eastAsia="仿宋_GB2312" w:cs="Times New Roman"/>
          <w:b w:val="0"/>
          <w:bCs/>
          <w:color w:val="auto"/>
          <w:sz w:val="24"/>
          <w:szCs w:val="24"/>
          <w:lang w:val="en-US" w:eastAsia="zh-CN"/>
        </w:rPr>
        <w:t>报告</w:t>
      </w:r>
      <w:r>
        <w:rPr>
          <w:rFonts w:hint="eastAsia" w:ascii="Times New Roman" w:hAnsi="Times New Roman" w:eastAsia="仿宋_GB2312" w:cs="Times New Roman"/>
          <w:b w:val="0"/>
          <w:bCs/>
          <w:color w:val="auto"/>
          <w:sz w:val="24"/>
          <w:szCs w:val="24"/>
          <w:lang w:eastAsia="zh-CN"/>
        </w:rPr>
        <w:t>只对其进行水保持评价及工程量说明，不纳入本评估报告措施体系。</w:t>
      </w:r>
    </w:p>
    <w:p>
      <w:pPr>
        <w:tabs>
          <w:tab w:val="left" w:pos="486"/>
          <w:tab w:val="center" w:pos="4873"/>
        </w:tabs>
        <w:spacing w:line="360" w:lineRule="auto"/>
        <w:jc w:val="center"/>
        <w:rPr>
          <w:rFonts w:ascii="Times New Roman" w:hAnsi="Times New Roman" w:eastAsia="仿宋_GB2312" w:cs="Times New Roman"/>
          <w:color w:val="auto"/>
          <w:szCs w:val="24"/>
        </w:rPr>
      </w:pPr>
      <w:r>
        <w:rPr>
          <w:rFonts w:ascii="Times New Roman" w:hAnsi="Times New Roman" w:cs="Times New Roman"/>
          <w:color w:val="auto"/>
        </w:rPr>
        <w:br w:type="page"/>
      </w:r>
      <w:r>
        <w:rPr>
          <w:rFonts w:ascii="Times New Roman" w:hAnsi="Times New Roman" w:eastAsia="仿宋_GB2312" w:cs="Times New Roman"/>
          <w:b/>
          <w:bCs/>
          <w:color w:val="auto"/>
          <w:szCs w:val="24"/>
        </w:rPr>
        <w:t>表3</w:t>
      </w:r>
      <w:r>
        <w:rPr>
          <w:rFonts w:hint="eastAsia" w:ascii="Times New Roman" w:hAnsi="Times New Roman" w:eastAsia="仿宋_GB2312" w:cs="Times New Roman"/>
          <w:b/>
          <w:bCs/>
          <w:color w:val="auto"/>
          <w:szCs w:val="24"/>
        </w:rPr>
        <w:t>.</w:t>
      </w:r>
      <w:r>
        <w:rPr>
          <w:rFonts w:ascii="Times New Roman" w:hAnsi="Times New Roman" w:eastAsia="仿宋_GB2312" w:cs="Times New Roman"/>
          <w:b/>
          <w:bCs/>
          <w:color w:val="auto"/>
          <w:szCs w:val="24"/>
        </w:rPr>
        <w:t>3-2：主体工程设计中具有水土保持功能措施工程量</w:t>
      </w:r>
      <w:r>
        <w:rPr>
          <w:rFonts w:hint="eastAsia" w:ascii="Times New Roman" w:hAnsi="Times New Roman" w:eastAsia="仿宋_GB2312" w:cs="Times New Roman"/>
          <w:b/>
          <w:bCs/>
          <w:color w:val="auto"/>
          <w:szCs w:val="24"/>
          <w:lang w:val="en-US" w:eastAsia="zh-CN"/>
        </w:rPr>
        <w:t>及投资</w:t>
      </w:r>
      <w:r>
        <w:rPr>
          <w:rFonts w:ascii="Times New Roman" w:hAnsi="Times New Roman" w:eastAsia="仿宋_GB2312" w:cs="Times New Roman"/>
          <w:b/>
          <w:bCs/>
          <w:color w:val="auto"/>
          <w:szCs w:val="24"/>
        </w:rPr>
        <w:t>表</w:t>
      </w:r>
    </w:p>
    <w:bookmarkEnd w:id="274"/>
    <w:tbl>
      <w:tblPr>
        <w:tblStyle w:val="37"/>
        <w:tblW w:w="4771"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955"/>
        <w:gridCol w:w="2744"/>
        <w:gridCol w:w="1030"/>
        <w:gridCol w:w="1274"/>
        <w:gridCol w:w="212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序号</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分区措施或费用名称</w:t>
            </w:r>
          </w:p>
        </w:tc>
        <w:tc>
          <w:tcPr>
            <w:tcW w:w="63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单位</w:t>
            </w:r>
          </w:p>
        </w:tc>
        <w:tc>
          <w:tcPr>
            <w:tcW w:w="78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数量</w:t>
            </w: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b/>
                <w:bCs/>
                <w:i w:val="0"/>
                <w:iCs w:val="0"/>
                <w:color w:val="auto"/>
                <w:sz w:val="21"/>
                <w:szCs w:val="21"/>
                <w:u w:val="none"/>
              </w:rPr>
            </w:pPr>
            <w:r>
              <w:rPr>
                <w:rFonts w:hint="eastAsia" w:ascii="Times New Roman" w:hAnsi="Times New Roman" w:eastAsia="仿宋_GB2312" w:cs="Times New Roman"/>
                <w:b/>
                <w:bCs/>
                <w:i w:val="0"/>
                <w:iCs w:val="0"/>
                <w:color w:val="auto"/>
                <w:kern w:val="0"/>
                <w:sz w:val="21"/>
                <w:szCs w:val="21"/>
                <w:u w:val="none"/>
                <w:lang w:val="en-US" w:eastAsia="zh-CN" w:bidi="ar"/>
              </w:rPr>
              <w:t>投资</w:t>
            </w:r>
            <w:r>
              <w:rPr>
                <w:rFonts w:hint="default" w:ascii="Times New Roman" w:hAnsi="Times New Roman" w:eastAsia="仿宋_GB2312" w:cs="Times New Roman"/>
                <w:b/>
                <w:bCs/>
                <w:i w:val="0"/>
                <w:iCs w:val="0"/>
                <w:color w:val="auto"/>
                <w:kern w:val="0"/>
                <w:sz w:val="21"/>
                <w:szCs w:val="21"/>
                <w:u w:val="none"/>
                <w:lang w:val="en-US" w:eastAsia="zh-CN" w:bidi="ar"/>
              </w:rPr>
              <w:t>（万元）</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jc w:val="center"/>
        </w:trPr>
        <w:tc>
          <w:tcPr>
            <w:tcW w:w="2274" w:type="pct"/>
            <w:gridSpan w:val="2"/>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第一部分：工程措施</w:t>
            </w:r>
          </w:p>
        </w:tc>
        <w:tc>
          <w:tcPr>
            <w:tcW w:w="633"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b/>
                <w:bCs/>
                <w:i w:val="0"/>
                <w:iCs w:val="0"/>
                <w:color w:val="auto"/>
                <w:sz w:val="21"/>
                <w:szCs w:val="21"/>
                <w:u w:val="none"/>
              </w:rPr>
            </w:pPr>
          </w:p>
        </w:tc>
        <w:tc>
          <w:tcPr>
            <w:tcW w:w="783"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b/>
                <w:bCs/>
                <w:i w:val="0"/>
                <w:iCs w:val="0"/>
                <w:color w:val="auto"/>
                <w:sz w:val="21"/>
                <w:szCs w:val="21"/>
                <w:u w:val="none"/>
              </w:rPr>
            </w:pP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b/>
                <w:bCs/>
                <w:i w:val="0"/>
                <w:iCs w:val="0"/>
                <w:color w:val="auto"/>
                <w:sz w:val="21"/>
                <w:szCs w:val="21"/>
                <w:u w:val="none"/>
                <w:lang w:val="en-US"/>
              </w:rPr>
            </w:pPr>
            <w:r>
              <w:rPr>
                <w:rFonts w:hint="eastAsia" w:ascii="Times New Roman" w:hAnsi="Times New Roman" w:eastAsia="仿宋_GB2312" w:cs="Times New Roman"/>
                <w:b/>
                <w:bCs/>
                <w:i w:val="0"/>
                <w:iCs w:val="0"/>
                <w:color w:val="auto"/>
                <w:kern w:val="0"/>
                <w:sz w:val="21"/>
                <w:szCs w:val="21"/>
                <w:u w:val="none"/>
                <w:lang w:val="en-US" w:eastAsia="zh-CN" w:bidi="ar"/>
              </w:rPr>
              <w:t>713.08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一</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公共基础设施防治区</w:t>
            </w:r>
          </w:p>
        </w:tc>
        <w:tc>
          <w:tcPr>
            <w:tcW w:w="633"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83"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lang w:val="en-US"/>
              </w:rPr>
            </w:pPr>
            <w:r>
              <w:rPr>
                <w:rFonts w:hint="eastAsia" w:ascii="Times New Roman" w:hAnsi="Times New Roman" w:eastAsia="仿宋_GB2312" w:cs="Times New Roman"/>
                <w:i w:val="0"/>
                <w:iCs w:val="0"/>
                <w:color w:val="auto"/>
                <w:kern w:val="0"/>
                <w:sz w:val="21"/>
                <w:szCs w:val="21"/>
                <w:u w:val="none"/>
                <w:lang w:val="en-US" w:eastAsia="zh-CN" w:bidi="ar"/>
              </w:rPr>
              <w:t>664.93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土地整治工程</w:t>
            </w:r>
          </w:p>
        </w:tc>
        <w:tc>
          <w:tcPr>
            <w:tcW w:w="633"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83"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139.39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表土剥离</w:t>
            </w:r>
          </w:p>
        </w:tc>
        <w:tc>
          <w:tcPr>
            <w:tcW w:w="63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万m³</w:t>
            </w:r>
          </w:p>
        </w:tc>
        <w:tc>
          <w:tcPr>
            <w:tcW w:w="78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4.63</w:t>
            </w: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80.01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表土回填</w:t>
            </w:r>
          </w:p>
        </w:tc>
        <w:tc>
          <w:tcPr>
            <w:tcW w:w="63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万m³</w:t>
            </w:r>
          </w:p>
        </w:tc>
        <w:tc>
          <w:tcPr>
            <w:tcW w:w="78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4.91</w:t>
            </w: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22.29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1.3</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场地平整</w:t>
            </w:r>
          </w:p>
        </w:tc>
        <w:tc>
          <w:tcPr>
            <w:tcW w:w="63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hm²</w:t>
            </w:r>
          </w:p>
        </w:tc>
        <w:tc>
          <w:tcPr>
            <w:tcW w:w="78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31.68</w:t>
            </w: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37.09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排水工程</w:t>
            </w:r>
          </w:p>
        </w:tc>
        <w:tc>
          <w:tcPr>
            <w:tcW w:w="633"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83"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lang w:val="en-US"/>
              </w:rPr>
            </w:pPr>
            <w:r>
              <w:rPr>
                <w:rFonts w:hint="eastAsia" w:ascii="Times New Roman" w:hAnsi="Times New Roman" w:eastAsia="仿宋_GB2312" w:cs="Times New Roman"/>
                <w:i w:val="0"/>
                <w:iCs w:val="0"/>
                <w:color w:val="auto"/>
                <w:kern w:val="0"/>
                <w:sz w:val="21"/>
                <w:szCs w:val="21"/>
                <w:u w:val="none"/>
                <w:lang w:val="en-US" w:eastAsia="zh-CN" w:bidi="ar"/>
              </w:rPr>
              <w:t>374.95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2.1</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雨水管</w:t>
            </w:r>
          </w:p>
        </w:tc>
        <w:tc>
          <w:tcPr>
            <w:tcW w:w="63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w:t>
            </w:r>
          </w:p>
        </w:tc>
        <w:tc>
          <w:tcPr>
            <w:tcW w:w="783" w:type="pct"/>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2496</w:t>
            </w: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49.92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2.2</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雨水口</w:t>
            </w:r>
          </w:p>
        </w:tc>
        <w:tc>
          <w:tcPr>
            <w:tcW w:w="63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个</w:t>
            </w:r>
          </w:p>
        </w:tc>
        <w:tc>
          <w:tcPr>
            <w:tcW w:w="783" w:type="pct"/>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112</w:t>
            </w: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3.36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2.3</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雨水井</w:t>
            </w:r>
          </w:p>
        </w:tc>
        <w:tc>
          <w:tcPr>
            <w:tcW w:w="63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座</w:t>
            </w:r>
          </w:p>
        </w:tc>
        <w:tc>
          <w:tcPr>
            <w:tcW w:w="783" w:type="pct"/>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56</w:t>
            </w: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1.04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2.4</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雨水箱涵</w:t>
            </w:r>
          </w:p>
        </w:tc>
        <w:tc>
          <w:tcPr>
            <w:tcW w:w="63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w:t>
            </w:r>
          </w:p>
        </w:tc>
        <w:tc>
          <w:tcPr>
            <w:tcW w:w="78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1336</w:t>
            </w: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320.64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透水铺装工程</w:t>
            </w:r>
          </w:p>
        </w:tc>
        <w:tc>
          <w:tcPr>
            <w:tcW w:w="633"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83"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150.59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3.1</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透水铺装</w:t>
            </w:r>
          </w:p>
        </w:tc>
        <w:tc>
          <w:tcPr>
            <w:tcW w:w="63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hm²</w:t>
            </w:r>
          </w:p>
        </w:tc>
        <w:tc>
          <w:tcPr>
            <w:tcW w:w="78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5.03</w:t>
            </w: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150.59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二</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区域规划功能防治区</w:t>
            </w:r>
          </w:p>
        </w:tc>
        <w:tc>
          <w:tcPr>
            <w:tcW w:w="633"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83"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48.15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土地整治工程</w:t>
            </w:r>
          </w:p>
        </w:tc>
        <w:tc>
          <w:tcPr>
            <w:tcW w:w="633"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83"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35.54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表土剥离</w:t>
            </w:r>
          </w:p>
        </w:tc>
        <w:tc>
          <w:tcPr>
            <w:tcW w:w="63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万m³</w:t>
            </w:r>
          </w:p>
        </w:tc>
        <w:tc>
          <w:tcPr>
            <w:tcW w:w="78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0.28</w:t>
            </w: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4.84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场地平整</w:t>
            </w:r>
          </w:p>
        </w:tc>
        <w:tc>
          <w:tcPr>
            <w:tcW w:w="63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hm²</w:t>
            </w:r>
          </w:p>
        </w:tc>
        <w:tc>
          <w:tcPr>
            <w:tcW w:w="78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26.22</w:t>
            </w: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30.70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排水工程</w:t>
            </w:r>
          </w:p>
        </w:tc>
        <w:tc>
          <w:tcPr>
            <w:tcW w:w="633"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83"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12.61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2.1</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雨水管</w:t>
            </w:r>
          </w:p>
        </w:tc>
        <w:tc>
          <w:tcPr>
            <w:tcW w:w="63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w:t>
            </w:r>
          </w:p>
        </w:tc>
        <w:tc>
          <w:tcPr>
            <w:tcW w:w="78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585</w:t>
            </w: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2.2</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雨水口</w:t>
            </w:r>
          </w:p>
        </w:tc>
        <w:tc>
          <w:tcPr>
            <w:tcW w:w="63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个</w:t>
            </w:r>
          </w:p>
        </w:tc>
        <w:tc>
          <w:tcPr>
            <w:tcW w:w="78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23</w:t>
            </w: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0.69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2.3</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雨水井</w:t>
            </w:r>
          </w:p>
        </w:tc>
        <w:tc>
          <w:tcPr>
            <w:tcW w:w="63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座</w:t>
            </w:r>
          </w:p>
        </w:tc>
        <w:tc>
          <w:tcPr>
            <w:tcW w:w="78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w:t>
            </w: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0.22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jc w:val="center"/>
        </w:trPr>
        <w:tc>
          <w:tcPr>
            <w:tcW w:w="2274" w:type="pct"/>
            <w:gridSpan w:val="2"/>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第二部分：植物措施</w:t>
            </w:r>
          </w:p>
        </w:tc>
        <w:tc>
          <w:tcPr>
            <w:tcW w:w="633"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b/>
                <w:bCs/>
                <w:i w:val="0"/>
                <w:iCs w:val="0"/>
                <w:color w:val="auto"/>
                <w:sz w:val="21"/>
                <w:szCs w:val="21"/>
                <w:u w:val="none"/>
              </w:rPr>
            </w:pPr>
          </w:p>
        </w:tc>
        <w:tc>
          <w:tcPr>
            <w:tcW w:w="783"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1027.56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5"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一</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公共基础设施防治区</w:t>
            </w:r>
          </w:p>
        </w:tc>
        <w:tc>
          <w:tcPr>
            <w:tcW w:w="633"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83"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1015.44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5"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绿化工程</w:t>
            </w:r>
          </w:p>
        </w:tc>
        <w:tc>
          <w:tcPr>
            <w:tcW w:w="633"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83"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1015.44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5"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道路绿化</w:t>
            </w:r>
          </w:p>
        </w:tc>
        <w:tc>
          <w:tcPr>
            <w:tcW w:w="63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hm²</w:t>
            </w:r>
          </w:p>
        </w:tc>
        <w:tc>
          <w:tcPr>
            <w:tcW w:w="78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0.46</w:t>
            </w: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69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撒播草籽</w:t>
            </w:r>
          </w:p>
        </w:tc>
        <w:tc>
          <w:tcPr>
            <w:tcW w:w="63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hm²</w:t>
            </w:r>
          </w:p>
        </w:tc>
        <w:tc>
          <w:tcPr>
            <w:tcW w:w="78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12.87</w:t>
            </w: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5.94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1.3</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景观绿化</w:t>
            </w:r>
          </w:p>
        </w:tc>
        <w:tc>
          <w:tcPr>
            <w:tcW w:w="63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hm²</w:t>
            </w:r>
          </w:p>
        </w:tc>
        <w:tc>
          <w:tcPr>
            <w:tcW w:w="78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18.81</w:t>
            </w: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940.50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二</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区域规划功能防治区</w:t>
            </w:r>
          </w:p>
        </w:tc>
        <w:tc>
          <w:tcPr>
            <w:tcW w:w="633"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83"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b/>
                <w:bCs/>
                <w:i w:val="0"/>
                <w:iCs w:val="0"/>
                <w:color w:val="auto"/>
                <w:sz w:val="21"/>
                <w:szCs w:val="21"/>
                <w:u w:val="none"/>
              </w:rPr>
            </w:pP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12.12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绿化工程</w:t>
            </w:r>
          </w:p>
        </w:tc>
        <w:tc>
          <w:tcPr>
            <w:tcW w:w="633"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83"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b/>
                <w:bCs/>
                <w:i w:val="0"/>
                <w:iCs w:val="0"/>
                <w:color w:val="auto"/>
                <w:sz w:val="21"/>
                <w:szCs w:val="21"/>
                <w:u w:val="none"/>
              </w:rPr>
            </w:pP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12.12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厂区绿化</w:t>
            </w:r>
          </w:p>
        </w:tc>
        <w:tc>
          <w:tcPr>
            <w:tcW w:w="63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hm²</w:t>
            </w:r>
          </w:p>
        </w:tc>
        <w:tc>
          <w:tcPr>
            <w:tcW w:w="78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0.02</w:t>
            </w: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58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w:t>
            </w:r>
          </w:p>
        </w:tc>
        <w:tc>
          <w:tcPr>
            <w:tcW w:w="168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撒播草籽</w:t>
            </w:r>
          </w:p>
        </w:tc>
        <w:tc>
          <w:tcPr>
            <w:tcW w:w="63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hm²</w:t>
            </w:r>
          </w:p>
        </w:tc>
        <w:tc>
          <w:tcPr>
            <w:tcW w:w="78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26.22</w:t>
            </w:r>
          </w:p>
        </w:tc>
        <w:tc>
          <w:tcPr>
            <w:tcW w:w="1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12.10</w:t>
            </w:r>
          </w:p>
        </w:tc>
      </w:tr>
    </w:tbl>
    <w:p>
      <w:pPr>
        <w:pStyle w:val="143"/>
        <w:adjustRightInd/>
        <w:snapToGrid w:val="0"/>
        <w:spacing w:line="360" w:lineRule="auto"/>
        <w:ind w:firstLine="480" w:firstLineChars="200"/>
        <w:rPr>
          <w:rFonts w:ascii="Times New Roman" w:hAnsi="Times New Roman" w:eastAsia="仿宋_GB2312" w:cs="Times New Roman"/>
          <w:color w:val="auto"/>
          <w:szCs w:val="24"/>
        </w:rPr>
      </w:pPr>
    </w:p>
    <w:p>
      <w:pPr>
        <w:pStyle w:val="143"/>
        <w:adjustRightInd/>
        <w:snapToGrid w:val="0"/>
        <w:spacing w:line="360" w:lineRule="auto"/>
        <w:ind w:firstLine="480" w:firstLineChars="200"/>
        <w:rPr>
          <w:rFonts w:ascii="Times New Roman" w:hAnsi="Times New Roman" w:eastAsia="仿宋_GB2312" w:cs="Times New Roman"/>
          <w:color w:val="auto"/>
          <w:szCs w:val="24"/>
        </w:rPr>
      </w:pPr>
    </w:p>
    <w:bookmarkEnd w:id="271"/>
    <w:bookmarkEnd w:id="272"/>
    <w:bookmarkEnd w:id="273"/>
    <w:p>
      <w:pPr>
        <w:widowControl/>
        <w:jc w:val="left"/>
        <w:rPr>
          <w:rFonts w:ascii="Times New Roman" w:hAnsi="Times New Roman" w:cs="Times New Roman"/>
          <w:color w:val="auto"/>
          <w:sz w:val="28"/>
          <w:szCs w:val="28"/>
        </w:rPr>
        <w:sectPr>
          <w:headerReference r:id="rId24" w:type="default"/>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32" w:charSpace="0"/>
        </w:sectPr>
      </w:pPr>
    </w:p>
    <w:p>
      <w:pPr>
        <w:pStyle w:val="4"/>
        <w:jc w:val="center"/>
        <w:rPr>
          <w:rFonts w:eastAsia="仿宋_GB2312"/>
          <w:color w:val="auto"/>
        </w:rPr>
      </w:pPr>
      <w:bookmarkStart w:id="275" w:name="_Toc514431466"/>
      <w:bookmarkStart w:id="276" w:name="_Toc6751"/>
      <w:bookmarkStart w:id="277" w:name="_Toc514430856"/>
      <w:bookmarkStart w:id="278" w:name="_Toc513476770"/>
      <w:bookmarkStart w:id="279" w:name="_Toc514432610"/>
      <w:bookmarkStart w:id="280" w:name="_Toc514430862"/>
      <w:bookmarkStart w:id="281" w:name="_Toc499039890"/>
      <w:bookmarkStart w:id="282" w:name="_Toc514432616"/>
      <w:bookmarkStart w:id="283" w:name="_Toc514431472"/>
      <w:bookmarkStart w:id="284" w:name="_Toc4276"/>
      <w:bookmarkStart w:id="285" w:name="_Toc1972"/>
      <w:bookmarkStart w:id="286" w:name="_Toc439243930"/>
      <w:bookmarkStart w:id="287" w:name="_Toc499039893"/>
      <w:bookmarkStart w:id="288" w:name="_Toc451799233"/>
      <w:r>
        <w:rPr>
          <w:rFonts w:eastAsia="仿宋_GB2312"/>
          <w:color w:val="auto"/>
        </w:rPr>
        <w:t>4 水土流失分析与预测</w:t>
      </w:r>
      <w:bookmarkEnd w:id="275"/>
      <w:bookmarkEnd w:id="276"/>
      <w:bookmarkEnd w:id="277"/>
      <w:bookmarkEnd w:id="278"/>
      <w:bookmarkEnd w:id="279"/>
    </w:p>
    <w:p>
      <w:pPr>
        <w:pStyle w:val="5"/>
        <w:rPr>
          <w:rFonts w:eastAsia="仿宋_GB2312"/>
          <w:color w:val="auto"/>
        </w:rPr>
      </w:pPr>
      <w:bookmarkStart w:id="289" w:name="_Toc514432611"/>
      <w:bookmarkStart w:id="290" w:name="_Toc514431467"/>
      <w:bookmarkStart w:id="291" w:name="_Toc514430857"/>
      <w:bookmarkStart w:id="292" w:name="_Toc513476771"/>
      <w:bookmarkStart w:id="293" w:name="_Toc29167"/>
      <w:r>
        <w:rPr>
          <w:rFonts w:eastAsia="仿宋_GB2312"/>
          <w:color w:val="auto"/>
        </w:rPr>
        <w:t xml:space="preserve">4.1 </w:t>
      </w:r>
      <w:bookmarkEnd w:id="289"/>
      <w:bookmarkEnd w:id="290"/>
      <w:bookmarkEnd w:id="291"/>
      <w:bookmarkEnd w:id="292"/>
      <w:r>
        <w:rPr>
          <w:rFonts w:eastAsia="仿宋_GB2312"/>
          <w:color w:val="auto"/>
        </w:rPr>
        <w:t>水土流失现状</w:t>
      </w:r>
      <w:bookmarkEnd w:id="293"/>
    </w:p>
    <w:p>
      <w:pPr>
        <w:keepNext/>
        <w:keepLines/>
        <w:spacing w:line="360" w:lineRule="auto"/>
        <w:jc w:val="left"/>
        <w:outlineLvl w:val="2"/>
        <w:rPr>
          <w:rFonts w:ascii="Times New Roman" w:hAnsi="Times New Roman" w:eastAsia="仿宋_GB2312" w:cs="Times New Roman"/>
          <w:b/>
          <w:bCs/>
          <w:color w:val="auto"/>
          <w:kern w:val="10"/>
          <w:sz w:val="30"/>
          <w:szCs w:val="32"/>
        </w:rPr>
      </w:pPr>
      <w:r>
        <w:rPr>
          <w:rFonts w:hint="eastAsia" w:ascii="Times New Roman" w:hAnsi="Times New Roman" w:eastAsia="仿宋_GB2312" w:cs="Times New Roman"/>
          <w:b/>
          <w:bCs/>
          <w:color w:val="auto"/>
          <w:kern w:val="10"/>
          <w:sz w:val="30"/>
          <w:szCs w:val="32"/>
        </w:rPr>
        <w:t>4.1.1 项目区水土流失现状</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根据《江西省水土保持规划（2016-2030年）》、《南昌市水土保持规划（2016~2030年）》和《青山湖区水土保持规划（2016~2030年）》，本规划区位于南昌市青山湖区罗家镇，属青山湖区水土流失重点预防区</w:t>
      </w:r>
      <w:r>
        <w:rPr>
          <w:rFonts w:ascii="Times New Roman" w:hAnsi="Times New Roman" w:eastAsia="仿宋_GB2312" w:cs="Times New Roman"/>
          <w:color w:val="auto"/>
          <w:szCs w:val="24"/>
        </w:rPr>
        <w:t>。</w:t>
      </w:r>
    </w:p>
    <w:p>
      <w:pPr>
        <w:widowControl/>
        <w:snapToGrid w:val="0"/>
        <w:spacing w:line="360" w:lineRule="auto"/>
        <w:ind w:firstLine="480" w:firstLineChars="200"/>
        <w:jc w:val="left"/>
        <w:rPr>
          <w:rFonts w:ascii="Times New Roman" w:hAnsi="Times New Roman" w:eastAsia="仿宋_GB2312" w:cs="Times New Roman"/>
          <w:color w:val="auto"/>
        </w:rPr>
      </w:pPr>
      <w:r>
        <w:rPr>
          <w:rFonts w:ascii="Times New Roman" w:hAnsi="Times New Roman" w:eastAsia="仿宋_GB2312"/>
          <w:color w:val="auto"/>
        </w:rPr>
        <w:t>根据《</w:t>
      </w:r>
      <w:r>
        <w:rPr>
          <w:rFonts w:hint="eastAsia" w:ascii="Times New Roman" w:hAnsi="Times New Roman" w:eastAsia="仿宋_GB2312" w:cs="Times New Roman"/>
          <w:color w:val="auto"/>
          <w:szCs w:val="24"/>
        </w:rPr>
        <w:t>江西省</w:t>
      </w:r>
      <w:r>
        <w:rPr>
          <w:rFonts w:ascii="Times New Roman" w:hAnsi="Times New Roman" w:eastAsia="仿宋_GB2312"/>
          <w:color w:val="auto"/>
        </w:rPr>
        <w:t>水土</w:t>
      </w:r>
      <w:r>
        <w:rPr>
          <w:rFonts w:hint="eastAsia" w:ascii="Times New Roman" w:hAnsi="Times New Roman" w:eastAsia="仿宋_GB2312" w:cs="Times New Roman"/>
          <w:color w:val="auto"/>
          <w:szCs w:val="24"/>
        </w:rPr>
        <w:t>保持</w:t>
      </w:r>
      <w:r>
        <w:rPr>
          <w:rFonts w:ascii="Times New Roman" w:hAnsi="Times New Roman" w:eastAsia="仿宋_GB2312"/>
          <w:color w:val="auto"/>
        </w:rPr>
        <w:t>公报</w:t>
      </w:r>
      <w:r>
        <w:rPr>
          <w:rFonts w:hint="eastAsia" w:ascii="Times New Roman" w:hAnsi="Times New Roman" w:eastAsia="仿宋_GB2312"/>
          <w:color w:val="auto"/>
        </w:rPr>
        <w:t>》（</w:t>
      </w:r>
      <w:r>
        <w:rPr>
          <w:rFonts w:ascii="Times New Roman" w:hAnsi="Times New Roman" w:eastAsia="仿宋_GB2312"/>
          <w:color w:val="auto"/>
        </w:rPr>
        <w:t>20</w:t>
      </w:r>
      <w:r>
        <w:rPr>
          <w:rFonts w:hint="eastAsia" w:ascii="Times New Roman" w:hAnsi="Times New Roman" w:eastAsia="仿宋_GB2312"/>
          <w:color w:val="auto"/>
        </w:rPr>
        <w:t>20</w:t>
      </w:r>
      <w:r>
        <w:rPr>
          <w:rFonts w:ascii="Times New Roman" w:hAnsi="Times New Roman" w:eastAsia="仿宋_GB2312"/>
          <w:color w:val="auto"/>
        </w:rPr>
        <w:t>年</w:t>
      </w:r>
      <w:r>
        <w:rPr>
          <w:rFonts w:hint="eastAsia" w:ascii="Times New Roman" w:hAnsi="Times New Roman" w:eastAsia="仿宋_GB2312"/>
          <w:color w:val="auto"/>
        </w:rPr>
        <w:t>）</w:t>
      </w:r>
      <w:r>
        <w:rPr>
          <w:rFonts w:ascii="Times New Roman" w:hAnsi="Times New Roman" w:eastAsia="仿宋_GB2312"/>
          <w:color w:val="auto"/>
        </w:rPr>
        <w:t>，青山湖区现有土地总面积213.87km</w:t>
      </w:r>
      <w:r>
        <w:rPr>
          <w:rFonts w:ascii="Times New Roman" w:hAnsi="Times New Roman" w:eastAsia="仿宋_GB2312"/>
          <w:color w:val="auto"/>
          <w:vertAlign w:val="superscript"/>
        </w:rPr>
        <w:t>2</w:t>
      </w:r>
      <w:r>
        <w:rPr>
          <w:rFonts w:ascii="Times New Roman" w:hAnsi="Times New Roman" w:eastAsia="仿宋_GB2312"/>
          <w:color w:val="auto"/>
        </w:rPr>
        <w:t>，轻度以上水力侵蚀面积11.</w:t>
      </w:r>
      <w:r>
        <w:rPr>
          <w:rFonts w:hint="eastAsia" w:ascii="Times New Roman" w:hAnsi="Times New Roman" w:eastAsia="仿宋_GB2312"/>
          <w:color w:val="auto"/>
        </w:rPr>
        <w:t>52</w:t>
      </w:r>
      <w:r>
        <w:rPr>
          <w:rFonts w:ascii="Times New Roman" w:hAnsi="Times New Roman" w:eastAsia="仿宋_GB2312"/>
          <w:color w:val="auto"/>
        </w:rPr>
        <w:t>km</w:t>
      </w:r>
      <w:r>
        <w:rPr>
          <w:rFonts w:ascii="Times New Roman" w:hAnsi="Times New Roman" w:eastAsia="仿宋_GB2312"/>
          <w:color w:val="auto"/>
          <w:vertAlign w:val="superscript"/>
        </w:rPr>
        <w:t>2</w:t>
      </w:r>
      <w:r>
        <w:rPr>
          <w:rFonts w:ascii="Times New Roman" w:hAnsi="Times New Roman" w:eastAsia="仿宋_GB2312"/>
          <w:color w:val="auto"/>
        </w:rPr>
        <w:t>，占土地总面积的5.</w:t>
      </w:r>
      <w:r>
        <w:rPr>
          <w:rFonts w:hint="eastAsia" w:ascii="Times New Roman" w:hAnsi="Times New Roman" w:eastAsia="仿宋_GB2312"/>
          <w:color w:val="auto"/>
        </w:rPr>
        <w:t>38</w:t>
      </w:r>
      <w:r>
        <w:rPr>
          <w:rFonts w:ascii="Times New Roman" w:hAnsi="Times New Roman" w:eastAsia="仿宋_GB2312"/>
          <w:color w:val="auto"/>
        </w:rPr>
        <w:t>%，其中：轻度侵蚀水土流失面积</w:t>
      </w:r>
      <w:r>
        <w:rPr>
          <w:rFonts w:hint="eastAsia" w:ascii="Times New Roman" w:hAnsi="Times New Roman" w:eastAsia="仿宋_GB2312"/>
          <w:color w:val="auto"/>
        </w:rPr>
        <w:t>9.72</w:t>
      </w:r>
      <w:r>
        <w:rPr>
          <w:rFonts w:ascii="Times New Roman" w:hAnsi="Times New Roman" w:eastAsia="仿宋_GB2312"/>
          <w:color w:val="auto"/>
        </w:rPr>
        <w:t>km</w:t>
      </w:r>
      <w:r>
        <w:rPr>
          <w:rFonts w:ascii="Times New Roman" w:hAnsi="Times New Roman" w:eastAsia="仿宋_GB2312"/>
          <w:color w:val="auto"/>
          <w:vertAlign w:val="superscript"/>
        </w:rPr>
        <w:t>2</w:t>
      </w:r>
      <w:r>
        <w:rPr>
          <w:rFonts w:ascii="Times New Roman" w:hAnsi="Times New Roman" w:eastAsia="仿宋_GB2312"/>
          <w:color w:val="auto"/>
        </w:rPr>
        <w:t>，占水力侵蚀面积比例</w:t>
      </w:r>
      <w:r>
        <w:rPr>
          <w:rFonts w:hint="eastAsia" w:ascii="Times New Roman" w:hAnsi="Times New Roman" w:eastAsia="仿宋_GB2312"/>
          <w:color w:val="auto"/>
        </w:rPr>
        <w:t>84.38</w:t>
      </w:r>
      <w:r>
        <w:rPr>
          <w:rFonts w:ascii="Times New Roman" w:hAnsi="Times New Roman" w:eastAsia="仿宋_GB2312"/>
          <w:color w:val="auto"/>
        </w:rPr>
        <w:t>%；中度侵蚀水土流失面积</w:t>
      </w:r>
      <w:r>
        <w:rPr>
          <w:rFonts w:hint="eastAsia" w:ascii="Times New Roman" w:hAnsi="Times New Roman" w:eastAsia="仿宋_GB2312"/>
          <w:color w:val="auto"/>
        </w:rPr>
        <w:t>1.30</w:t>
      </w:r>
      <w:r>
        <w:rPr>
          <w:rFonts w:ascii="Times New Roman" w:hAnsi="Times New Roman" w:eastAsia="仿宋_GB2312"/>
          <w:color w:val="auto"/>
        </w:rPr>
        <w:t>km</w:t>
      </w:r>
      <w:r>
        <w:rPr>
          <w:rFonts w:ascii="Times New Roman" w:hAnsi="Times New Roman" w:eastAsia="仿宋_GB2312"/>
          <w:color w:val="auto"/>
          <w:vertAlign w:val="superscript"/>
        </w:rPr>
        <w:t>2</w:t>
      </w:r>
      <w:r>
        <w:rPr>
          <w:rFonts w:ascii="Times New Roman" w:hAnsi="Times New Roman" w:eastAsia="仿宋_GB2312"/>
          <w:color w:val="auto"/>
        </w:rPr>
        <w:t>，占水力侵蚀面积比例11.</w:t>
      </w:r>
      <w:r>
        <w:rPr>
          <w:rFonts w:hint="eastAsia" w:ascii="Times New Roman" w:hAnsi="Times New Roman" w:eastAsia="仿宋_GB2312"/>
          <w:color w:val="auto"/>
        </w:rPr>
        <w:t>28</w:t>
      </w:r>
      <w:r>
        <w:rPr>
          <w:rFonts w:ascii="Times New Roman" w:hAnsi="Times New Roman" w:eastAsia="仿宋_GB2312"/>
          <w:color w:val="auto"/>
        </w:rPr>
        <w:t>%；强烈侵蚀水土流失面积0.</w:t>
      </w:r>
      <w:r>
        <w:rPr>
          <w:rFonts w:hint="eastAsia" w:ascii="Times New Roman" w:hAnsi="Times New Roman" w:eastAsia="仿宋_GB2312"/>
          <w:color w:val="auto"/>
        </w:rPr>
        <w:t>50</w:t>
      </w:r>
      <w:r>
        <w:rPr>
          <w:rFonts w:ascii="Times New Roman" w:hAnsi="Times New Roman" w:eastAsia="仿宋_GB2312"/>
          <w:color w:val="auto"/>
        </w:rPr>
        <w:t>km</w:t>
      </w:r>
      <w:r>
        <w:rPr>
          <w:rFonts w:ascii="Times New Roman" w:hAnsi="Times New Roman" w:eastAsia="仿宋_GB2312"/>
          <w:color w:val="auto"/>
          <w:vertAlign w:val="superscript"/>
        </w:rPr>
        <w:t>2</w:t>
      </w:r>
      <w:r>
        <w:rPr>
          <w:rFonts w:ascii="Times New Roman" w:hAnsi="Times New Roman" w:eastAsia="仿宋_GB2312"/>
          <w:color w:val="auto"/>
        </w:rPr>
        <w:t>，占水力侵蚀面积比例</w:t>
      </w:r>
      <w:r>
        <w:rPr>
          <w:rFonts w:hint="eastAsia" w:ascii="Times New Roman" w:hAnsi="Times New Roman" w:eastAsia="仿宋_GB2312"/>
          <w:color w:val="auto"/>
        </w:rPr>
        <w:t>4.34</w:t>
      </w:r>
      <w:r>
        <w:rPr>
          <w:rFonts w:ascii="Times New Roman" w:hAnsi="Times New Roman" w:eastAsia="仿宋_GB2312"/>
          <w:color w:val="auto"/>
        </w:rPr>
        <w:t>%。详见表4</w:t>
      </w:r>
      <w:r>
        <w:rPr>
          <w:rFonts w:hint="eastAsia" w:ascii="Times New Roman" w:hAnsi="Times New Roman" w:eastAsia="仿宋_GB2312"/>
          <w:color w:val="auto"/>
        </w:rPr>
        <w:t>.1</w:t>
      </w:r>
      <w:r>
        <w:rPr>
          <w:rFonts w:ascii="Times New Roman" w:hAnsi="Times New Roman" w:eastAsia="仿宋_GB2312"/>
          <w:color w:val="auto"/>
        </w:rPr>
        <w:t>-1。</w:t>
      </w:r>
    </w:p>
    <w:p>
      <w:pPr>
        <w:widowControl/>
        <w:snapToGrid w:val="0"/>
        <w:spacing w:line="360" w:lineRule="auto"/>
        <w:ind w:firstLine="482" w:firstLineChars="200"/>
        <w:jc w:val="center"/>
        <w:rPr>
          <w:rFonts w:ascii="Times New Roman" w:hAnsi="Times New Roman" w:eastAsia="仿宋_GB2312" w:cs="Times New Roman"/>
          <w:color w:val="auto"/>
          <w:szCs w:val="21"/>
        </w:rPr>
      </w:pPr>
      <w:r>
        <w:rPr>
          <w:rFonts w:ascii="Times New Roman" w:hAnsi="Times New Roman" w:eastAsia="仿宋_GB2312" w:cs="Times New Roman"/>
          <w:b/>
          <w:bCs/>
          <w:color w:val="auto"/>
        </w:rPr>
        <w:t>表</w:t>
      </w:r>
      <w:r>
        <w:rPr>
          <w:rFonts w:hint="eastAsia" w:ascii="Times New Roman" w:hAnsi="Times New Roman" w:eastAsia="仿宋_GB2312" w:cs="Times New Roman"/>
          <w:b/>
          <w:bCs/>
          <w:color w:val="auto"/>
        </w:rPr>
        <w:t>4.1</w:t>
      </w:r>
      <w:r>
        <w:rPr>
          <w:rFonts w:ascii="Times New Roman" w:hAnsi="Times New Roman" w:eastAsia="仿宋_GB2312" w:cs="Times New Roman"/>
          <w:b/>
          <w:bCs/>
          <w:color w:val="auto"/>
        </w:rPr>
        <w:t>-1</w:t>
      </w:r>
      <w:r>
        <w:rPr>
          <w:rFonts w:hint="eastAsia" w:ascii="Times New Roman" w:hAnsi="Times New Roman" w:eastAsia="仿宋_GB2312" w:cs="Times New Roman"/>
          <w:b/>
          <w:bCs/>
          <w:color w:val="auto"/>
        </w:rPr>
        <w:t>：</w:t>
      </w:r>
      <w:r>
        <w:rPr>
          <w:rFonts w:hint="eastAsia" w:ascii="Times New Roman" w:hAnsi="Times New Roman" w:eastAsia="仿宋_GB2312" w:cs="Times New Roman"/>
          <w:b/>
          <w:bCs/>
          <w:color w:val="auto"/>
          <w:szCs w:val="24"/>
        </w:rPr>
        <w:t>青山湖区</w:t>
      </w:r>
      <w:r>
        <w:rPr>
          <w:rFonts w:ascii="Times New Roman" w:hAnsi="Times New Roman" w:eastAsia="仿宋_GB2312" w:cs="Times New Roman"/>
          <w:b/>
          <w:bCs/>
          <w:color w:val="auto"/>
        </w:rPr>
        <w:t>水土流失现状表</w:t>
      </w:r>
    </w:p>
    <w:tbl>
      <w:tblPr>
        <w:tblStyle w:val="37"/>
        <w:tblW w:w="505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988"/>
        <w:gridCol w:w="932"/>
        <w:gridCol w:w="1347"/>
        <w:gridCol w:w="1461"/>
        <w:gridCol w:w="563"/>
        <w:gridCol w:w="560"/>
        <w:gridCol w:w="722"/>
        <w:gridCol w:w="801"/>
        <w:gridCol w:w="107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84" w:type="pct"/>
            <w:vMerge w:val="restart"/>
            <w:tcBorders>
              <w:tl2br w:val="nil"/>
              <w:tr2bl w:val="nil"/>
            </w:tcBorders>
            <w:noWrap/>
            <w:vAlign w:val="center"/>
          </w:tcPr>
          <w:p>
            <w:pPr>
              <w:snapToGrid w:val="0"/>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项目所在地</w:t>
            </w:r>
          </w:p>
        </w:tc>
        <w:tc>
          <w:tcPr>
            <w:tcW w:w="551" w:type="pct"/>
            <w:vMerge w:val="restart"/>
            <w:tcBorders>
              <w:tl2br w:val="nil"/>
              <w:tr2bl w:val="nil"/>
            </w:tcBorders>
            <w:noWrap/>
            <w:vAlign w:val="center"/>
          </w:tcPr>
          <w:p>
            <w:pPr>
              <w:snapToGrid w:val="0"/>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土地总面积（km</w:t>
            </w:r>
            <w:r>
              <w:rPr>
                <w:rFonts w:ascii="Times New Roman" w:hAnsi="Times New Roman" w:eastAsia="仿宋_GB2312" w:cs="Times New Roman"/>
                <w:b/>
                <w:bCs/>
                <w:color w:val="auto"/>
                <w:sz w:val="21"/>
                <w:szCs w:val="21"/>
                <w:vertAlign w:val="superscript"/>
              </w:rPr>
              <w:t>2</w:t>
            </w:r>
            <w:r>
              <w:rPr>
                <w:rFonts w:ascii="Times New Roman" w:hAnsi="Times New Roman" w:eastAsia="仿宋_GB2312" w:cs="Times New Roman"/>
                <w:b/>
                <w:bCs/>
                <w:color w:val="auto"/>
                <w:sz w:val="21"/>
                <w:szCs w:val="21"/>
              </w:rPr>
              <w:t>）</w:t>
            </w:r>
          </w:p>
        </w:tc>
        <w:tc>
          <w:tcPr>
            <w:tcW w:w="797" w:type="pct"/>
            <w:vMerge w:val="restart"/>
            <w:tcBorders>
              <w:tl2br w:val="nil"/>
              <w:tr2bl w:val="nil"/>
            </w:tcBorders>
            <w:noWrap/>
            <w:vAlign w:val="center"/>
          </w:tcPr>
          <w:p>
            <w:pPr>
              <w:snapToGrid w:val="0"/>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水土流失总面积（km</w:t>
            </w:r>
            <w:r>
              <w:rPr>
                <w:rFonts w:ascii="Times New Roman" w:hAnsi="Times New Roman" w:eastAsia="仿宋_GB2312" w:cs="Times New Roman"/>
                <w:b/>
                <w:bCs/>
                <w:color w:val="auto"/>
                <w:sz w:val="21"/>
                <w:szCs w:val="21"/>
                <w:vertAlign w:val="superscript"/>
              </w:rPr>
              <w:t>2</w:t>
            </w:r>
            <w:r>
              <w:rPr>
                <w:rFonts w:ascii="Times New Roman" w:hAnsi="Times New Roman" w:eastAsia="仿宋_GB2312" w:cs="Times New Roman"/>
                <w:b/>
                <w:bCs/>
                <w:color w:val="auto"/>
                <w:sz w:val="21"/>
                <w:szCs w:val="21"/>
              </w:rPr>
              <w:t>）</w:t>
            </w:r>
          </w:p>
        </w:tc>
        <w:tc>
          <w:tcPr>
            <w:tcW w:w="864" w:type="pct"/>
            <w:vMerge w:val="restart"/>
            <w:tcBorders>
              <w:tl2br w:val="nil"/>
              <w:tr2bl w:val="nil"/>
            </w:tcBorders>
            <w:noWrap/>
            <w:vAlign w:val="center"/>
          </w:tcPr>
          <w:p>
            <w:pPr>
              <w:snapToGrid w:val="0"/>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水土流失面积占土地面积（%）</w:t>
            </w:r>
          </w:p>
        </w:tc>
        <w:tc>
          <w:tcPr>
            <w:tcW w:w="2203" w:type="pct"/>
            <w:gridSpan w:val="5"/>
            <w:tcBorders>
              <w:tl2br w:val="nil"/>
              <w:tr2bl w:val="nil"/>
            </w:tcBorders>
            <w:noWrap/>
            <w:vAlign w:val="center"/>
          </w:tcPr>
          <w:p>
            <w:pPr>
              <w:snapToGrid w:val="0"/>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各级水土流失面积（km</w:t>
            </w:r>
            <w:r>
              <w:rPr>
                <w:rFonts w:ascii="Times New Roman" w:hAnsi="Times New Roman" w:eastAsia="仿宋_GB2312" w:cs="Times New Roman"/>
                <w:b/>
                <w:bCs/>
                <w:color w:val="auto"/>
                <w:sz w:val="21"/>
                <w:szCs w:val="21"/>
                <w:vertAlign w:val="superscript"/>
              </w:rPr>
              <w:t>2</w:t>
            </w:r>
            <w:r>
              <w:rPr>
                <w:rFonts w:ascii="Times New Roman" w:hAnsi="Times New Roman" w:eastAsia="仿宋_GB2312" w:cs="Times New Roman"/>
                <w:b/>
                <w:bCs/>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84" w:type="pct"/>
            <w:vMerge w:val="continue"/>
            <w:tcBorders>
              <w:tl2br w:val="nil"/>
              <w:tr2bl w:val="nil"/>
            </w:tcBorders>
            <w:noWrap/>
            <w:vAlign w:val="center"/>
          </w:tcPr>
          <w:p>
            <w:pPr>
              <w:widowControl/>
              <w:spacing w:line="240" w:lineRule="atLeast"/>
              <w:jc w:val="left"/>
              <w:rPr>
                <w:rFonts w:ascii="Times New Roman" w:hAnsi="Times New Roman" w:eastAsia="仿宋_GB2312" w:cs="Times New Roman"/>
                <w:b/>
                <w:bCs/>
                <w:color w:val="auto"/>
                <w:sz w:val="21"/>
                <w:szCs w:val="21"/>
              </w:rPr>
            </w:pPr>
          </w:p>
        </w:tc>
        <w:tc>
          <w:tcPr>
            <w:tcW w:w="551" w:type="pct"/>
            <w:vMerge w:val="continue"/>
            <w:tcBorders>
              <w:tl2br w:val="nil"/>
              <w:tr2bl w:val="nil"/>
            </w:tcBorders>
            <w:noWrap/>
            <w:vAlign w:val="center"/>
          </w:tcPr>
          <w:p>
            <w:pPr>
              <w:widowControl/>
              <w:spacing w:line="240" w:lineRule="atLeast"/>
              <w:jc w:val="left"/>
              <w:rPr>
                <w:rFonts w:ascii="Times New Roman" w:hAnsi="Times New Roman" w:eastAsia="仿宋_GB2312" w:cs="Times New Roman"/>
                <w:b/>
                <w:bCs/>
                <w:color w:val="auto"/>
                <w:sz w:val="21"/>
                <w:szCs w:val="21"/>
              </w:rPr>
            </w:pPr>
          </w:p>
        </w:tc>
        <w:tc>
          <w:tcPr>
            <w:tcW w:w="797" w:type="pct"/>
            <w:vMerge w:val="continue"/>
            <w:tcBorders>
              <w:tl2br w:val="nil"/>
              <w:tr2bl w:val="nil"/>
            </w:tcBorders>
            <w:noWrap/>
            <w:vAlign w:val="center"/>
          </w:tcPr>
          <w:p>
            <w:pPr>
              <w:widowControl/>
              <w:spacing w:line="240" w:lineRule="atLeast"/>
              <w:jc w:val="left"/>
              <w:rPr>
                <w:rFonts w:ascii="Times New Roman" w:hAnsi="Times New Roman" w:eastAsia="仿宋_GB2312" w:cs="Times New Roman"/>
                <w:b/>
                <w:bCs/>
                <w:color w:val="auto"/>
                <w:sz w:val="21"/>
                <w:szCs w:val="21"/>
              </w:rPr>
            </w:pPr>
          </w:p>
        </w:tc>
        <w:tc>
          <w:tcPr>
            <w:tcW w:w="864" w:type="pct"/>
            <w:vMerge w:val="continue"/>
            <w:tcBorders>
              <w:tl2br w:val="nil"/>
              <w:tr2bl w:val="nil"/>
            </w:tcBorders>
            <w:noWrap/>
            <w:vAlign w:val="center"/>
          </w:tcPr>
          <w:p>
            <w:pPr>
              <w:widowControl/>
              <w:spacing w:line="240" w:lineRule="atLeast"/>
              <w:jc w:val="left"/>
              <w:rPr>
                <w:rFonts w:ascii="Times New Roman" w:hAnsi="Times New Roman" w:eastAsia="仿宋_GB2312" w:cs="Times New Roman"/>
                <w:b/>
                <w:bCs/>
                <w:color w:val="auto"/>
                <w:sz w:val="21"/>
                <w:szCs w:val="21"/>
              </w:rPr>
            </w:pPr>
          </w:p>
        </w:tc>
        <w:tc>
          <w:tcPr>
            <w:tcW w:w="333" w:type="pct"/>
            <w:tcBorders>
              <w:tl2br w:val="nil"/>
              <w:tr2bl w:val="nil"/>
            </w:tcBorders>
            <w:noWrap/>
            <w:vAlign w:val="center"/>
          </w:tcPr>
          <w:p>
            <w:pPr>
              <w:snapToGrid w:val="0"/>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轻度</w:t>
            </w:r>
          </w:p>
        </w:tc>
        <w:tc>
          <w:tcPr>
            <w:tcW w:w="331" w:type="pct"/>
            <w:tcBorders>
              <w:tl2br w:val="nil"/>
              <w:tr2bl w:val="nil"/>
            </w:tcBorders>
            <w:noWrap/>
            <w:vAlign w:val="center"/>
          </w:tcPr>
          <w:p>
            <w:pPr>
              <w:snapToGrid w:val="0"/>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中度</w:t>
            </w:r>
          </w:p>
        </w:tc>
        <w:tc>
          <w:tcPr>
            <w:tcW w:w="427" w:type="pct"/>
            <w:tcBorders>
              <w:tl2br w:val="nil"/>
              <w:tr2bl w:val="nil"/>
            </w:tcBorders>
            <w:noWrap/>
            <w:vAlign w:val="center"/>
          </w:tcPr>
          <w:p>
            <w:pPr>
              <w:snapToGrid w:val="0"/>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强</w:t>
            </w:r>
            <w:r>
              <w:rPr>
                <w:rFonts w:hint="eastAsia" w:ascii="Times New Roman" w:hAnsi="Times New Roman" w:eastAsia="仿宋_GB2312" w:cs="Times New Roman"/>
                <w:b/>
                <w:bCs/>
                <w:color w:val="auto"/>
                <w:sz w:val="21"/>
                <w:szCs w:val="21"/>
              </w:rPr>
              <w:t>烈</w:t>
            </w:r>
          </w:p>
        </w:tc>
        <w:tc>
          <w:tcPr>
            <w:tcW w:w="474" w:type="pct"/>
            <w:tcBorders>
              <w:tl2br w:val="nil"/>
              <w:tr2bl w:val="nil"/>
            </w:tcBorders>
            <w:noWrap/>
            <w:vAlign w:val="center"/>
          </w:tcPr>
          <w:p>
            <w:pPr>
              <w:snapToGrid w:val="0"/>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极强</w:t>
            </w:r>
            <w:r>
              <w:rPr>
                <w:rFonts w:hint="eastAsia" w:ascii="Times New Roman" w:hAnsi="Times New Roman" w:eastAsia="仿宋_GB2312" w:cs="Times New Roman"/>
                <w:b/>
                <w:bCs/>
                <w:color w:val="auto"/>
                <w:sz w:val="21"/>
                <w:szCs w:val="21"/>
              </w:rPr>
              <w:t>烈</w:t>
            </w:r>
          </w:p>
        </w:tc>
        <w:tc>
          <w:tcPr>
            <w:tcW w:w="638" w:type="pct"/>
            <w:tcBorders>
              <w:tl2br w:val="nil"/>
              <w:tr2bl w:val="nil"/>
            </w:tcBorders>
            <w:noWrap/>
            <w:vAlign w:val="center"/>
          </w:tcPr>
          <w:p>
            <w:pPr>
              <w:snapToGrid w:val="0"/>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剧烈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84" w:type="pct"/>
            <w:tcBorders>
              <w:tl2br w:val="nil"/>
              <w:tr2bl w:val="nil"/>
            </w:tcBorders>
            <w:noWrap/>
            <w:vAlign w:val="center"/>
          </w:tcPr>
          <w:p>
            <w:pPr>
              <w:snapToGrid w:val="0"/>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青山湖区</w:t>
            </w:r>
          </w:p>
        </w:tc>
        <w:tc>
          <w:tcPr>
            <w:tcW w:w="551" w:type="pct"/>
            <w:tcBorders>
              <w:tl2br w:val="nil"/>
              <w:tr2bl w:val="nil"/>
            </w:tcBorders>
            <w:noWrap/>
            <w:vAlign w:val="center"/>
          </w:tcPr>
          <w:p>
            <w:pPr>
              <w:snapToGrid w:val="0"/>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213.87</w:t>
            </w:r>
          </w:p>
        </w:tc>
        <w:tc>
          <w:tcPr>
            <w:tcW w:w="797" w:type="pct"/>
            <w:tcBorders>
              <w:tl2br w:val="nil"/>
              <w:tr2bl w:val="nil"/>
            </w:tcBorders>
            <w:noWrap/>
            <w:vAlign w:val="center"/>
          </w:tcPr>
          <w:p>
            <w:pPr>
              <w:snapToGrid w:val="0"/>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11.52</w:t>
            </w:r>
          </w:p>
        </w:tc>
        <w:tc>
          <w:tcPr>
            <w:tcW w:w="864" w:type="pct"/>
            <w:tcBorders>
              <w:tl2br w:val="nil"/>
              <w:tr2bl w:val="nil"/>
            </w:tcBorders>
            <w:noWrap/>
            <w:vAlign w:val="center"/>
          </w:tcPr>
          <w:p>
            <w:pPr>
              <w:snapToGrid w:val="0"/>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5.38</w:t>
            </w:r>
          </w:p>
        </w:tc>
        <w:tc>
          <w:tcPr>
            <w:tcW w:w="333" w:type="pct"/>
            <w:tcBorders>
              <w:tl2br w:val="nil"/>
              <w:tr2bl w:val="nil"/>
            </w:tcBorders>
            <w:noWrap/>
            <w:vAlign w:val="center"/>
          </w:tcPr>
          <w:p>
            <w:pPr>
              <w:snapToGrid w:val="0"/>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9.72</w:t>
            </w:r>
          </w:p>
        </w:tc>
        <w:tc>
          <w:tcPr>
            <w:tcW w:w="331" w:type="pct"/>
            <w:tcBorders>
              <w:tl2br w:val="nil"/>
              <w:tr2bl w:val="nil"/>
            </w:tcBorders>
            <w:noWrap/>
            <w:vAlign w:val="center"/>
          </w:tcPr>
          <w:p>
            <w:pPr>
              <w:snapToGrid w:val="0"/>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1.30</w:t>
            </w:r>
          </w:p>
        </w:tc>
        <w:tc>
          <w:tcPr>
            <w:tcW w:w="427" w:type="pct"/>
            <w:tcBorders>
              <w:tl2br w:val="nil"/>
              <w:tr2bl w:val="nil"/>
            </w:tcBorders>
            <w:noWrap/>
            <w:vAlign w:val="center"/>
          </w:tcPr>
          <w:p>
            <w:pPr>
              <w:snapToGrid w:val="0"/>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0.50</w:t>
            </w:r>
          </w:p>
        </w:tc>
        <w:tc>
          <w:tcPr>
            <w:tcW w:w="474" w:type="pct"/>
            <w:tcBorders>
              <w:tl2br w:val="nil"/>
              <w:tr2bl w:val="nil"/>
            </w:tcBorders>
            <w:noWrap/>
            <w:vAlign w:val="center"/>
          </w:tcPr>
          <w:p>
            <w:pPr>
              <w:snapToGrid w:val="0"/>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w:t>
            </w:r>
          </w:p>
        </w:tc>
        <w:tc>
          <w:tcPr>
            <w:tcW w:w="638" w:type="pct"/>
            <w:tcBorders>
              <w:tl2br w:val="nil"/>
              <w:tr2bl w:val="nil"/>
            </w:tcBorders>
            <w:noWrap/>
            <w:vAlign w:val="center"/>
          </w:tcPr>
          <w:p>
            <w:pPr>
              <w:snapToGrid w:val="0"/>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w:t>
            </w:r>
          </w:p>
        </w:tc>
      </w:tr>
    </w:tbl>
    <w:p>
      <w:pPr>
        <w:keepNext/>
        <w:keepLines/>
        <w:spacing w:line="360" w:lineRule="auto"/>
        <w:jc w:val="left"/>
        <w:outlineLvl w:val="2"/>
        <w:rPr>
          <w:rFonts w:ascii="Times New Roman" w:hAnsi="Times New Roman" w:eastAsia="仿宋_GB2312" w:cs="Times New Roman"/>
          <w:b/>
          <w:bCs/>
          <w:color w:val="auto"/>
          <w:kern w:val="10"/>
          <w:sz w:val="30"/>
          <w:szCs w:val="32"/>
        </w:rPr>
      </w:pPr>
      <w:r>
        <w:rPr>
          <w:rFonts w:hint="eastAsia" w:ascii="Times New Roman" w:hAnsi="Times New Roman" w:eastAsia="仿宋_GB2312" w:cs="Times New Roman"/>
          <w:b/>
          <w:bCs/>
          <w:color w:val="auto"/>
          <w:kern w:val="10"/>
          <w:sz w:val="30"/>
          <w:szCs w:val="32"/>
        </w:rPr>
        <w:t>4.1.2 规划区水土流失背景值</w:t>
      </w:r>
    </w:p>
    <w:p>
      <w:pPr>
        <w:widowControl/>
        <w:snapToGrid w:val="0"/>
        <w:spacing w:line="360" w:lineRule="auto"/>
        <w:ind w:firstLine="480" w:firstLineChars="200"/>
        <w:jc w:val="left"/>
        <w:rPr>
          <w:rFonts w:ascii="Times New Roman" w:hAnsi="Times New Roman" w:eastAsia="仿宋_GB2312"/>
          <w:color w:val="auto"/>
        </w:rPr>
      </w:pPr>
      <w:r>
        <w:rPr>
          <w:rFonts w:hint="eastAsia" w:ascii="Times New Roman" w:hAnsi="Times New Roman" w:eastAsia="仿宋_GB2312"/>
          <w:color w:val="auto"/>
        </w:rPr>
        <w:t>根据《土壤侵蚀分类分级标准》(SL190-2007)，项目区属南方红壤丘陵区，土壤侵蚀以水力侵蚀为主，容许土壤流失量为500t/(km</w:t>
      </w:r>
      <w:r>
        <w:rPr>
          <w:rFonts w:hint="eastAsia" w:ascii="Times New Roman" w:hAnsi="Times New Roman" w:eastAsia="仿宋_GB2312"/>
          <w:color w:val="auto"/>
          <w:vertAlign w:val="superscript"/>
        </w:rPr>
        <w:t>2</w:t>
      </w:r>
      <w:r>
        <w:rPr>
          <w:rFonts w:hint="eastAsia" w:ascii="宋体" w:hAnsi="宋体" w:cs="宋体"/>
          <w:color w:val="auto"/>
        </w:rPr>
        <w:t>•</w:t>
      </w:r>
      <w:r>
        <w:rPr>
          <w:rFonts w:hint="eastAsia" w:ascii="Times New Roman" w:hAnsi="Times New Roman" w:eastAsia="仿宋_GB2312"/>
          <w:color w:val="auto"/>
        </w:rPr>
        <w:t>a)。</w:t>
      </w:r>
    </w:p>
    <w:p>
      <w:pPr>
        <w:widowControl/>
        <w:snapToGrid w:val="0"/>
        <w:spacing w:line="360" w:lineRule="auto"/>
        <w:ind w:firstLine="480" w:firstLineChars="200"/>
        <w:jc w:val="left"/>
        <w:rPr>
          <w:rFonts w:ascii="Times New Roman" w:hAnsi="Times New Roman" w:eastAsia="仿宋_GB2312" w:cs="Times New Roman"/>
          <w:color w:val="auto"/>
          <w:kern w:val="0"/>
          <w:szCs w:val="24"/>
        </w:rPr>
      </w:pPr>
      <w:r>
        <w:rPr>
          <w:rFonts w:hint="eastAsia" w:ascii="Times New Roman" w:hAnsi="Times New Roman" w:eastAsia="仿宋_GB2312"/>
          <w:color w:val="auto"/>
        </w:rPr>
        <w:t>评估区域位于南昌市青山湖区罗家镇，项目区原土地利用类型为：住宅用地（农村宅基地）、耕地（旱地）、林地（其他林地）、草地（其他草地）、交通运输用地（城镇村道路用地）、水域及水利设施用地（坑塘水面）、工矿仓储用地（工业用地）和其他土地（空闲地）。住宅用地、交通运输用地、工矿仓储用地、水域及水利设施用地主要为硬化区域及水面，无水土流失；耕地现状主要为杂草覆盖，局部种有农作物；林地区域主要为次生灌木，草地主要为杂草，其他草地主要为空闲地。根据《生产建设项</w:t>
      </w:r>
      <w:r>
        <w:rPr>
          <w:rFonts w:ascii="仿宋_GB2312" w:hAnsi="宋体" w:eastAsia="仿宋_GB2312" w:cs="仿宋_GB2312"/>
          <w:color w:val="auto"/>
          <w:kern w:val="0"/>
          <w:szCs w:val="24"/>
        </w:rPr>
        <w:t>目土壤流失量测算导则》（</w:t>
      </w:r>
      <w:r>
        <w:rPr>
          <w:rFonts w:ascii="Times New Roman" w:hAnsi="Times New Roman" w:cs="Times New Roman"/>
          <w:color w:val="auto"/>
          <w:kern w:val="0"/>
          <w:szCs w:val="24"/>
        </w:rPr>
        <w:t>SL773-2018</w:t>
      </w:r>
      <w:r>
        <w:rPr>
          <w:rFonts w:hint="eastAsia" w:ascii="仿宋_GB2312" w:hAnsi="宋体" w:eastAsia="仿宋_GB2312" w:cs="仿宋_GB2312"/>
          <w:color w:val="auto"/>
          <w:kern w:val="0"/>
          <w:szCs w:val="24"/>
        </w:rPr>
        <w:t>）测算扰动前土壤侵蚀量，项目区属于水力侵蚀为主的区域，计算单元扰动前的土壤流失量，经计算得出，项目区年平均土壤侵蚀量为</w:t>
      </w:r>
      <w:r>
        <w:rPr>
          <w:rFonts w:hint="eastAsia" w:ascii="Times New Roman" w:hAnsi="Times New Roman" w:eastAsia="仿宋_GB2312" w:cs="Times New Roman"/>
          <w:color w:val="auto"/>
          <w:kern w:val="0"/>
          <w:szCs w:val="24"/>
          <w:lang w:val="en-US" w:eastAsia="zh-CN"/>
        </w:rPr>
        <w:t>389</w:t>
      </w:r>
      <w:r>
        <w:rPr>
          <w:rFonts w:ascii="Times New Roman" w:hAnsi="Times New Roman" w:cs="Times New Roman"/>
          <w:color w:val="auto"/>
          <w:kern w:val="0"/>
          <w:szCs w:val="24"/>
        </w:rPr>
        <w:t>t</w:t>
      </w:r>
      <w:r>
        <w:rPr>
          <w:rFonts w:hint="eastAsia" w:ascii="仿宋_GB2312" w:hAnsi="宋体" w:eastAsia="仿宋_GB2312" w:cs="仿宋_GB2312"/>
          <w:color w:val="auto"/>
          <w:kern w:val="0"/>
          <w:szCs w:val="24"/>
        </w:rPr>
        <w:t>，土壤侵蚀强度为微度，平均土壤侵蚀模数为</w:t>
      </w:r>
      <w:r>
        <w:rPr>
          <w:rFonts w:hint="eastAsia" w:ascii="Times New Roman" w:hAnsi="Times New Roman" w:eastAsia="仿宋_GB2312" w:cs="Times New Roman"/>
          <w:color w:val="auto"/>
          <w:kern w:val="0"/>
          <w:szCs w:val="24"/>
          <w:lang w:val="en-US" w:eastAsia="zh-CN"/>
        </w:rPr>
        <w:t>389</w:t>
      </w:r>
      <w:r>
        <w:rPr>
          <w:rFonts w:ascii="Times New Roman" w:hAnsi="Times New Roman" w:cs="Times New Roman"/>
          <w:color w:val="auto"/>
          <w:kern w:val="0"/>
          <w:szCs w:val="24"/>
        </w:rPr>
        <w:t>t/km</w:t>
      </w:r>
      <w:r>
        <w:rPr>
          <w:rFonts w:hint="eastAsia" w:ascii="Times New Roman" w:hAnsi="Times New Roman" w:cs="Times New Roman"/>
          <w:color w:val="auto"/>
          <w:kern w:val="0"/>
          <w:szCs w:val="24"/>
          <w:vertAlign w:val="superscript"/>
        </w:rPr>
        <w:t>2</w:t>
      </w:r>
      <w:r>
        <w:rPr>
          <w:rFonts w:ascii="Times New Roman" w:hAnsi="Times New Roman" w:cs="Times New Roman"/>
          <w:color w:val="auto"/>
          <w:kern w:val="0"/>
          <w:szCs w:val="24"/>
        </w:rPr>
        <w:t>•a</w:t>
      </w:r>
      <w:r>
        <w:rPr>
          <w:rFonts w:hint="eastAsia" w:ascii="仿宋_GB2312" w:hAnsi="宋体" w:eastAsia="仿宋_GB2312" w:cs="仿宋_GB2312"/>
          <w:color w:val="auto"/>
          <w:kern w:val="0"/>
          <w:szCs w:val="24"/>
        </w:rPr>
        <w:t>。区域土壤侵蚀背景值详见下表</w:t>
      </w:r>
      <w:r>
        <w:rPr>
          <w:rFonts w:ascii="Times New Roman" w:hAnsi="Times New Roman" w:cs="Times New Roman"/>
          <w:color w:val="auto"/>
          <w:kern w:val="0"/>
          <w:szCs w:val="24"/>
        </w:rPr>
        <w:t>4.1-2</w:t>
      </w:r>
      <w:r>
        <w:rPr>
          <w:rFonts w:hint="eastAsia" w:ascii="仿宋_GB2312" w:hAnsi="宋体" w:eastAsia="仿宋_GB2312" w:cs="仿宋_GB2312"/>
          <w:color w:val="auto"/>
          <w:kern w:val="0"/>
          <w:szCs w:val="24"/>
        </w:rPr>
        <w:t>。</w:t>
      </w:r>
    </w:p>
    <w:p>
      <w:pPr>
        <w:autoSpaceDE w:val="0"/>
        <w:autoSpaceDN w:val="0"/>
        <w:adjustRightInd w:val="0"/>
        <w:spacing w:afterLines="31"/>
        <w:jc w:val="center"/>
        <w:rPr>
          <w:rFonts w:ascii="宋体" w:hAnsi="Times New Roman" w:cs="宋体"/>
          <w:color w:val="auto"/>
          <w:kern w:val="0"/>
          <w:szCs w:val="24"/>
        </w:rPr>
      </w:pPr>
      <w:r>
        <w:rPr>
          <w:rFonts w:ascii="Times New Roman" w:hAnsi="Times New Roman" w:eastAsia="仿宋_GB2312" w:cs="Times New Roman"/>
          <w:b/>
          <w:bCs/>
          <w:color w:val="auto"/>
          <w:kern w:val="0"/>
        </w:rPr>
        <w:t>表</w:t>
      </w:r>
      <w:r>
        <w:rPr>
          <w:rFonts w:hint="eastAsia" w:ascii="Times New Roman" w:hAnsi="Times New Roman" w:eastAsia="仿宋_GB2312" w:cs="Times New Roman"/>
          <w:b/>
          <w:bCs/>
          <w:color w:val="auto"/>
          <w:kern w:val="0"/>
        </w:rPr>
        <w:t>4.1</w:t>
      </w:r>
      <w:r>
        <w:rPr>
          <w:rFonts w:ascii="Times New Roman" w:hAnsi="Times New Roman" w:eastAsia="仿宋_GB2312" w:cs="Times New Roman"/>
          <w:b/>
          <w:bCs/>
          <w:color w:val="auto"/>
          <w:kern w:val="0"/>
        </w:rPr>
        <w:t>-</w:t>
      </w:r>
      <w:r>
        <w:rPr>
          <w:rFonts w:hint="eastAsia" w:ascii="Times New Roman" w:hAnsi="Times New Roman" w:eastAsia="仿宋_GB2312" w:cs="Times New Roman"/>
          <w:b/>
          <w:bCs/>
          <w:color w:val="auto"/>
          <w:kern w:val="0"/>
        </w:rPr>
        <w:t>2：</w:t>
      </w:r>
      <w:r>
        <w:rPr>
          <w:rFonts w:hint="eastAsia" w:ascii="Times New Roman" w:hAnsi="Times New Roman" w:eastAsia="仿宋_GB2312" w:cs="Times New Roman"/>
          <w:b/>
          <w:bCs/>
          <w:color w:val="auto"/>
          <w:kern w:val="0"/>
          <w:szCs w:val="24"/>
        </w:rPr>
        <w:t>区域土壤侵蚀背景值一览</w:t>
      </w:r>
      <w:r>
        <w:rPr>
          <w:rFonts w:ascii="Times New Roman" w:hAnsi="Times New Roman" w:eastAsia="仿宋_GB2312" w:cs="Times New Roman"/>
          <w:b/>
          <w:bCs/>
          <w:color w:val="auto"/>
          <w:kern w:val="0"/>
        </w:rPr>
        <w:t>表</w:t>
      </w:r>
    </w:p>
    <w:tbl>
      <w:tblPr>
        <w:tblStyle w:val="38"/>
        <w:tblW w:w="0" w:type="auto"/>
        <w:tblInd w:w="25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26"/>
        <w:gridCol w:w="1843"/>
        <w:gridCol w:w="2149"/>
        <w:gridCol w:w="196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2126" w:type="dxa"/>
            <w:tcBorders>
              <w:tl2br w:val="nil"/>
              <w:tr2bl w:val="nil"/>
            </w:tcBorders>
            <w:vAlign w:val="center"/>
          </w:tcPr>
          <w:p>
            <w:pPr>
              <w:spacing w:line="240" w:lineRule="atLeast"/>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占地类型</w:t>
            </w:r>
          </w:p>
        </w:tc>
        <w:tc>
          <w:tcPr>
            <w:tcW w:w="1843" w:type="dxa"/>
            <w:tcBorders>
              <w:tl2br w:val="nil"/>
              <w:tr2bl w:val="nil"/>
            </w:tcBorders>
            <w:vAlign w:val="center"/>
          </w:tcPr>
          <w:p>
            <w:pPr>
              <w:spacing w:line="240" w:lineRule="atLeast"/>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面积（hm</w:t>
            </w:r>
            <w:r>
              <w:rPr>
                <w:rFonts w:hint="eastAsia" w:ascii="Times New Roman" w:hAnsi="Times New Roman" w:eastAsia="仿宋_GB2312"/>
                <w:color w:val="auto"/>
                <w:sz w:val="21"/>
                <w:szCs w:val="21"/>
                <w:vertAlign w:val="superscript"/>
              </w:rPr>
              <w:t>2</w:t>
            </w:r>
            <w:r>
              <w:rPr>
                <w:rFonts w:hint="eastAsia" w:ascii="Times New Roman" w:hAnsi="Times New Roman" w:eastAsia="仿宋_GB2312"/>
                <w:color w:val="auto"/>
                <w:sz w:val="21"/>
                <w:szCs w:val="21"/>
              </w:rPr>
              <w:t>）</w:t>
            </w:r>
          </w:p>
        </w:tc>
        <w:tc>
          <w:tcPr>
            <w:tcW w:w="2149" w:type="dxa"/>
            <w:tcBorders>
              <w:tl2br w:val="nil"/>
              <w:tr2bl w:val="nil"/>
            </w:tcBorders>
            <w:vAlign w:val="center"/>
          </w:tcPr>
          <w:p>
            <w:pPr>
              <w:spacing w:line="240" w:lineRule="atLeast"/>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侵蚀模数背景值（</w:t>
            </w:r>
            <w:r>
              <w:rPr>
                <w:rFonts w:ascii="Times New Roman" w:hAnsi="Times New Roman" w:cs="Times New Roman"/>
                <w:color w:val="auto"/>
                <w:kern w:val="0"/>
                <w:sz w:val="21"/>
                <w:szCs w:val="21"/>
              </w:rPr>
              <w:t>t/km</w:t>
            </w:r>
            <w:r>
              <w:rPr>
                <w:rFonts w:hint="eastAsia" w:ascii="Times New Roman" w:hAnsi="Times New Roman" w:cs="Times New Roman"/>
                <w:color w:val="auto"/>
                <w:kern w:val="0"/>
                <w:sz w:val="21"/>
                <w:szCs w:val="21"/>
                <w:vertAlign w:val="superscript"/>
              </w:rPr>
              <w:t>2</w:t>
            </w:r>
            <w:r>
              <w:rPr>
                <w:rFonts w:ascii="Times New Roman" w:hAnsi="Times New Roman" w:cs="Times New Roman"/>
                <w:color w:val="auto"/>
                <w:kern w:val="0"/>
                <w:sz w:val="21"/>
                <w:szCs w:val="21"/>
              </w:rPr>
              <w:t>•a</w:t>
            </w:r>
            <w:r>
              <w:rPr>
                <w:rFonts w:hint="eastAsia" w:ascii="Times New Roman" w:hAnsi="Times New Roman" w:eastAsia="仿宋_GB2312"/>
                <w:color w:val="auto"/>
                <w:sz w:val="21"/>
                <w:szCs w:val="21"/>
              </w:rPr>
              <w:t>）</w:t>
            </w:r>
          </w:p>
        </w:tc>
        <w:tc>
          <w:tcPr>
            <w:tcW w:w="1962" w:type="dxa"/>
            <w:tcBorders>
              <w:tl2br w:val="nil"/>
              <w:tr2bl w:val="nil"/>
            </w:tcBorders>
            <w:vAlign w:val="center"/>
          </w:tcPr>
          <w:p>
            <w:pPr>
              <w:spacing w:line="240" w:lineRule="atLeast"/>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平均土壤侵蚀强度（</w:t>
            </w:r>
            <w:r>
              <w:rPr>
                <w:rFonts w:ascii="Times New Roman" w:hAnsi="Times New Roman" w:cs="Times New Roman"/>
                <w:color w:val="auto"/>
                <w:kern w:val="0"/>
                <w:sz w:val="21"/>
                <w:szCs w:val="21"/>
              </w:rPr>
              <w:t>t/km</w:t>
            </w:r>
            <w:r>
              <w:rPr>
                <w:rFonts w:hint="eastAsia" w:ascii="Times New Roman" w:hAnsi="Times New Roman" w:cs="Times New Roman"/>
                <w:color w:val="auto"/>
                <w:kern w:val="0"/>
                <w:sz w:val="21"/>
                <w:szCs w:val="21"/>
                <w:vertAlign w:val="superscript"/>
              </w:rPr>
              <w:t>2</w:t>
            </w:r>
            <w:r>
              <w:rPr>
                <w:rFonts w:ascii="Times New Roman" w:hAnsi="Times New Roman" w:cs="Times New Roman"/>
                <w:color w:val="auto"/>
                <w:kern w:val="0"/>
                <w:sz w:val="21"/>
                <w:szCs w:val="21"/>
              </w:rPr>
              <w:t>•a</w:t>
            </w:r>
            <w:r>
              <w:rPr>
                <w:rFonts w:hint="eastAsia" w:ascii="Times New Roman" w:hAnsi="Times New Roman" w:eastAsia="仿宋_GB2312"/>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2126" w:type="dxa"/>
            <w:tcBorders>
              <w:tl2br w:val="nil"/>
              <w:tr2bl w:val="nil"/>
            </w:tcBorders>
            <w:vAlign w:val="center"/>
          </w:tcPr>
          <w:p>
            <w:pPr>
              <w:spacing w:line="240" w:lineRule="atLeast"/>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住宅用地</w:t>
            </w:r>
          </w:p>
        </w:tc>
        <w:tc>
          <w:tcPr>
            <w:tcW w:w="1843" w:type="dxa"/>
            <w:tcBorders>
              <w:tl2br w:val="nil"/>
              <w:tr2bl w:val="nil"/>
            </w:tcBorders>
            <w:vAlign w:val="center"/>
          </w:tcPr>
          <w:p>
            <w:pPr>
              <w:keepNext w:val="0"/>
              <w:keepLines w:val="0"/>
              <w:widowControl/>
              <w:suppressLineNumbers w:val="0"/>
              <w:jc w:val="center"/>
              <w:textAlignment w:val="center"/>
              <w:rPr>
                <w:rFonts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5.55</w:t>
            </w:r>
          </w:p>
        </w:tc>
        <w:tc>
          <w:tcPr>
            <w:tcW w:w="2149" w:type="dxa"/>
            <w:tcBorders>
              <w:tl2br w:val="nil"/>
              <w:tr2bl w:val="nil"/>
            </w:tcBorders>
            <w:vAlign w:val="center"/>
          </w:tcPr>
          <w:p>
            <w:pPr>
              <w:keepNext w:val="0"/>
              <w:keepLines w:val="0"/>
              <w:widowControl/>
              <w:suppressLineNumbers w:val="0"/>
              <w:jc w:val="center"/>
              <w:textAlignment w:val="center"/>
              <w:rPr>
                <w:rFonts w:ascii="Times New Roman" w:hAnsi="Times New Roman" w:eastAsia="仿宋_GB2312"/>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187</w:t>
            </w:r>
          </w:p>
        </w:tc>
        <w:tc>
          <w:tcPr>
            <w:tcW w:w="1962" w:type="dxa"/>
            <w:vMerge w:val="restart"/>
            <w:tcBorders>
              <w:tl2br w:val="nil"/>
              <w:tr2bl w:val="nil"/>
            </w:tcBorders>
            <w:vAlign w:val="center"/>
          </w:tcPr>
          <w:p>
            <w:pPr>
              <w:spacing w:line="240" w:lineRule="atLeast"/>
              <w:jc w:val="center"/>
              <w:rPr>
                <w:rFonts w:hint="default" w:ascii="Times New Roman" w:hAnsi="Times New Roman" w:eastAsia="仿宋_GB2312"/>
                <w:color w:val="auto"/>
                <w:sz w:val="21"/>
                <w:szCs w:val="21"/>
                <w:lang w:val="en-US" w:eastAsia="zh-CN"/>
              </w:rPr>
            </w:pPr>
            <w:r>
              <w:rPr>
                <w:rFonts w:hint="eastAsia" w:ascii="Times New Roman" w:hAnsi="Times New Roman" w:eastAsia="仿宋_GB2312"/>
                <w:color w:val="auto"/>
                <w:sz w:val="21"/>
                <w:szCs w:val="21"/>
                <w:lang w:val="en-US" w:eastAsia="zh-CN"/>
              </w:rPr>
              <w:t>389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2126" w:type="dxa"/>
            <w:tcBorders>
              <w:tl2br w:val="nil"/>
              <w:tr2bl w:val="nil"/>
            </w:tcBorders>
            <w:vAlign w:val="center"/>
          </w:tcPr>
          <w:p>
            <w:pPr>
              <w:spacing w:line="240" w:lineRule="atLeast"/>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耕地</w:t>
            </w:r>
          </w:p>
        </w:tc>
        <w:tc>
          <w:tcPr>
            <w:tcW w:w="1843" w:type="dxa"/>
            <w:tcBorders>
              <w:tl2br w:val="nil"/>
              <w:tr2bl w:val="nil"/>
            </w:tcBorders>
            <w:vAlign w:val="center"/>
          </w:tcPr>
          <w:p>
            <w:pPr>
              <w:keepNext w:val="0"/>
              <w:keepLines w:val="0"/>
              <w:widowControl/>
              <w:suppressLineNumbers w:val="0"/>
              <w:jc w:val="center"/>
              <w:textAlignment w:val="center"/>
              <w:rPr>
                <w:rFonts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12.11</w:t>
            </w:r>
          </w:p>
        </w:tc>
        <w:tc>
          <w:tcPr>
            <w:tcW w:w="2149" w:type="dxa"/>
            <w:tcBorders>
              <w:tl2br w:val="nil"/>
              <w:tr2bl w:val="nil"/>
            </w:tcBorders>
            <w:vAlign w:val="center"/>
          </w:tcPr>
          <w:p>
            <w:pPr>
              <w:keepNext w:val="0"/>
              <w:keepLines w:val="0"/>
              <w:widowControl/>
              <w:suppressLineNumbers w:val="0"/>
              <w:jc w:val="center"/>
              <w:textAlignment w:val="center"/>
              <w:rPr>
                <w:rFonts w:ascii="Times New Roman" w:hAnsi="Times New Roman" w:eastAsia="仿宋_GB2312"/>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331</w:t>
            </w:r>
          </w:p>
        </w:tc>
        <w:tc>
          <w:tcPr>
            <w:tcW w:w="1962" w:type="dxa"/>
            <w:vMerge w:val="continue"/>
            <w:tcBorders>
              <w:tl2br w:val="nil"/>
              <w:tr2bl w:val="nil"/>
            </w:tcBorders>
            <w:vAlign w:val="center"/>
          </w:tcPr>
          <w:p>
            <w:pPr>
              <w:spacing w:line="240" w:lineRule="atLeast"/>
              <w:jc w:val="center"/>
              <w:rPr>
                <w:rFonts w:ascii="Times New Roman" w:hAnsi="Times New Roman" w:eastAsia="仿宋_GB2312"/>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26" w:type="dxa"/>
            <w:tcBorders>
              <w:tl2br w:val="nil"/>
              <w:tr2bl w:val="nil"/>
            </w:tcBorders>
            <w:vAlign w:val="center"/>
          </w:tcPr>
          <w:p>
            <w:pPr>
              <w:spacing w:line="240" w:lineRule="atLeast"/>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林地</w:t>
            </w:r>
          </w:p>
        </w:tc>
        <w:tc>
          <w:tcPr>
            <w:tcW w:w="1843" w:type="dxa"/>
            <w:tcBorders>
              <w:tl2br w:val="nil"/>
              <w:tr2bl w:val="nil"/>
            </w:tcBorders>
            <w:vAlign w:val="center"/>
          </w:tcPr>
          <w:p>
            <w:pPr>
              <w:keepNext w:val="0"/>
              <w:keepLines w:val="0"/>
              <w:widowControl/>
              <w:suppressLineNumbers w:val="0"/>
              <w:jc w:val="center"/>
              <w:textAlignment w:val="center"/>
              <w:rPr>
                <w:rFonts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3.06</w:t>
            </w:r>
          </w:p>
        </w:tc>
        <w:tc>
          <w:tcPr>
            <w:tcW w:w="2149" w:type="dxa"/>
            <w:tcBorders>
              <w:tl2br w:val="nil"/>
              <w:tr2bl w:val="nil"/>
            </w:tcBorders>
            <w:vAlign w:val="center"/>
          </w:tcPr>
          <w:p>
            <w:pPr>
              <w:keepNext w:val="0"/>
              <w:keepLines w:val="0"/>
              <w:widowControl/>
              <w:suppressLineNumbers w:val="0"/>
              <w:jc w:val="center"/>
              <w:textAlignment w:val="center"/>
              <w:rPr>
                <w:rFonts w:ascii="Times New Roman" w:hAnsi="Times New Roman" w:eastAsia="仿宋_GB2312"/>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528</w:t>
            </w:r>
          </w:p>
        </w:tc>
        <w:tc>
          <w:tcPr>
            <w:tcW w:w="1962" w:type="dxa"/>
            <w:vMerge w:val="continue"/>
            <w:tcBorders>
              <w:tl2br w:val="nil"/>
              <w:tr2bl w:val="nil"/>
            </w:tcBorders>
            <w:vAlign w:val="center"/>
          </w:tcPr>
          <w:p>
            <w:pPr>
              <w:spacing w:line="240" w:lineRule="atLeast"/>
              <w:jc w:val="center"/>
              <w:rPr>
                <w:rFonts w:ascii="Times New Roman" w:hAnsi="Times New Roman" w:eastAsia="仿宋_GB2312"/>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26" w:type="dxa"/>
            <w:tcBorders>
              <w:tl2br w:val="nil"/>
              <w:tr2bl w:val="nil"/>
            </w:tcBorders>
            <w:vAlign w:val="center"/>
          </w:tcPr>
          <w:p>
            <w:pPr>
              <w:spacing w:line="240" w:lineRule="atLeast"/>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草地</w:t>
            </w:r>
          </w:p>
        </w:tc>
        <w:tc>
          <w:tcPr>
            <w:tcW w:w="1843" w:type="dxa"/>
            <w:tcBorders>
              <w:tl2br w:val="nil"/>
              <w:tr2bl w:val="nil"/>
            </w:tcBorders>
            <w:vAlign w:val="center"/>
          </w:tcPr>
          <w:p>
            <w:pPr>
              <w:keepNext w:val="0"/>
              <w:keepLines w:val="0"/>
              <w:widowControl/>
              <w:suppressLineNumbers w:val="0"/>
              <w:jc w:val="center"/>
              <w:textAlignment w:val="center"/>
              <w:rPr>
                <w:rFonts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1.79</w:t>
            </w:r>
          </w:p>
        </w:tc>
        <w:tc>
          <w:tcPr>
            <w:tcW w:w="2149" w:type="dxa"/>
            <w:tcBorders>
              <w:tl2br w:val="nil"/>
              <w:tr2bl w:val="nil"/>
            </w:tcBorders>
            <w:vAlign w:val="center"/>
          </w:tcPr>
          <w:p>
            <w:pPr>
              <w:keepNext w:val="0"/>
              <w:keepLines w:val="0"/>
              <w:widowControl/>
              <w:suppressLineNumbers w:val="0"/>
              <w:jc w:val="center"/>
              <w:textAlignment w:val="center"/>
              <w:rPr>
                <w:rFonts w:ascii="Times New Roman" w:hAnsi="Times New Roman" w:eastAsia="仿宋_GB2312"/>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654</w:t>
            </w:r>
          </w:p>
        </w:tc>
        <w:tc>
          <w:tcPr>
            <w:tcW w:w="1962" w:type="dxa"/>
            <w:vMerge w:val="continue"/>
            <w:tcBorders>
              <w:tl2br w:val="nil"/>
              <w:tr2bl w:val="nil"/>
            </w:tcBorders>
            <w:vAlign w:val="center"/>
          </w:tcPr>
          <w:p>
            <w:pPr>
              <w:spacing w:line="240" w:lineRule="atLeast"/>
              <w:jc w:val="center"/>
              <w:rPr>
                <w:rFonts w:ascii="Times New Roman" w:hAnsi="Times New Roman" w:eastAsia="仿宋_GB2312"/>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2126" w:type="dxa"/>
            <w:tcBorders>
              <w:tl2br w:val="nil"/>
              <w:tr2bl w:val="nil"/>
            </w:tcBorders>
            <w:vAlign w:val="center"/>
          </w:tcPr>
          <w:p>
            <w:pPr>
              <w:spacing w:line="240" w:lineRule="atLeast"/>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交通运输用地</w:t>
            </w:r>
          </w:p>
        </w:tc>
        <w:tc>
          <w:tcPr>
            <w:tcW w:w="1843" w:type="dxa"/>
            <w:tcBorders>
              <w:tl2br w:val="nil"/>
              <w:tr2bl w:val="nil"/>
            </w:tcBorders>
            <w:vAlign w:val="center"/>
          </w:tcPr>
          <w:p>
            <w:pPr>
              <w:keepNext w:val="0"/>
              <w:keepLines w:val="0"/>
              <w:widowControl/>
              <w:suppressLineNumbers w:val="0"/>
              <w:jc w:val="center"/>
              <w:textAlignment w:val="center"/>
              <w:rPr>
                <w:rFonts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3.93</w:t>
            </w:r>
          </w:p>
        </w:tc>
        <w:tc>
          <w:tcPr>
            <w:tcW w:w="2149" w:type="dxa"/>
            <w:tcBorders>
              <w:tl2br w:val="nil"/>
              <w:tr2bl w:val="nil"/>
            </w:tcBorders>
            <w:vAlign w:val="center"/>
          </w:tcPr>
          <w:p>
            <w:pPr>
              <w:keepNext w:val="0"/>
              <w:keepLines w:val="0"/>
              <w:widowControl/>
              <w:suppressLineNumbers w:val="0"/>
              <w:jc w:val="center"/>
              <w:textAlignment w:val="center"/>
              <w:rPr>
                <w:rFonts w:ascii="Times New Roman" w:hAnsi="Times New Roman" w:eastAsia="仿宋_GB2312"/>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254</w:t>
            </w:r>
          </w:p>
        </w:tc>
        <w:tc>
          <w:tcPr>
            <w:tcW w:w="1962" w:type="dxa"/>
            <w:vMerge w:val="continue"/>
            <w:tcBorders>
              <w:tl2br w:val="nil"/>
              <w:tr2bl w:val="nil"/>
            </w:tcBorders>
            <w:vAlign w:val="center"/>
          </w:tcPr>
          <w:p>
            <w:pPr>
              <w:spacing w:line="240" w:lineRule="atLeast"/>
              <w:jc w:val="center"/>
              <w:rPr>
                <w:rFonts w:ascii="Times New Roman" w:hAnsi="Times New Roman" w:eastAsia="仿宋_GB2312"/>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2126" w:type="dxa"/>
            <w:tcBorders>
              <w:tl2br w:val="nil"/>
              <w:tr2bl w:val="nil"/>
            </w:tcBorders>
            <w:vAlign w:val="center"/>
          </w:tcPr>
          <w:p>
            <w:pPr>
              <w:spacing w:line="240" w:lineRule="atLeast"/>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水域及水利设施用地</w:t>
            </w:r>
          </w:p>
        </w:tc>
        <w:tc>
          <w:tcPr>
            <w:tcW w:w="1843" w:type="dxa"/>
            <w:tcBorders>
              <w:tl2br w:val="nil"/>
              <w:tr2bl w:val="nil"/>
            </w:tcBorders>
            <w:vAlign w:val="center"/>
          </w:tcPr>
          <w:p>
            <w:pPr>
              <w:keepNext w:val="0"/>
              <w:keepLines w:val="0"/>
              <w:widowControl/>
              <w:suppressLineNumbers w:val="0"/>
              <w:jc w:val="center"/>
              <w:textAlignment w:val="center"/>
              <w:rPr>
                <w:rFonts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9.45</w:t>
            </w:r>
          </w:p>
        </w:tc>
        <w:tc>
          <w:tcPr>
            <w:tcW w:w="2149" w:type="dxa"/>
            <w:tcBorders>
              <w:tl2br w:val="nil"/>
              <w:tr2bl w:val="nil"/>
            </w:tcBorders>
            <w:vAlign w:val="center"/>
          </w:tcPr>
          <w:p>
            <w:pPr>
              <w:keepNext w:val="0"/>
              <w:keepLines w:val="0"/>
              <w:widowControl/>
              <w:suppressLineNumbers w:val="0"/>
              <w:jc w:val="center"/>
              <w:textAlignment w:val="center"/>
              <w:rPr>
                <w:rFonts w:ascii="Times New Roman" w:hAnsi="Times New Roman" w:eastAsia="仿宋_GB2312"/>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318</w:t>
            </w:r>
          </w:p>
        </w:tc>
        <w:tc>
          <w:tcPr>
            <w:tcW w:w="1962" w:type="dxa"/>
            <w:vMerge w:val="continue"/>
            <w:tcBorders>
              <w:tl2br w:val="nil"/>
              <w:tr2bl w:val="nil"/>
            </w:tcBorders>
            <w:vAlign w:val="center"/>
          </w:tcPr>
          <w:p>
            <w:pPr>
              <w:spacing w:line="240" w:lineRule="atLeast"/>
              <w:jc w:val="center"/>
              <w:rPr>
                <w:rFonts w:ascii="Times New Roman" w:hAnsi="Times New Roman" w:eastAsia="仿宋_GB2312"/>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26" w:type="dxa"/>
            <w:tcBorders>
              <w:tl2br w:val="nil"/>
              <w:tr2bl w:val="nil"/>
            </w:tcBorders>
            <w:vAlign w:val="center"/>
          </w:tcPr>
          <w:p>
            <w:pPr>
              <w:spacing w:line="240" w:lineRule="atLeast"/>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工矿仓储用地</w:t>
            </w:r>
          </w:p>
        </w:tc>
        <w:tc>
          <w:tcPr>
            <w:tcW w:w="1843" w:type="dxa"/>
            <w:tcBorders>
              <w:tl2br w:val="nil"/>
              <w:tr2bl w:val="nil"/>
            </w:tcBorders>
            <w:vAlign w:val="center"/>
          </w:tcPr>
          <w:p>
            <w:pPr>
              <w:keepNext w:val="0"/>
              <w:keepLines w:val="0"/>
              <w:widowControl/>
              <w:suppressLineNumbers w:val="0"/>
              <w:jc w:val="center"/>
              <w:textAlignment w:val="center"/>
              <w:rPr>
                <w:rFonts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41.65</w:t>
            </w:r>
          </w:p>
        </w:tc>
        <w:tc>
          <w:tcPr>
            <w:tcW w:w="2149" w:type="dxa"/>
            <w:tcBorders>
              <w:tl2br w:val="nil"/>
              <w:tr2bl w:val="nil"/>
            </w:tcBorders>
            <w:vAlign w:val="center"/>
          </w:tcPr>
          <w:p>
            <w:pPr>
              <w:keepNext w:val="0"/>
              <w:keepLines w:val="0"/>
              <w:widowControl/>
              <w:suppressLineNumbers w:val="0"/>
              <w:jc w:val="center"/>
              <w:textAlignment w:val="center"/>
              <w:rPr>
                <w:rFonts w:ascii="Times New Roman" w:hAnsi="Times New Roman" w:eastAsia="仿宋_GB2312"/>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216</w:t>
            </w:r>
          </w:p>
        </w:tc>
        <w:tc>
          <w:tcPr>
            <w:tcW w:w="1962" w:type="dxa"/>
            <w:vMerge w:val="continue"/>
            <w:tcBorders>
              <w:tl2br w:val="nil"/>
              <w:tr2bl w:val="nil"/>
            </w:tcBorders>
            <w:vAlign w:val="center"/>
          </w:tcPr>
          <w:p>
            <w:pPr>
              <w:spacing w:line="240" w:lineRule="atLeast"/>
              <w:jc w:val="center"/>
              <w:rPr>
                <w:rFonts w:ascii="Times New Roman" w:hAnsi="Times New Roman" w:eastAsia="仿宋_GB2312"/>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26" w:type="dxa"/>
            <w:tcBorders>
              <w:tl2br w:val="nil"/>
              <w:tr2bl w:val="nil"/>
            </w:tcBorders>
            <w:vAlign w:val="center"/>
          </w:tcPr>
          <w:p>
            <w:pPr>
              <w:spacing w:line="240" w:lineRule="atLeast"/>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其他土地</w:t>
            </w:r>
          </w:p>
        </w:tc>
        <w:tc>
          <w:tcPr>
            <w:tcW w:w="1843" w:type="dxa"/>
            <w:tcBorders>
              <w:tl2br w:val="nil"/>
              <w:tr2bl w:val="nil"/>
            </w:tcBorders>
            <w:vAlign w:val="center"/>
          </w:tcPr>
          <w:p>
            <w:pPr>
              <w:keepNext w:val="0"/>
              <w:keepLines w:val="0"/>
              <w:widowControl/>
              <w:suppressLineNumbers w:val="0"/>
              <w:jc w:val="center"/>
              <w:textAlignment w:val="center"/>
              <w:rPr>
                <w:rFonts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22.46</w:t>
            </w:r>
          </w:p>
        </w:tc>
        <w:tc>
          <w:tcPr>
            <w:tcW w:w="2149" w:type="dxa"/>
            <w:tcBorders>
              <w:tl2br w:val="nil"/>
              <w:tr2bl w:val="nil"/>
            </w:tcBorders>
            <w:vAlign w:val="center"/>
          </w:tcPr>
          <w:p>
            <w:pPr>
              <w:keepNext w:val="0"/>
              <w:keepLines w:val="0"/>
              <w:widowControl/>
              <w:suppressLineNumbers w:val="0"/>
              <w:jc w:val="center"/>
              <w:textAlignment w:val="center"/>
              <w:rPr>
                <w:rFonts w:ascii="Times New Roman" w:hAnsi="Times New Roman" w:eastAsia="仿宋_GB2312"/>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887</w:t>
            </w:r>
          </w:p>
        </w:tc>
        <w:tc>
          <w:tcPr>
            <w:tcW w:w="1962" w:type="dxa"/>
            <w:vMerge w:val="continue"/>
            <w:tcBorders>
              <w:tl2br w:val="nil"/>
              <w:tr2bl w:val="nil"/>
            </w:tcBorders>
            <w:vAlign w:val="center"/>
          </w:tcPr>
          <w:p>
            <w:pPr>
              <w:spacing w:line="240" w:lineRule="atLeast"/>
              <w:jc w:val="center"/>
              <w:rPr>
                <w:rFonts w:ascii="Times New Roman" w:hAnsi="Times New Roman" w:eastAsia="仿宋_GB2312"/>
                <w:color w:val="auto"/>
                <w:sz w:val="21"/>
                <w:szCs w:val="21"/>
              </w:rPr>
            </w:pPr>
          </w:p>
        </w:tc>
      </w:tr>
    </w:tbl>
    <w:p>
      <w:pPr>
        <w:pStyle w:val="5"/>
        <w:rPr>
          <w:rFonts w:eastAsia="仿宋_GB2312"/>
          <w:color w:val="auto"/>
        </w:rPr>
      </w:pPr>
      <w:bookmarkStart w:id="294" w:name="_Toc7706"/>
      <w:r>
        <w:rPr>
          <w:rFonts w:eastAsia="仿宋_GB2312"/>
          <w:color w:val="auto"/>
        </w:rPr>
        <w:t>4.2 水土流失影响因素分析</w:t>
      </w:r>
      <w:bookmarkEnd w:id="294"/>
    </w:p>
    <w:p>
      <w:pPr>
        <w:pStyle w:val="6"/>
        <w:rPr>
          <w:rFonts w:hint="default" w:eastAsia="仿宋_GB2312"/>
          <w:color w:val="auto"/>
          <w:lang w:val="en-US" w:eastAsia="zh-CN"/>
        </w:rPr>
      </w:pPr>
      <w:r>
        <w:rPr>
          <w:rFonts w:eastAsia="仿宋_GB2312"/>
          <w:color w:val="auto"/>
        </w:rPr>
        <w:t>4.2.1自然条件</w:t>
      </w:r>
    </w:p>
    <w:p>
      <w:pPr>
        <w:snapToGrid w:val="0"/>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szCs w:val="24"/>
        </w:rPr>
        <w:t>（1）地形地貌：</w:t>
      </w: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区域地处为赣抚冲积平原，工程场地总体较为平缓，局部地形略有起伏，场地内分布有水塘</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降雨后径流流速较小，对地表的冲刷较小，产生严重水土流失的危害可能性较小。</w:t>
      </w:r>
    </w:p>
    <w:p>
      <w:pPr>
        <w:snapToGrid w:val="0"/>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szCs w:val="24"/>
        </w:rPr>
        <w:t>（2）土壤：土壤及地面组成物质是决定侵蚀过程和侵蚀强度的内部因素，土壤的抗侵蚀性对水土流失有很大影响，是影响水土流失的直接指标。本项目区成土母质主要以红色粘土为主，项目区域内土壤类型主要为红壤。土层深厚、土质粘重，属于轻度敏感性土壤，可蚀性一般，产生水土流失的危害可能性一般。</w:t>
      </w:r>
    </w:p>
    <w:p>
      <w:pPr>
        <w:snapToGrid w:val="0"/>
        <w:spacing w:line="360" w:lineRule="auto"/>
        <w:ind w:firstLine="480" w:firstLineChars="200"/>
        <w:rPr>
          <w:rFonts w:ascii="Times New Roman" w:hAnsi="Times New Roman" w:eastAsia="仿宋_GB2312" w:cs="Times New Roman"/>
          <w:color w:val="auto"/>
          <w:spacing w:val="-4"/>
          <w:szCs w:val="24"/>
        </w:rPr>
      </w:pPr>
      <w:r>
        <w:rPr>
          <w:rFonts w:ascii="Times New Roman" w:hAnsi="Times New Roman" w:eastAsia="仿宋_GB2312" w:cs="Times New Roman"/>
          <w:color w:val="auto"/>
          <w:szCs w:val="24"/>
        </w:rPr>
        <w:t>（3）植被：</w:t>
      </w:r>
      <w:r>
        <w:rPr>
          <w:rFonts w:ascii="Times New Roman" w:hAnsi="Times New Roman" w:eastAsia="仿宋_GB2312" w:cs="Times New Roman"/>
          <w:color w:val="auto"/>
          <w:spacing w:val="-4"/>
          <w:szCs w:val="24"/>
        </w:rPr>
        <w:t>植被种类及覆盖度是影响土壤抗侵蚀性、抗冲性主要因素之一。</w:t>
      </w:r>
      <w:r>
        <w:rPr>
          <w:rFonts w:hint="eastAsia" w:ascii="Times New Roman" w:hAnsi="Times New Roman" w:eastAsia="仿宋_GB2312" w:cs="Times New Roman"/>
          <w:color w:val="auto"/>
          <w:spacing w:val="-4"/>
          <w:szCs w:val="24"/>
        </w:rPr>
        <w:t>项目区</w:t>
      </w:r>
      <w:r>
        <w:rPr>
          <w:rFonts w:ascii="Times New Roman" w:hAnsi="Times New Roman" w:eastAsia="仿宋_GB2312" w:cs="Times New Roman"/>
          <w:color w:val="auto"/>
          <w:spacing w:val="-4"/>
          <w:szCs w:val="24"/>
        </w:rPr>
        <w:t>原始植被覆盖率为</w:t>
      </w:r>
      <w:r>
        <w:rPr>
          <w:rFonts w:hint="eastAsia" w:ascii="Times New Roman" w:hAnsi="Times New Roman" w:eastAsia="仿宋_GB2312" w:cs="Times New Roman"/>
          <w:color w:val="auto"/>
          <w:spacing w:val="-4"/>
          <w:szCs w:val="24"/>
        </w:rPr>
        <w:t>5</w:t>
      </w:r>
      <w:r>
        <w:rPr>
          <w:rFonts w:ascii="Times New Roman" w:hAnsi="Times New Roman" w:eastAsia="仿宋_GB2312" w:cs="Times New Roman"/>
          <w:color w:val="auto"/>
          <w:spacing w:val="-4"/>
          <w:szCs w:val="24"/>
        </w:rPr>
        <w:t>0%，进场施工后场地内原有植被基本被破坏，</w:t>
      </w:r>
      <w:r>
        <w:rPr>
          <w:rFonts w:hint="eastAsia" w:ascii="Times New Roman" w:hAnsi="Times New Roman" w:eastAsia="仿宋_GB2312" w:cs="Times New Roman"/>
          <w:color w:val="auto"/>
          <w:spacing w:val="-4"/>
          <w:szCs w:val="24"/>
        </w:rPr>
        <w:t>施工</w:t>
      </w:r>
      <w:r>
        <w:rPr>
          <w:rFonts w:ascii="Times New Roman" w:hAnsi="Times New Roman" w:eastAsia="仿宋_GB2312" w:cs="Times New Roman"/>
          <w:color w:val="auto"/>
          <w:spacing w:val="-4"/>
          <w:szCs w:val="24"/>
        </w:rPr>
        <w:t>场地</w:t>
      </w:r>
      <w:r>
        <w:rPr>
          <w:rFonts w:ascii="Times New Roman" w:hAnsi="Times New Roman" w:eastAsia="仿宋_GB2312" w:cs="Times New Roman"/>
          <w:color w:val="auto"/>
          <w:szCs w:val="24"/>
        </w:rPr>
        <w:t>地表基本处于裸露状态，径流系数增大，产流量增加，加大了地表径流的侵蚀力，容易造成严重的水土流失。</w:t>
      </w:r>
    </w:p>
    <w:p>
      <w:pPr>
        <w:snapToGrid w:val="0"/>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szCs w:val="24"/>
        </w:rPr>
        <w:t>（4）降雨：降雨量多、雨量集中、降雨强度大是引起水土流失的重要因素。降水量及其强弱直接影响地表径流和水土流失程度，特别是暴雨对土壤破坏作用更为强烈。本项目区地处</w:t>
      </w:r>
      <w:r>
        <w:rPr>
          <w:rFonts w:ascii="Times New Roman" w:hAnsi="Times New Roman" w:eastAsia="仿宋_GB2312" w:cs="Times New Roman"/>
          <w:bCs/>
          <w:color w:val="auto"/>
          <w:szCs w:val="24"/>
        </w:rPr>
        <w:t>亚热带湿润季风气候区</w:t>
      </w:r>
      <w:r>
        <w:rPr>
          <w:rFonts w:ascii="Times New Roman" w:hAnsi="Times New Roman" w:eastAsia="仿宋_GB2312" w:cs="Times New Roman"/>
          <w:color w:val="auto"/>
          <w:szCs w:val="24"/>
        </w:rPr>
        <w:t>，多年平均降雨量</w:t>
      </w:r>
      <w:r>
        <w:rPr>
          <w:rFonts w:ascii="Times New Roman" w:hAnsi="Times New Roman" w:eastAsia="仿宋_GB2312" w:cs="Times New Roman"/>
          <w:color w:val="auto"/>
          <w:kern w:val="10"/>
          <w:szCs w:val="24"/>
        </w:rPr>
        <w:t>1589</w:t>
      </w:r>
      <w:r>
        <w:rPr>
          <w:rFonts w:ascii="Times New Roman" w:hAnsi="Times New Roman" w:eastAsia="仿宋_GB2312" w:cs="Times New Roman"/>
          <w:color w:val="auto"/>
          <w:szCs w:val="24"/>
        </w:rPr>
        <w:t>mm，降雨主要集中在4~6月份，且多以大雨、暴雨的形式出现，降雨强度较大。项目区丰富的降水和较频繁的暴雨构成了强大的侵蚀动力，极易造成水土流失。</w:t>
      </w:r>
    </w:p>
    <w:p>
      <w:pPr>
        <w:pStyle w:val="6"/>
        <w:rPr>
          <w:rFonts w:eastAsia="仿宋_GB2312"/>
          <w:color w:val="auto"/>
        </w:rPr>
      </w:pPr>
      <w:r>
        <w:rPr>
          <w:rFonts w:eastAsia="仿宋_GB2312"/>
          <w:color w:val="auto"/>
        </w:rPr>
        <w:t>4.2.2</w:t>
      </w:r>
      <w:r>
        <w:rPr>
          <w:rFonts w:hint="eastAsia" w:eastAsia="仿宋_GB2312"/>
          <w:color w:val="auto"/>
        </w:rPr>
        <w:t>人为活动</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本工程区域路网施工，区域“五通一平”等施工将扰动原地貌，损坏原有地表植被，破坏土壤结构，直接降低或损毁原有土地的水土保持功能；同时造成地表裸露，使得降雨形成的地表径流量增大，地表径流侵蚀力增加，容易加剧水土流失。区域平整期间产生大量土石方需进行临时堆存，土方临时堆存期间若不采取必要的防护措施，在降雨及重力的作用下，将造成大量水土流失。</w:t>
      </w:r>
    </w:p>
    <w:p>
      <w:pPr>
        <w:pStyle w:val="6"/>
        <w:rPr>
          <w:rFonts w:eastAsia="仿宋_GB2312"/>
          <w:color w:val="auto"/>
        </w:rPr>
      </w:pPr>
      <w:r>
        <w:rPr>
          <w:rFonts w:eastAsia="仿宋_GB2312"/>
          <w:color w:val="auto"/>
        </w:rPr>
        <w:t>4.2.</w:t>
      </w:r>
      <w:r>
        <w:rPr>
          <w:rFonts w:hint="eastAsia" w:eastAsia="仿宋_GB2312"/>
          <w:color w:val="auto"/>
        </w:rPr>
        <w:t>3工程建设对水土流失的影响</w:t>
      </w:r>
    </w:p>
    <w:p>
      <w:pPr>
        <w:widowControl/>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（1）</w:t>
      </w:r>
      <w:r>
        <w:rPr>
          <w:rFonts w:ascii="Times New Roman" w:hAnsi="Times New Roman" w:eastAsia="仿宋_GB2312" w:cs="Times New Roman"/>
          <w:color w:val="auto"/>
          <w:szCs w:val="24"/>
        </w:rPr>
        <w:t>扰动原地貌、损坏土地和植被情况</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lang w:eastAsia="zh-CN"/>
        </w:rPr>
        <w:t>通过查阅项目技术资料、设计图纸和现场勘查，本工程总占地面积为</w:t>
      </w:r>
      <w:r>
        <w:rPr>
          <w:rFonts w:hint="eastAsia" w:ascii="Times New Roman" w:hAnsi="Times New Roman" w:eastAsia="仿宋_GB2312" w:cs="Times New Roman"/>
          <w:color w:val="auto"/>
          <w:szCs w:val="24"/>
          <w:lang w:val="en-US" w:eastAsia="zh-CN"/>
        </w:rPr>
        <w:t>100</w:t>
      </w:r>
      <w:r>
        <w:rPr>
          <w:rFonts w:ascii="Times New Roman" w:hAnsi="Times New Roman" w:eastAsia="仿宋_GB2312" w:cs="Times New Roman"/>
          <w:color w:val="auto"/>
          <w:szCs w:val="24"/>
        </w:rPr>
        <w:t>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vertAlign w:val="baseline"/>
          <w:lang w:eastAsia="zh-CN"/>
        </w:rPr>
        <w:t>，确定本工程建设对地表造成扰动面积为</w:t>
      </w:r>
      <w:r>
        <w:rPr>
          <w:rFonts w:hint="eastAsia" w:ascii="Times New Roman" w:hAnsi="Times New Roman" w:eastAsia="仿宋_GB2312" w:cs="Times New Roman"/>
          <w:color w:val="auto"/>
          <w:szCs w:val="24"/>
          <w:lang w:val="en-US" w:eastAsia="zh-CN"/>
        </w:rPr>
        <w:t>100</w:t>
      </w:r>
      <w:r>
        <w:rPr>
          <w:rFonts w:ascii="Times New Roman" w:hAnsi="Times New Roman" w:eastAsia="仿宋_GB2312" w:cs="Times New Roman"/>
          <w:color w:val="auto"/>
          <w:szCs w:val="24"/>
        </w:rPr>
        <w:t>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vertAlign w:val="baseline"/>
          <w:lang w:eastAsia="zh-CN"/>
        </w:rPr>
        <w:t>，</w:t>
      </w:r>
      <w:r>
        <w:rPr>
          <w:rFonts w:hint="eastAsia" w:ascii="Times New Roman" w:hAnsi="Times New Roman" w:eastAsia="仿宋_GB2312" w:cs="Times New Roman"/>
          <w:color w:val="auto"/>
          <w:szCs w:val="24"/>
        </w:rPr>
        <w:t>工程施工期间损坏植被面积约16.96</w:t>
      </w:r>
      <w:r>
        <w:rPr>
          <w:rFonts w:ascii="Times New Roman" w:hAnsi="Times New Roman" w:eastAsia="仿宋_GB2312" w:cs="Times New Roman"/>
          <w:color w:val="auto"/>
          <w:szCs w:val="24"/>
        </w:rPr>
        <w:t>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（其中耕地12.11</w:t>
      </w:r>
      <w:r>
        <w:rPr>
          <w:rFonts w:ascii="Times New Roman" w:hAnsi="Times New Roman" w:eastAsia="仿宋_GB2312" w:cs="Times New Roman"/>
          <w:color w:val="auto"/>
          <w:szCs w:val="24"/>
        </w:rPr>
        <w:t>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，林地3.06</w:t>
      </w:r>
      <w:r>
        <w:rPr>
          <w:rFonts w:ascii="Times New Roman" w:hAnsi="Times New Roman" w:eastAsia="仿宋_GB2312" w:cs="Times New Roman"/>
          <w:color w:val="auto"/>
          <w:szCs w:val="24"/>
        </w:rPr>
        <w:t>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，草地1.79</w:t>
      </w:r>
      <w:r>
        <w:rPr>
          <w:rFonts w:ascii="Times New Roman" w:hAnsi="Times New Roman" w:eastAsia="仿宋_GB2312" w:cs="Times New Roman"/>
          <w:color w:val="auto"/>
          <w:szCs w:val="24"/>
        </w:rPr>
        <w:t>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w:t>
      </w:r>
    </w:p>
    <w:p>
      <w:pPr>
        <w:widowControl/>
        <w:snapToGrid w:val="0"/>
        <w:spacing w:line="360" w:lineRule="auto"/>
        <w:jc w:val="center"/>
        <w:rPr>
          <w:rFonts w:ascii="Times New Roman" w:hAnsi="Times New Roman" w:eastAsia="仿宋_GB2312" w:cs="Times New Roman"/>
          <w:color w:val="auto"/>
          <w:szCs w:val="24"/>
        </w:rPr>
      </w:pPr>
      <w:r>
        <w:rPr>
          <w:rFonts w:ascii="Times New Roman" w:hAnsi="Times New Roman" w:eastAsia="仿宋_GB2312" w:cs="Times New Roman"/>
          <w:b/>
          <w:color w:val="auto"/>
          <w:szCs w:val="24"/>
        </w:rPr>
        <w:t>表4</w:t>
      </w:r>
      <w:r>
        <w:rPr>
          <w:rFonts w:hint="eastAsia" w:ascii="Times New Roman" w:hAnsi="Times New Roman" w:eastAsia="仿宋_GB2312" w:cs="Times New Roman"/>
          <w:b/>
          <w:color w:val="auto"/>
          <w:szCs w:val="24"/>
        </w:rPr>
        <w:t>.</w:t>
      </w:r>
      <w:r>
        <w:rPr>
          <w:rFonts w:ascii="Times New Roman" w:hAnsi="Times New Roman" w:eastAsia="仿宋_GB2312" w:cs="Times New Roman"/>
          <w:b/>
          <w:color w:val="auto"/>
          <w:szCs w:val="24"/>
        </w:rPr>
        <w:t>2-1：扰动地表、损毁植被面积预测表（单位：hm</w:t>
      </w:r>
      <w:r>
        <w:rPr>
          <w:rFonts w:ascii="Times New Roman" w:hAnsi="Times New Roman" w:eastAsia="仿宋_GB2312" w:cs="Times New Roman"/>
          <w:b/>
          <w:color w:val="auto"/>
          <w:szCs w:val="24"/>
          <w:vertAlign w:val="superscript"/>
        </w:rPr>
        <w:t>2</w:t>
      </w:r>
      <w:r>
        <w:rPr>
          <w:rFonts w:ascii="Times New Roman" w:hAnsi="Times New Roman" w:eastAsia="仿宋_GB2312" w:cs="Times New Roman"/>
          <w:b/>
          <w:color w:val="auto"/>
          <w:szCs w:val="24"/>
        </w:rPr>
        <w:t>）</w:t>
      </w:r>
    </w:p>
    <w:tbl>
      <w:tblPr>
        <w:tblStyle w:val="3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38"/>
        <w:gridCol w:w="1171"/>
        <w:gridCol w:w="2410"/>
        <w:gridCol w:w="1134"/>
        <w:gridCol w:w="1559"/>
        <w:gridCol w:w="161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7" w:hRule="atLeast"/>
          <w:tblHeader/>
          <w:jc w:val="center"/>
        </w:trPr>
        <w:tc>
          <w:tcPr>
            <w:tcW w:w="638" w:type="dxa"/>
            <w:shd w:val="clear" w:color="auto" w:fill="auto"/>
            <w:noWrap/>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序号</w:t>
            </w:r>
          </w:p>
        </w:tc>
        <w:tc>
          <w:tcPr>
            <w:tcW w:w="3581" w:type="dxa"/>
            <w:gridSpan w:val="2"/>
            <w:shd w:val="clear" w:color="auto" w:fill="auto"/>
            <w:noWrap/>
            <w:vAlign w:val="center"/>
          </w:tcPr>
          <w:p>
            <w:pPr>
              <w:jc w:val="center"/>
              <w:rPr>
                <w:rFonts w:ascii="Times New Roman" w:hAnsi="Times New Roman" w:eastAsia="仿宋_GB2312" w:cs="Times New Roman"/>
                <w:b/>
                <w:color w:val="auto"/>
                <w:kern w:val="0"/>
                <w:sz w:val="21"/>
                <w:szCs w:val="21"/>
              </w:rPr>
            </w:pPr>
            <w:r>
              <w:rPr>
                <w:rFonts w:hint="eastAsia" w:ascii="Times New Roman" w:hAnsi="Times New Roman" w:eastAsia="仿宋_GB2312" w:cs="Times New Roman"/>
                <w:b/>
                <w:color w:val="auto"/>
                <w:kern w:val="0"/>
                <w:sz w:val="21"/>
                <w:szCs w:val="21"/>
              </w:rPr>
              <w:t>区域</w:t>
            </w:r>
            <w:r>
              <w:rPr>
                <w:rFonts w:ascii="Times New Roman" w:hAnsi="Times New Roman" w:eastAsia="仿宋_GB2312" w:cs="Times New Roman"/>
                <w:b/>
                <w:color w:val="auto"/>
                <w:kern w:val="0"/>
                <w:sz w:val="21"/>
                <w:szCs w:val="21"/>
              </w:rPr>
              <w:t>组成</w:t>
            </w:r>
          </w:p>
        </w:tc>
        <w:tc>
          <w:tcPr>
            <w:tcW w:w="1134" w:type="dxa"/>
            <w:vAlign w:val="center"/>
          </w:tcPr>
          <w:p>
            <w:pPr>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占地面积</w:t>
            </w:r>
          </w:p>
        </w:tc>
        <w:tc>
          <w:tcPr>
            <w:tcW w:w="1559" w:type="dxa"/>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kern w:val="0"/>
                <w:sz w:val="21"/>
                <w:szCs w:val="21"/>
              </w:rPr>
              <w:t>扰动地表面积</w:t>
            </w:r>
          </w:p>
        </w:tc>
        <w:tc>
          <w:tcPr>
            <w:tcW w:w="1610" w:type="dxa"/>
            <w:shd w:val="clear" w:color="auto" w:fill="auto"/>
            <w:vAlign w:val="center"/>
          </w:tcPr>
          <w:p>
            <w:pPr>
              <w:widowControl/>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损毁植被面积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blHeader/>
          <w:jc w:val="center"/>
        </w:trPr>
        <w:tc>
          <w:tcPr>
            <w:tcW w:w="638" w:type="dxa"/>
            <w:vMerge w:val="restart"/>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w:t>
            </w:r>
          </w:p>
        </w:tc>
        <w:tc>
          <w:tcPr>
            <w:tcW w:w="1171" w:type="dxa"/>
            <w:vMerge w:val="restart"/>
            <w:shd w:val="clear" w:color="auto" w:fill="auto"/>
            <w:noWrap/>
            <w:vAlign w:val="center"/>
          </w:tcPr>
          <w:p>
            <w:pPr>
              <w:adjustRightInd w:val="0"/>
              <w:snapToGrid w:val="0"/>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公共基础设施区</w:t>
            </w:r>
          </w:p>
        </w:tc>
        <w:tc>
          <w:tcPr>
            <w:tcW w:w="2410" w:type="dxa"/>
            <w:vAlign w:val="center"/>
          </w:tcPr>
          <w:p>
            <w:pPr>
              <w:widowControl/>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道路与交通设施用地区</w:t>
            </w:r>
          </w:p>
        </w:tc>
        <w:tc>
          <w:tcPr>
            <w:tcW w:w="1134" w:type="dxa"/>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11.66</w:t>
            </w:r>
          </w:p>
        </w:tc>
        <w:tc>
          <w:tcPr>
            <w:tcW w:w="1559" w:type="dxa"/>
            <w:shd w:val="clear" w:color="auto" w:fill="FFFFFF" w:themeFill="background1"/>
            <w:vAlign w:val="center"/>
          </w:tcPr>
          <w:p>
            <w:pPr>
              <w:jc w:val="center"/>
              <w:rPr>
                <w:rFonts w:ascii="Times New Roman" w:hAnsi="Times New Roman" w:eastAsia="仿宋_GB2312" w:cs="Times New Roman"/>
                <w:color w:val="auto"/>
                <w:kern w:val="2"/>
                <w:sz w:val="21"/>
                <w:szCs w:val="21"/>
                <w:lang w:val="en-US" w:eastAsia="zh-CN" w:bidi="ar-SA"/>
              </w:rPr>
            </w:pPr>
            <w:r>
              <w:rPr>
                <w:rFonts w:hint="eastAsia" w:ascii="Times New Roman" w:hAnsi="Times New Roman" w:eastAsia="仿宋_GB2312" w:cs="Times New Roman"/>
                <w:color w:val="auto"/>
                <w:sz w:val="21"/>
                <w:szCs w:val="21"/>
              </w:rPr>
              <w:t>11.66</w:t>
            </w:r>
          </w:p>
        </w:tc>
        <w:tc>
          <w:tcPr>
            <w:tcW w:w="1610" w:type="dxa"/>
            <w:shd w:val="clear" w:color="auto" w:fill="FFFFFF" w:themeFill="background1"/>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3.44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blHeader/>
          <w:jc w:val="center"/>
        </w:trPr>
        <w:tc>
          <w:tcPr>
            <w:tcW w:w="638" w:type="dxa"/>
            <w:vMerge w:val="continue"/>
            <w:shd w:val="clear" w:color="auto" w:fill="auto"/>
            <w:noWrap/>
            <w:vAlign w:val="center"/>
          </w:tcPr>
          <w:p>
            <w:pPr>
              <w:adjustRightInd w:val="0"/>
              <w:snapToGrid w:val="0"/>
              <w:jc w:val="center"/>
              <w:rPr>
                <w:rFonts w:ascii="Times New Roman" w:hAnsi="Times New Roman" w:eastAsia="仿宋_GB2312" w:cs="Times New Roman"/>
                <w:color w:val="auto"/>
                <w:sz w:val="21"/>
                <w:szCs w:val="21"/>
              </w:rPr>
            </w:pPr>
          </w:p>
        </w:tc>
        <w:tc>
          <w:tcPr>
            <w:tcW w:w="1171" w:type="dxa"/>
            <w:vMerge w:val="continue"/>
            <w:shd w:val="clear" w:color="auto" w:fill="auto"/>
            <w:noWrap/>
            <w:vAlign w:val="center"/>
          </w:tcPr>
          <w:p>
            <w:pPr>
              <w:adjustRightInd w:val="0"/>
              <w:snapToGrid w:val="0"/>
              <w:jc w:val="center"/>
              <w:rPr>
                <w:rFonts w:ascii="Times New Roman" w:hAnsi="Times New Roman" w:eastAsia="仿宋_GB2312" w:cs="Times New Roman"/>
                <w:color w:val="auto"/>
                <w:kern w:val="0"/>
                <w:sz w:val="21"/>
                <w:szCs w:val="21"/>
              </w:rPr>
            </w:pPr>
          </w:p>
        </w:tc>
        <w:tc>
          <w:tcPr>
            <w:tcW w:w="2410" w:type="dxa"/>
            <w:vAlign w:val="center"/>
          </w:tcPr>
          <w:p>
            <w:pPr>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公用设施用地区</w:t>
            </w:r>
          </w:p>
        </w:tc>
        <w:tc>
          <w:tcPr>
            <w:tcW w:w="113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12.87</w:t>
            </w:r>
          </w:p>
        </w:tc>
        <w:tc>
          <w:tcPr>
            <w:tcW w:w="1559" w:type="dxa"/>
            <w:shd w:val="clear" w:color="auto" w:fill="FFFFFF" w:themeFill="background1"/>
            <w:vAlign w:val="center"/>
          </w:tcPr>
          <w:p>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rPr>
              <w:t>12.87</w:t>
            </w:r>
          </w:p>
        </w:tc>
        <w:tc>
          <w:tcPr>
            <w:tcW w:w="1610" w:type="dxa"/>
            <w:shd w:val="clear" w:color="auto" w:fill="FFFFFF" w:themeFill="background1"/>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6.35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tblHeader/>
          <w:jc w:val="center"/>
        </w:trPr>
        <w:tc>
          <w:tcPr>
            <w:tcW w:w="638" w:type="dxa"/>
            <w:vMerge w:val="continue"/>
            <w:shd w:val="clear" w:color="auto" w:fill="auto"/>
            <w:noWrap/>
            <w:vAlign w:val="center"/>
          </w:tcPr>
          <w:p>
            <w:pPr>
              <w:adjustRightInd w:val="0"/>
              <w:snapToGrid w:val="0"/>
              <w:jc w:val="center"/>
              <w:rPr>
                <w:rFonts w:ascii="Times New Roman" w:hAnsi="Times New Roman" w:eastAsia="仿宋_GB2312" w:cs="Times New Roman"/>
                <w:color w:val="auto"/>
                <w:sz w:val="21"/>
                <w:szCs w:val="21"/>
              </w:rPr>
            </w:pPr>
          </w:p>
        </w:tc>
        <w:tc>
          <w:tcPr>
            <w:tcW w:w="1171" w:type="dxa"/>
            <w:vMerge w:val="continue"/>
            <w:shd w:val="clear" w:color="auto" w:fill="auto"/>
            <w:noWrap/>
            <w:vAlign w:val="center"/>
          </w:tcPr>
          <w:p>
            <w:pPr>
              <w:adjustRightInd w:val="0"/>
              <w:snapToGrid w:val="0"/>
              <w:jc w:val="center"/>
              <w:rPr>
                <w:rFonts w:ascii="Times New Roman" w:hAnsi="Times New Roman" w:eastAsia="仿宋_GB2312" w:cs="Times New Roman"/>
                <w:color w:val="auto"/>
                <w:kern w:val="0"/>
                <w:sz w:val="21"/>
                <w:szCs w:val="21"/>
              </w:rPr>
            </w:pPr>
          </w:p>
        </w:tc>
        <w:tc>
          <w:tcPr>
            <w:tcW w:w="2410" w:type="dxa"/>
            <w:vAlign w:val="center"/>
          </w:tcPr>
          <w:p>
            <w:pPr>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绿地区</w:t>
            </w:r>
          </w:p>
        </w:tc>
        <w:tc>
          <w:tcPr>
            <w:tcW w:w="113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20.01</w:t>
            </w:r>
          </w:p>
        </w:tc>
        <w:tc>
          <w:tcPr>
            <w:tcW w:w="1559" w:type="dxa"/>
            <w:shd w:val="clear" w:color="auto" w:fill="FFFFFF" w:themeFill="background1"/>
            <w:vAlign w:val="center"/>
          </w:tcPr>
          <w:p>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rPr>
              <w:t>20.01</w:t>
            </w:r>
          </w:p>
        </w:tc>
        <w:tc>
          <w:tcPr>
            <w:tcW w:w="1610" w:type="dxa"/>
            <w:shd w:val="clear" w:color="auto" w:fill="FFFFFF" w:themeFill="background1"/>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6.07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blHeader/>
          <w:jc w:val="center"/>
        </w:trPr>
        <w:tc>
          <w:tcPr>
            <w:tcW w:w="638" w:type="dxa"/>
            <w:vMerge w:val="restart"/>
            <w:shd w:val="clear" w:color="auto" w:fill="auto"/>
            <w:noWrap/>
            <w:vAlign w:val="center"/>
          </w:tcPr>
          <w:p>
            <w:pPr>
              <w:adjustRightInd w:val="0"/>
              <w:snapToGrid w:val="0"/>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w:t>
            </w:r>
          </w:p>
        </w:tc>
        <w:tc>
          <w:tcPr>
            <w:tcW w:w="1171" w:type="dxa"/>
            <w:vMerge w:val="restart"/>
            <w:shd w:val="clear" w:color="auto" w:fill="auto"/>
            <w:noWrap/>
            <w:vAlign w:val="center"/>
          </w:tcPr>
          <w:p>
            <w:pPr>
              <w:adjustRightInd w:val="0"/>
              <w:snapToGrid w:val="0"/>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区域规划功能区</w:t>
            </w:r>
          </w:p>
        </w:tc>
        <w:tc>
          <w:tcPr>
            <w:tcW w:w="2410" w:type="dxa"/>
            <w:vAlign w:val="center"/>
          </w:tcPr>
          <w:p>
            <w:pPr>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工业用地区</w:t>
            </w:r>
          </w:p>
        </w:tc>
        <w:tc>
          <w:tcPr>
            <w:tcW w:w="113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53.9</w:t>
            </w:r>
          </w:p>
        </w:tc>
        <w:tc>
          <w:tcPr>
            <w:tcW w:w="1559" w:type="dxa"/>
            <w:shd w:val="clear" w:color="auto" w:fill="FFFFFF" w:themeFill="background1"/>
            <w:vAlign w:val="center"/>
          </w:tcPr>
          <w:p>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rPr>
              <w:t>53.9</w:t>
            </w:r>
          </w:p>
        </w:tc>
        <w:tc>
          <w:tcPr>
            <w:tcW w:w="1610" w:type="dxa"/>
            <w:shd w:val="clear" w:color="auto" w:fill="FFFFFF" w:themeFill="background1"/>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blHeader/>
          <w:jc w:val="center"/>
        </w:trPr>
        <w:tc>
          <w:tcPr>
            <w:tcW w:w="638" w:type="dxa"/>
            <w:vMerge w:val="continue"/>
            <w:shd w:val="clear" w:color="auto" w:fill="auto"/>
            <w:noWrap/>
            <w:vAlign w:val="center"/>
          </w:tcPr>
          <w:p>
            <w:pPr>
              <w:adjustRightInd w:val="0"/>
              <w:snapToGrid w:val="0"/>
              <w:jc w:val="center"/>
              <w:rPr>
                <w:rFonts w:ascii="Times New Roman" w:hAnsi="Times New Roman" w:eastAsia="仿宋_GB2312" w:cs="Times New Roman"/>
                <w:color w:val="auto"/>
                <w:sz w:val="21"/>
                <w:szCs w:val="21"/>
              </w:rPr>
            </w:pPr>
          </w:p>
        </w:tc>
        <w:tc>
          <w:tcPr>
            <w:tcW w:w="1171" w:type="dxa"/>
            <w:vMerge w:val="continue"/>
            <w:shd w:val="clear" w:color="auto" w:fill="auto"/>
            <w:noWrap/>
            <w:vAlign w:val="center"/>
          </w:tcPr>
          <w:p>
            <w:pPr>
              <w:adjustRightInd w:val="0"/>
              <w:snapToGrid w:val="0"/>
              <w:jc w:val="center"/>
              <w:rPr>
                <w:rFonts w:ascii="Times New Roman" w:hAnsi="Times New Roman" w:eastAsia="仿宋_GB2312" w:cs="Times New Roman"/>
                <w:color w:val="auto"/>
                <w:kern w:val="0"/>
                <w:sz w:val="21"/>
                <w:szCs w:val="21"/>
              </w:rPr>
            </w:pPr>
          </w:p>
        </w:tc>
        <w:tc>
          <w:tcPr>
            <w:tcW w:w="2410" w:type="dxa"/>
            <w:vAlign w:val="center"/>
          </w:tcPr>
          <w:p>
            <w:pPr>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商业用地区</w:t>
            </w:r>
          </w:p>
        </w:tc>
        <w:tc>
          <w:tcPr>
            <w:tcW w:w="113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1.56</w:t>
            </w:r>
          </w:p>
        </w:tc>
        <w:tc>
          <w:tcPr>
            <w:tcW w:w="1559" w:type="dxa"/>
            <w:shd w:val="clear" w:color="auto" w:fill="FFFFFF" w:themeFill="background1"/>
            <w:vAlign w:val="center"/>
          </w:tcPr>
          <w:p>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rPr>
              <w:t>1.56</w:t>
            </w:r>
          </w:p>
        </w:tc>
        <w:tc>
          <w:tcPr>
            <w:tcW w:w="1610" w:type="dxa"/>
            <w:shd w:val="clear" w:color="auto" w:fill="FFFFFF" w:themeFill="background1"/>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0.06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2" w:hRule="atLeast"/>
          <w:tblHeader/>
          <w:jc w:val="center"/>
        </w:trPr>
        <w:tc>
          <w:tcPr>
            <w:tcW w:w="638" w:type="dxa"/>
            <w:shd w:val="clear" w:color="auto" w:fill="auto"/>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3</w:t>
            </w:r>
          </w:p>
        </w:tc>
        <w:tc>
          <w:tcPr>
            <w:tcW w:w="3581" w:type="dxa"/>
            <w:gridSpan w:val="2"/>
            <w:shd w:val="clear" w:color="auto" w:fill="auto"/>
            <w:noWrap/>
            <w:vAlign w:val="center"/>
          </w:tcPr>
          <w:p>
            <w:pPr>
              <w:jc w:val="center"/>
              <w:rPr>
                <w:rFonts w:ascii="仿宋_GB2312" w:hAnsi="Times New Roman" w:eastAsia="仿宋_GB2312" w:cs="Times New Roman"/>
                <w:color w:val="auto"/>
                <w:sz w:val="21"/>
                <w:szCs w:val="21"/>
              </w:rPr>
            </w:pPr>
            <w:r>
              <w:rPr>
                <w:rFonts w:hint="eastAsia" w:ascii="仿宋_GB2312" w:hAnsi="Times New Roman" w:eastAsia="仿宋_GB2312" w:cs="Times New Roman"/>
                <w:color w:val="auto"/>
                <w:sz w:val="21"/>
                <w:szCs w:val="21"/>
              </w:rPr>
              <w:t>合计</w:t>
            </w:r>
          </w:p>
        </w:tc>
        <w:tc>
          <w:tcPr>
            <w:tcW w:w="113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100</w:t>
            </w:r>
          </w:p>
        </w:tc>
        <w:tc>
          <w:tcPr>
            <w:tcW w:w="1559" w:type="dxa"/>
            <w:shd w:val="clear" w:color="auto" w:fill="FFFFFF" w:themeFill="background1"/>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100</w:t>
            </w:r>
          </w:p>
        </w:tc>
        <w:tc>
          <w:tcPr>
            <w:tcW w:w="1610" w:type="dxa"/>
            <w:shd w:val="clear" w:color="auto" w:fill="FFFFFF" w:themeFill="background1"/>
            <w:noWrap/>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16.96</w:t>
            </w:r>
          </w:p>
        </w:tc>
      </w:tr>
    </w:tbl>
    <w:p>
      <w:pPr>
        <w:widowControl/>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（2）</w:t>
      </w:r>
      <w:r>
        <w:rPr>
          <w:rFonts w:ascii="Times New Roman" w:hAnsi="Times New Roman" w:eastAsia="仿宋_GB2312" w:cs="Times New Roman"/>
          <w:color w:val="auto"/>
          <w:szCs w:val="24"/>
        </w:rPr>
        <w:t>弃渣（砂、石、土）量预测</w:t>
      </w:r>
    </w:p>
    <w:p>
      <w:pPr>
        <w:widowControl/>
        <w:snapToGrid w:val="0"/>
        <w:spacing w:line="360" w:lineRule="auto"/>
        <w:ind w:firstLine="480" w:firstLineChars="200"/>
        <w:jc w:val="left"/>
        <w:rPr>
          <w:rFonts w:ascii="Times New Roman" w:hAnsi="Times New Roman" w:eastAsia="仿宋_GB2312" w:cs="Times New Roman"/>
          <w:color w:val="auto"/>
          <w:szCs w:val="24"/>
        </w:rPr>
      </w:pPr>
      <w:bookmarkStart w:id="295" w:name="_Toc513476773"/>
      <w:r>
        <w:rPr>
          <w:rFonts w:ascii="Times New Roman" w:hAnsi="Times New Roman" w:eastAsia="仿宋_GB2312" w:cs="Times New Roman"/>
          <w:color w:val="auto"/>
          <w:szCs w:val="24"/>
        </w:rPr>
        <w:t>评估</w:t>
      </w:r>
      <w:r>
        <w:rPr>
          <w:rFonts w:hint="eastAsia" w:ascii="Times New Roman" w:hAnsi="Times New Roman" w:eastAsia="仿宋_GB2312" w:cs="Times New Roman"/>
          <w:color w:val="auto"/>
          <w:szCs w:val="24"/>
        </w:rPr>
        <w:t>区域内</w:t>
      </w:r>
      <w:r>
        <w:rPr>
          <w:rFonts w:ascii="Times New Roman" w:hAnsi="Times New Roman" w:eastAsia="仿宋_GB2312" w:cs="Times New Roman"/>
          <w:color w:val="auto"/>
          <w:szCs w:val="24"/>
        </w:rPr>
        <w:t>挖填土石方总量为</w:t>
      </w:r>
      <w:r>
        <w:rPr>
          <w:rFonts w:hint="eastAsia" w:ascii="Times New Roman" w:hAnsi="Times New Roman" w:eastAsia="仿宋_GB2312" w:cs="Times New Roman"/>
          <w:color w:val="auto"/>
          <w:szCs w:val="24"/>
        </w:rPr>
        <w:t>157.77</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，其中开挖土方总量为</w:t>
      </w:r>
      <w:r>
        <w:rPr>
          <w:rFonts w:hint="eastAsia" w:ascii="Times New Roman" w:hAnsi="Times New Roman" w:eastAsia="仿宋_GB2312" w:cs="Times New Roman"/>
          <w:color w:val="auto"/>
          <w:szCs w:val="24"/>
        </w:rPr>
        <w:t>25.91</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（含剥离表土</w:t>
      </w:r>
      <w:r>
        <w:rPr>
          <w:rFonts w:hint="eastAsia" w:ascii="Times New Roman" w:hAnsi="Times New Roman" w:eastAsia="仿宋_GB2312" w:cs="Times New Roman"/>
          <w:color w:val="auto"/>
          <w:szCs w:val="24"/>
        </w:rPr>
        <w:t>4.91</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，淤泥4.73万m</w:t>
      </w:r>
      <w:r>
        <w:rPr>
          <w:rFonts w:hint="eastAsia"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）；回填土方为</w:t>
      </w:r>
      <w:r>
        <w:rPr>
          <w:rFonts w:hint="eastAsia" w:ascii="Times New Roman" w:hAnsi="Times New Roman" w:eastAsia="仿宋_GB2312" w:cs="Times New Roman"/>
          <w:color w:val="auto"/>
          <w:szCs w:val="24"/>
        </w:rPr>
        <w:t>131.86</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（含回覆表土</w:t>
      </w:r>
      <w:r>
        <w:rPr>
          <w:rFonts w:hint="eastAsia" w:ascii="Times New Roman" w:hAnsi="Times New Roman" w:eastAsia="仿宋_GB2312" w:cs="Times New Roman"/>
          <w:color w:val="auto"/>
          <w:szCs w:val="24"/>
        </w:rPr>
        <w:t>4.91</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，淤泥4.73万m</w:t>
      </w:r>
      <w:r>
        <w:rPr>
          <w:rFonts w:hint="eastAsia"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）。经土方内部调配平衡后无</w:t>
      </w:r>
      <w:r>
        <w:rPr>
          <w:rFonts w:hint="eastAsia" w:ascii="Times New Roman" w:hAnsi="Times New Roman" w:eastAsia="仿宋_GB2312" w:cs="Times New Roman"/>
          <w:color w:val="auto"/>
          <w:szCs w:val="24"/>
        </w:rPr>
        <w:t>余方，需借方105.95</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借方结合建设工期和后期实际情况，利用周边区域项目的余土进行回填</w:t>
      </w:r>
      <w:r>
        <w:rPr>
          <w:rFonts w:ascii="Times New Roman" w:hAnsi="Times New Roman" w:eastAsia="仿宋_GB2312" w:cs="Times New Roman"/>
          <w:color w:val="auto"/>
          <w:szCs w:val="24"/>
        </w:rPr>
        <w:t>。</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区域施工过程中</w:t>
      </w:r>
      <w:r>
        <w:rPr>
          <w:rFonts w:hint="eastAsia" w:ascii="Times New Roman" w:hAnsi="Times New Roman" w:eastAsia="仿宋_GB2312" w:cs="Times New Roman"/>
          <w:color w:val="auto"/>
          <w:szCs w:val="24"/>
          <w:lang w:eastAsia="zh-CN"/>
        </w:rPr>
        <w:t>临时堆土场</w:t>
      </w:r>
      <w:r>
        <w:rPr>
          <w:rFonts w:hint="eastAsia" w:ascii="Times New Roman" w:hAnsi="Times New Roman" w:eastAsia="仿宋_GB2312" w:cs="Times New Roman"/>
          <w:color w:val="auto"/>
          <w:szCs w:val="24"/>
        </w:rPr>
        <w:t>用于临时堆存剥离出的表土和水塘中抽水后晾干的淤泥。</w:t>
      </w:r>
      <w:r>
        <w:rPr>
          <w:rFonts w:hint="eastAsia" w:ascii="Times New Roman" w:hAnsi="Times New Roman" w:eastAsia="仿宋_GB2312" w:cs="Times New Roman"/>
          <w:color w:val="auto"/>
          <w:szCs w:val="24"/>
          <w:lang w:eastAsia="zh-CN"/>
        </w:rPr>
        <w:t>其中</w:t>
      </w:r>
      <w:r>
        <w:rPr>
          <w:rFonts w:hint="eastAsia" w:ascii="Times New Roman" w:hAnsi="Times New Roman" w:eastAsia="仿宋_GB2312" w:cs="Times New Roman"/>
          <w:color w:val="auto"/>
          <w:szCs w:val="24"/>
        </w:rPr>
        <w:t>临时表土堆场位于E22地块，临时堆存表土4.91万m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，最大堆高3m，临时表土堆场堆存面积2.45hm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w:t>
      </w:r>
      <w:r>
        <w:rPr>
          <w:rFonts w:hint="eastAsia" w:ascii="Times New Roman" w:hAnsi="Times New Roman" w:eastAsia="仿宋_GB2312" w:cs="Times New Roman"/>
          <w:color w:val="auto"/>
          <w:szCs w:val="24"/>
          <w:lang w:eastAsia="zh-CN"/>
        </w:rPr>
        <w:t>淤泥晾干场</w:t>
      </w:r>
      <w:r>
        <w:rPr>
          <w:rFonts w:hint="eastAsia" w:ascii="Times New Roman" w:hAnsi="Times New Roman" w:eastAsia="仿宋_GB2312" w:cs="Times New Roman"/>
          <w:color w:val="auto"/>
          <w:szCs w:val="24"/>
        </w:rPr>
        <w:t>位于E</w:t>
      </w:r>
      <w:r>
        <w:rPr>
          <w:rFonts w:hint="eastAsia" w:ascii="Times New Roman" w:hAnsi="Times New Roman" w:eastAsia="仿宋_GB2312" w:cs="Times New Roman"/>
          <w:color w:val="auto"/>
          <w:szCs w:val="24"/>
          <w:lang w:val="en-US" w:eastAsia="zh-CN"/>
        </w:rPr>
        <w:t>20</w:t>
      </w:r>
      <w:r>
        <w:rPr>
          <w:rFonts w:hint="eastAsia" w:ascii="Times New Roman" w:hAnsi="Times New Roman" w:eastAsia="仿宋_GB2312" w:cs="Times New Roman"/>
          <w:color w:val="auto"/>
          <w:szCs w:val="24"/>
        </w:rPr>
        <w:t>地块，堆存晾干的淤泥4.73万m</w:t>
      </w:r>
      <w:r>
        <w:rPr>
          <w:rFonts w:hint="eastAsia" w:ascii="Times New Roman" w:hAnsi="Times New Roman" w:eastAsia="仿宋_GB2312" w:cs="Times New Roman"/>
          <w:color w:val="auto"/>
          <w:szCs w:val="24"/>
          <w:vertAlign w:val="superscript"/>
        </w:rPr>
        <w:t>3</w:t>
      </w:r>
      <w:r>
        <w:rPr>
          <w:rFonts w:hint="eastAsia" w:ascii="Times New Roman" w:hAnsi="Times New Roman" w:eastAsia="仿宋_GB2312" w:cs="Times New Roman"/>
          <w:color w:val="auto"/>
          <w:szCs w:val="24"/>
        </w:rPr>
        <w:t>，最大堆高3m，堆存面积2.04hm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w:t>
      </w:r>
    </w:p>
    <w:p>
      <w:pPr>
        <w:pStyle w:val="5"/>
        <w:rPr>
          <w:rFonts w:eastAsia="仿宋_GB2312"/>
          <w:color w:val="auto"/>
        </w:rPr>
      </w:pPr>
      <w:bookmarkStart w:id="296" w:name="_Toc2867"/>
      <w:bookmarkStart w:id="297" w:name="_Toc514432613"/>
      <w:bookmarkStart w:id="298" w:name="_Toc514430859"/>
      <w:bookmarkStart w:id="299" w:name="_Toc514431469"/>
      <w:r>
        <w:rPr>
          <w:rFonts w:eastAsia="仿宋_GB2312"/>
          <w:color w:val="auto"/>
        </w:rPr>
        <w:t>4.3</w:t>
      </w:r>
      <w:r>
        <w:rPr>
          <w:rFonts w:hint="eastAsia" w:eastAsia="仿宋_GB2312"/>
          <w:color w:val="auto"/>
        </w:rPr>
        <w:t>土壤</w:t>
      </w:r>
      <w:r>
        <w:rPr>
          <w:rFonts w:eastAsia="仿宋_GB2312"/>
          <w:color w:val="auto"/>
        </w:rPr>
        <w:t>流失量预测</w:t>
      </w:r>
      <w:bookmarkEnd w:id="295"/>
      <w:bookmarkEnd w:id="296"/>
      <w:bookmarkEnd w:id="297"/>
      <w:bookmarkEnd w:id="298"/>
      <w:bookmarkEnd w:id="299"/>
    </w:p>
    <w:p>
      <w:pPr>
        <w:pStyle w:val="6"/>
        <w:rPr>
          <w:rFonts w:eastAsia="仿宋_GB2312"/>
          <w:bCs w:val="0"/>
          <w:color w:val="auto"/>
        </w:rPr>
      </w:pPr>
      <w:r>
        <w:rPr>
          <w:rFonts w:eastAsia="仿宋_GB2312"/>
          <w:bCs w:val="0"/>
          <w:color w:val="auto"/>
        </w:rPr>
        <w:t>4.3.1预测单元</w:t>
      </w:r>
    </w:p>
    <w:p>
      <w:pPr>
        <w:snapToGrid w:val="0"/>
        <w:spacing w:line="360" w:lineRule="auto"/>
        <w:ind w:firstLine="480" w:firstLineChars="200"/>
        <w:rPr>
          <w:rFonts w:ascii="仿宋_GB2312" w:hAnsi="仿宋_GB2312" w:eastAsia="仿宋_GB2312" w:cs="仿宋_GB2312"/>
          <w:color w:val="auto"/>
          <w:szCs w:val="24"/>
        </w:rPr>
      </w:pPr>
      <w:r>
        <w:rPr>
          <w:rFonts w:hint="eastAsia" w:ascii="Times New Roman" w:hAnsi="Times New Roman" w:eastAsia="仿宋_GB2312" w:cs="Times New Roman"/>
          <w:color w:val="auto"/>
        </w:rPr>
        <w:t>水土流失预测范围为项目建设区范围，预测单元应为工程建设扰动地表的时段、扰动形式总体相同，且扰动强度和特点大体一致的区域。本项目水土流失防治分区满足水土流失预测单元划分要求，预测单元与防治分区一致。同时，</w:t>
      </w:r>
      <w:r>
        <w:rPr>
          <w:rFonts w:hint="eastAsia" w:ascii="Times New Roman" w:hAnsi="Times New Roman" w:eastAsia="仿宋_GB2312" w:cs="Times New Roman"/>
          <w:color w:val="auto"/>
          <w:lang w:eastAsia="zh-CN"/>
        </w:rPr>
        <w:t>在建工程区为</w:t>
      </w:r>
      <w:r>
        <w:rPr>
          <w:rFonts w:hint="eastAsia" w:ascii="Times New Roman" w:hAnsi="Times New Roman" w:eastAsia="仿宋_GB2312" w:cs="Times New Roman"/>
          <w:color w:val="auto"/>
        </w:rPr>
        <w:t>已获得水土保持批复的南昌电子信息（LED）产业创新示范园（二期）一组团项目</w:t>
      </w:r>
      <w:r>
        <w:rPr>
          <w:rFonts w:hint="eastAsia" w:ascii="Times New Roman" w:hAnsi="Times New Roman" w:eastAsia="仿宋_GB2312" w:cs="Times New Roman"/>
          <w:color w:val="auto"/>
          <w:lang w:eastAsia="zh-CN"/>
        </w:rPr>
        <w:t>，</w:t>
      </w:r>
      <w:r>
        <w:rPr>
          <w:rFonts w:hint="eastAsia" w:ascii="仿宋_GB2312" w:hAnsi="仿宋_GB2312" w:eastAsia="仿宋_GB2312" w:cs="仿宋_GB2312"/>
          <w:color w:val="auto"/>
          <w:sz w:val="24"/>
          <w:szCs w:val="24"/>
          <w:lang w:val="en-US" w:eastAsia="zh-CN"/>
        </w:rPr>
        <w:t>其土壤流失量的预测已纳入其批复方案中，本次评估不重新对其进行土壤流失量的预测</w:t>
      </w:r>
      <w:r>
        <w:rPr>
          <w:rFonts w:hint="eastAsia" w:ascii="仿宋_GB2312" w:hAnsi="仿宋_GB2312" w:eastAsia="仿宋_GB2312" w:cs="仿宋_GB2312"/>
          <w:color w:val="auto"/>
          <w:szCs w:val="24"/>
        </w:rPr>
        <w:t>；</w:t>
      </w:r>
      <w:r>
        <w:rPr>
          <w:rFonts w:hint="eastAsia" w:ascii="Times New Roman" w:hAnsi="Times New Roman" w:eastAsia="仿宋_GB2312" w:cs="Times New Roman"/>
          <w:color w:val="auto"/>
        </w:rPr>
        <w:t>园区中已建成道路经十八路（谢佛路至杨家山路段）和杨家山路（西总干渠至南嵩路段）</w:t>
      </w:r>
      <w:r>
        <w:rPr>
          <w:rFonts w:hint="eastAsia" w:ascii="Times New Roman" w:hAnsi="Times New Roman" w:eastAsia="仿宋_GB2312" w:cs="Times New Roman"/>
          <w:color w:val="auto"/>
          <w:lang w:eastAsia="zh-CN"/>
        </w:rPr>
        <w:t>和</w:t>
      </w:r>
      <w:r>
        <w:rPr>
          <w:rFonts w:hint="eastAsia" w:ascii="Times New Roman" w:hAnsi="Times New Roman" w:eastAsia="仿宋_GB2312" w:cs="Times New Roman"/>
          <w:color w:val="auto"/>
        </w:rPr>
        <w:t>E11地块已建成的项目仅进行估算，其估算单元面积</w:t>
      </w:r>
      <w:r>
        <w:rPr>
          <w:rFonts w:hint="eastAsia" w:ascii="Times New Roman" w:hAnsi="Times New Roman" w:eastAsia="仿宋_GB2312" w:cs="Times New Roman"/>
          <w:color w:val="auto"/>
          <w:lang w:eastAsia="zh-CN"/>
        </w:rPr>
        <w:t>分别</w:t>
      </w:r>
      <w:r>
        <w:rPr>
          <w:rFonts w:hint="eastAsia" w:ascii="Times New Roman" w:hAnsi="Times New Roman" w:eastAsia="仿宋_GB2312" w:cs="Times New Roman"/>
          <w:color w:val="auto"/>
        </w:rPr>
        <w:t>为</w:t>
      </w:r>
      <w:r>
        <w:rPr>
          <w:rFonts w:hint="eastAsia" w:ascii="Times New Roman" w:hAnsi="Times New Roman" w:eastAsia="仿宋_GB2312" w:cs="Times New Roman"/>
          <w:color w:val="auto"/>
          <w:lang w:val="en-US" w:eastAsia="zh-CN"/>
        </w:rPr>
        <w:t>3.93</w:t>
      </w:r>
      <w:r>
        <w:rPr>
          <w:rFonts w:ascii="Times New Roman" w:hAnsi="Times New Roman" w:eastAsia="仿宋_GB2312" w:cs="Times New Roman"/>
          <w:color w:val="auto"/>
          <w:szCs w:val="24"/>
        </w:rPr>
        <w:t>hm</w:t>
      </w:r>
      <w:r>
        <w:rPr>
          <w:rFonts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lang w:val="en-US" w:eastAsia="zh-CN"/>
        </w:rPr>
        <w:t>和</w:t>
      </w:r>
      <w:r>
        <w:rPr>
          <w:rFonts w:hint="eastAsia" w:ascii="Times New Roman" w:hAnsi="Times New Roman" w:eastAsia="仿宋_GB2312" w:cs="Times New Roman"/>
          <w:color w:val="auto"/>
        </w:rPr>
        <w:t>2.90</w:t>
      </w:r>
      <w:r>
        <w:rPr>
          <w:rFonts w:ascii="Times New Roman" w:hAnsi="Times New Roman" w:eastAsia="仿宋_GB2312" w:cs="Times New Roman"/>
          <w:color w:val="auto"/>
          <w:szCs w:val="24"/>
        </w:rPr>
        <w:t>hm</w:t>
      </w:r>
      <w:r>
        <w:rPr>
          <w:rFonts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rPr>
        <w:t>。</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rPr>
        <w:t>依据项目区地貌特征、区域规划布局及水土流失特点等进行预测单元划分。可将本项目划分为公共基础设施区、区域规划功能区和施工临时设施区3个一级预测单元；各预测单元预测面积如下表所示。</w:t>
      </w:r>
      <w:r>
        <w:rPr>
          <w:rFonts w:ascii="Times New Roman" w:hAnsi="Times New Roman" w:eastAsia="仿宋_GB2312" w:cs="Times New Roman"/>
          <w:color w:val="auto"/>
          <w:szCs w:val="24"/>
        </w:rPr>
        <w:t>本项目预测单元情况详见表4</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3-1。</w:t>
      </w:r>
    </w:p>
    <w:p>
      <w:pPr>
        <w:snapToGrid w:val="0"/>
        <w:spacing w:line="360" w:lineRule="auto"/>
        <w:jc w:val="center"/>
        <w:rPr>
          <w:rFonts w:ascii="Times New Roman" w:hAnsi="Times New Roman" w:eastAsia="仿宋_GB2312" w:cs="Times New Roman"/>
          <w:b/>
          <w:color w:val="auto"/>
          <w:szCs w:val="24"/>
        </w:rPr>
      </w:pPr>
      <w:r>
        <w:rPr>
          <w:rFonts w:ascii="Times New Roman" w:hAnsi="Times New Roman" w:eastAsia="仿宋_GB2312" w:cs="Times New Roman"/>
          <w:b/>
          <w:color w:val="auto"/>
          <w:szCs w:val="24"/>
        </w:rPr>
        <w:t>表4</w:t>
      </w:r>
      <w:r>
        <w:rPr>
          <w:rFonts w:hint="eastAsia" w:ascii="Times New Roman" w:hAnsi="Times New Roman" w:eastAsia="仿宋_GB2312" w:cs="Times New Roman"/>
          <w:b/>
          <w:color w:val="auto"/>
          <w:szCs w:val="24"/>
        </w:rPr>
        <w:t>.</w:t>
      </w:r>
      <w:r>
        <w:rPr>
          <w:rFonts w:ascii="Times New Roman" w:hAnsi="Times New Roman" w:eastAsia="仿宋_GB2312" w:cs="Times New Roman"/>
          <w:b/>
          <w:color w:val="auto"/>
          <w:szCs w:val="24"/>
        </w:rPr>
        <w:t>3-1：水土流失预测各单元面积（单位：hm</w:t>
      </w:r>
      <w:r>
        <w:rPr>
          <w:rFonts w:ascii="Times New Roman" w:hAnsi="Times New Roman" w:eastAsia="仿宋_GB2312" w:cs="Times New Roman"/>
          <w:b/>
          <w:color w:val="auto"/>
          <w:szCs w:val="24"/>
          <w:vertAlign w:val="superscript"/>
        </w:rPr>
        <w:t>2</w:t>
      </w:r>
      <w:r>
        <w:rPr>
          <w:rFonts w:ascii="Times New Roman" w:hAnsi="Times New Roman" w:eastAsia="仿宋_GB2312" w:cs="Times New Roman"/>
          <w:b/>
          <w:color w:val="auto"/>
          <w:szCs w:val="24"/>
        </w:rPr>
        <w:t>）</w:t>
      </w:r>
    </w:p>
    <w:tbl>
      <w:tblPr>
        <w:tblStyle w:val="37"/>
        <w:tblW w:w="4852"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92"/>
        <w:gridCol w:w="1135"/>
        <w:gridCol w:w="2410"/>
        <w:gridCol w:w="1275"/>
        <w:gridCol w:w="1454"/>
        <w:gridCol w:w="130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8" w:type="pct"/>
            <w:vMerge w:val="restart"/>
            <w:vAlign w:val="center"/>
          </w:tcPr>
          <w:p>
            <w:pPr>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序号</w:t>
            </w:r>
          </w:p>
        </w:tc>
        <w:tc>
          <w:tcPr>
            <w:tcW w:w="2143" w:type="pct"/>
            <w:gridSpan w:val="2"/>
            <w:vMerge w:val="restart"/>
            <w:vAlign w:val="center"/>
          </w:tcPr>
          <w:p>
            <w:pPr>
              <w:spacing w:line="240" w:lineRule="atLeast"/>
              <w:jc w:val="center"/>
              <w:rPr>
                <w:rFonts w:ascii="Times New Roman" w:hAnsi="Times New Roman" w:eastAsia="仿宋_GB2312" w:cs="Times New Roman"/>
                <w:b/>
                <w:color w:val="auto"/>
                <w:sz w:val="21"/>
                <w:szCs w:val="21"/>
              </w:rPr>
            </w:pPr>
            <w:r>
              <w:rPr>
                <w:rFonts w:hint="eastAsia" w:ascii="Times New Roman" w:hAnsi="Times New Roman" w:eastAsia="仿宋_GB2312" w:cs="Times New Roman"/>
                <w:b/>
                <w:color w:val="auto"/>
                <w:sz w:val="21"/>
                <w:szCs w:val="21"/>
              </w:rPr>
              <w:t>预测单元</w:t>
            </w:r>
          </w:p>
        </w:tc>
        <w:tc>
          <w:tcPr>
            <w:tcW w:w="770" w:type="pct"/>
            <w:vMerge w:val="restart"/>
            <w:vAlign w:val="center"/>
          </w:tcPr>
          <w:p>
            <w:pPr>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面积（hm</w:t>
            </w:r>
            <w:r>
              <w:rPr>
                <w:rFonts w:ascii="Times New Roman" w:hAnsi="Times New Roman" w:eastAsia="仿宋_GB2312" w:cs="Times New Roman"/>
                <w:b/>
                <w:color w:val="auto"/>
                <w:sz w:val="21"/>
                <w:szCs w:val="21"/>
                <w:vertAlign w:val="superscript"/>
              </w:rPr>
              <w:t>2</w:t>
            </w:r>
            <w:r>
              <w:rPr>
                <w:rFonts w:ascii="Times New Roman" w:hAnsi="Times New Roman" w:eastAsia="仿宋_GB2312" w:cs="Times New Roman"/>
                <w:b/>
                <w:color w:val="auto"/>
                <w:sz w:val="21"/>
                <w:szCs w:val="21"/>
              </w:rPr>
              <w:t>）</w:t>
            </w:r>
          </w:p>
        </w:tc>
        <w:tc>
          <w:tcPr>
            <w:tcW w:w="1667" w:type="pct"/>
            <w:gridSpan w:val="2"/>
            <w:vAlign w:val="center"/>
          </w:tcPr>
          <w:p>
            <w:pPr>
              <w:spacing w:line="240" w:lineRule="atLeast"/>
              <w:jc w:val="center"/>
              <w:rPr>
                <w:rFonts w:ascii="Times New Roman" w:hAnsi="Times New Roman" w:eastAsia="仿宋_GB2312" w:cs="Times New Roman"/>
                <w:b/>
                <w:color w:val="auto"/>
                <w:sz w:val="21"/>
                <w:szCs w:val="21"/>
              </w:rPr>
            </w:pPr>
            <w:r>
              <w:rPr>
                <w:rFonts w:hint="eastAsia" w:ascii="Times New Roman" w:hAnsi="Times New Roman" w:eastAsia="仿宋_GB2312" w:cs="Times New Roman"/>
                <w:b/>
                <w:color w:val="auto"/>
                <w:sz w:val="21"/>
                <w:szCs w:val="21"/>
              </w:rPr>
              <w:t>预测单元面积</w:t>
            </w:r>
            <w:r>
              <w:rPr>
                <w:rFonts w:ascii="Times New Roman" w:hAnsi="Times New Roman" w:eastAsia="仿宋_GB2312" w:cs="Times New Roman"/>
                <w:b/>
                <w:color w:val="auto"/>
                <w:sz w:val="21"/>
                <w:szCs w:val="21"/>
              </w:rPr>
              <w:t>（hm</w:t>
            </w:r>
            <w:r>
              <w:rPr>
                <w:rFonts w:ascii="Times New Roman" w:hAnsi="Times New Roman" w:eastAsia="仿宋_GB2312" w:cs="Times New Roman"/>
                <w:b/>
                <w:color w:val="auto"/>
                <w:sz w:val="21"/>
                <w:szCs w:val="21"/>
                <w:vertAlign w:val="superscript"/>
              </w:rPr>
              <w:t>2</w:t>
            </w:r>
            <w:r>
              <w:rPr>
                <w:rFonts w:ascii="Times New Roman" w:hAnsi="Times New Roman" w:eastAsia="仿宋_GB2312" w:cs="Times New Roman"/>
                <w:b/>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8" w:type="pct"/>
            <w:vMerge w:val="continue"/>
            <w:vAlign w:val="center"/>
          </w:tcPr>
          <w:p>
            <w:pPr>
              <w:spacing w:line="240" w:lineRule="atLeast"/>
              <w:jc w:val="center"/>
              <w:rPr>
                <w:rFonts w:ascii="Times New Roman" w:hAnsi="Times New Roman" w:eastAsia="仿宋_GB2312" w:cs="Times New Roman"/>
                <w:b/>
                <w:color w:val="auto"/>
                <w:sz w:val="21"/>
                <w:szCs w:val="21"/>
              </w:rPr>
            </w:pPr>
          </w:p>
        </w:tc>
        <w:tc>
          <w:tcPr>
            <w:tcW w:w="2143" w:type="pct"/>
            <w:gridSpan w:val="2"/>
            <w:vMerge w:val="continue"/>
            <w:vAlign w:val="center"/>
          </w:tcPr>
          <w:p>
            <w:pPr>
              <w:spacing w:line="240" w:lineRule="atLeast"/>
              <w:jc w:val="center"/>
              <w:rPr>
                <w:rFonts w:ascii="Times New Roman" w:hAnsi="Times New Roman" w:eastAsia="仿宋_GB2312" w:cs="Times New Roman"/>
                <w:b/>
                <w:color w:val="auto"/>
                <w:sz w:val="21"/>
                <w:szCs w:val="21"/>
              </w:rPr>
            </w:pPr>
          </w:p>
        </w:tc>
        <w:tc>
          <w:tcPr>
            <w:tcW w:w="770" w:type="pct"/>
            <w:vMerge w:val="continue"/>
            <w:vAlign w:val="center"/>
          </w:tcPr>
          <w:p>
            <w:pPr>
              <w:spacing w:line="240" w:lineRule="atLeast"/>
              <w:jc w:val="center"/>
              <w:rPr>
                <w:rFonts w:ascii="Times New Roman" w:hAnsi="Times New Roman" w:eastAsia="仿宋_GB2312" w:cs="Times New Roman"/>
                <w:b/>
                <w:color w:val="auto"/>
                <w:sz w:val="21"/>
                <w:szCs w:val="21"/>
              </w:rPr>
            </w:pPr>
          </w:p>
        </w:tc>
        <w:tc>
          <w:tcPr>
            <w:tcW w:w="878" w:type="pct"/>
            <w:vAlign w:val="center"/>
          </w:tcPr>
          <w:p>
            <w:pPr>
              <w:spacing w:line="240" w:lineRule="atLeast"/>
              <w:jc w:val="center"/>
              <w:rPr>
                <w:rFonts w:ascii="Times New Roman" w:hAnsi="Times New Roman" w:eastAsia="仿宋_GB2312" w:cs="Times New Roman"/>
                <w:b/>
                <w:color w:val="auto"/>
                <w:sz w:val="21"/>
                <w:szCs w:val="21"/>
              </w:rPr>
            </w:pPr>
            <w:r>
              <w:rPr>
                <w:rFonts w:hint="eastAsia" w:ascii="Times New Roman" w:hAnsi="Times New Roman" w:eastAsia="仿宋_GB2312" w:cs="Times New Roman"/>
                <w:b/>
                <w:color w:val="auto"/>
                <w:sz w:val="21"/>
                <w:szCs w:val="21"/>
              </w:rPr>
              <w:t>施工期</w:t>
            </w:r>
          </w:p>
        </w:tc>
        <w:tc>
          <w:tcPr>
            <w:tcW w:w="788" w:type="pct"/>
            <w:vAlign w:val="center"/>
          </w:tcPr>
          <w:p>
            <w:pPr>
              <w:spacing w:line="240" w:lineRule="atLeast"/>
              <w:jc w:val="center"/>
              <w:rPr>
                <w:rFonts w:ascii="Times New Roman" w:hAnsi="Times New Roman" w:eastAsia="仿宋_GB2312" w:cs="Times New Roman"/>
                <w:b/>
                <w:color w:val="auto"/>
                <w:sz w:val="21"/>
                <w:szCs w:val="21"/>
              </w:rPr>
            </w:pPr>
            <w:r>
              <w:rPr>
                <w:rFonts w:hint="eastAsia" w:ascii="Times New Roman" w:hAnsi="Times New Roman" w:eastAsia="仿宋_GB2312" w:cs="Times New Roman"/>
                <w:b/>
                <w:color w:val="auto"/>
                <w:sz w:val="21"/>
                <w:szCs w:val="21"/>
              </w:rPr>
              <w:t>自然恢复期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8" w:type="pct"/>
            <w:vMerge w:val="restart"/>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686" w:type="pct"/>
            <w:vMerge w:val="restart"/>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公共基础设施区</w:t>
            </w:r>
          </w:p>
        </w:tc>
        <w:tc>
          <w:tcPr>
            <w:tcW w:w="1456" w:type="pct"/>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道路与交通设施用地区</w:t>
            </w:r>
          </w:p>
        </w:tc>
        <w:tc>
          <w:tcPr>
            <w:tcW w:w="770"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1</w:t>
            </w:r>
            <w:r>
              <w:rPr>
                <w:rFonts w:hint="eastAsia" w:ascii="Times New Roman" w:hAnsi="Times New Roman" w:eastAsia="仿宋_GB2312" w:cs="Times New Roman"/>
                <w:color w:val="auto"/>
                <w:kern w:val="0"/>
                <w:sz w:val="21"/>
                <w:szCs w:val="21"/>
              </w:rPr>
              <w:t>1.66</w:t>
            </w:r>
          </w:p>
        </w:tc>
        <w:tc>
          <w:tcPr>
            <w:tcW w:w="878" w:type="pct"/>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7.73</w:t>
            </w:r>
          </w:p>
        </w:tc>
        <w:tc>
          <w:tcPr>
            <w:tcW w:w="788" w:type="pct"/>
            <w:vAlign w:val="center"/>
          </w:tcPr>
          <w:p>
            <w:pPr>
              <w:spacing w:line="240" w:lineRule="atLeast"/>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rPr>
              <w:t>2.</w:t>
            </w:r>
            <w:r>
              <w:rPr>
                <w:rFonts w:hint="eastAsia" w:ascii="Times New Roman" w:hAnsi="Times New Roman" w:eastAsia="仿宋_GB2312" w:cs="Times New Roman"/>
                <w:color w:val="auto"/>
                <w:sz w:val="21"/>
                <w:szCs w:val="21"/>
                <w:lang w:val="en-US" w:eastAsia="zh-CN"/>
              </w:rPr>
              <w:t>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1" w:hRule="atLeast"/>
          <w:jc w:val="center"/>
        </w:trPr>
        <w:tc>
          <w:tcPr>
            <w:tcW w:w="418" w:type="pct"/>
            <w:vMerge w:val="continue"/>
            <w:vAlign w:val="center"/>
          </w:tcPr>
          <w:p>
            <w:pPr>
              <w:spacing w:line="240" w:lineRule="atLeast"/>
              <w:jc w:val="center"/>
              <w:rPr>
                <w:rFonts w:ascii="Times New Roman" w:hAnsi="Times New Roman" w:eastAsia="仿宋_GB2312" w:cs="Times New Roman"/>
                <w:color w:val="auto"/>
                <w:sz w:val="21"/>
                <w:szCs w:val="21"/>
              </w:rPr>
            </w:pPr>
          </w:p>
        </w:tc>
        <w:tc>
          <w:tcPr>
            <w:tcW w:w="686" w:type="pct"/>
            <w:vMerge w:val="continue"/>
            <w:vAlign w:val="center"/>
          </w:tcPr>
          <w:p>
            <w:pPr>
              <w:spacing w:line="240" w:lineRule="atLeast"/>
              <w:jc w:val="center"/>
              <w:rPr>
                <w:rFonts w:ascii="Times New Roman" w:hAnsi="Times New Roman" w:eastAsia="仿宋_GB2312" w:cs="Times New Roman"/>
                <w:color w:val="auto"/>
                <w:sz w:val="21"/>
                <w:szCs w:val="21"/>
              </w:rPr>
            </w:pPr>
          </w:p>
        </w:tc>
        <w:tc>
          <w:tcPr>
            <w:tcW w:w="1456" w:type="pct"/>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公用设施用地区</w:t>
            </w:r>
          </w:p>
        </w:tc>
        <w:tc>
          <w:tcPr>
            <w:tcW w:w="770"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12.87</w:t>
            </w:r>
          </w:p>
        </w:tc>
        <w:tc>
          <w:tcPr>
            <w:tcW w:w="878" w:type="pct"/>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12.87</w:t>
            </w:r>
          </w:p>
        </w:tc>
        <w:tc>
          <w:tcPr>
            <w:tcW w:w="788" w:type="pct"/>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12.87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8" w:type="pct"/>
            <w:vMerge w:val="continue"/>
            <w:vAlign w:val="center"/>
          </w:tcPr>
          <w:p>
            <w:pPr>
              <w:spacing w:line="240" w:lineRule="atLeast"/>
              <w:jc w:val="center"/>
              <w:rPr>
                <w:rFonts w:ascii="Times New Roman" w:hAnsi="Times New Roman" w:eastAsia="仿宋_GB2312" w:cs="Times New Roman"/>
                <w:color w:val="auto"/>
                <w:sz w:val="21"/>
                <w:szCs w:val="21"/>
              </w:rPr>
            </w:pPr>
          </w:p>
        </w:tc>
        <w:tc>
          <w:tcPr>
            <w:tcW w:w="686" w:type="pct"/>
            <w:vMerge w:val="continue"/>
            <w:vAlign w:val="center"/>
          </w:tcPr>
          <w:p>
            <w:pPr>
              <w:spacing w:line="240" w:lineRule="atLeast"/>
              <w:jc w:val="center"/>
              <w:rPr>
                <w:rFonts w:ascii="Times New Roman" w:hAnsi="Times New Roman" w:eastAsia="仿宋_GB2312" w:cs="Times New Roman"/>
                <w:color w:val="auto"/>
                <w:sz w:val="21"/>
                <w:szCs w:val="21"/>
              </w:rPr>
            </w:pPr>
          </w:p>
        </w:tc>
        <w:tc>
          <w:tcPr>
            <w:tcW w:w="1456" w:type="pct"/>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绿地区</w:t>
            </w:r>
          </w:p>
        </w:tc>
        <w:tc>
          <w:tcPr>
            <w:tcW w:w="770"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kern w:val="0"/>
                <w:sz w:val="21"/>
                <w:szCs w:val="21"/>
              </w:rPr>
              <w:t>20.01</w:t>
            </w:r>
          </w:p>
        </w:tc>
        <w:tc>
          <w:tcPr>
            <w:tcW w:w="878" w:type="pct"/>
            <w:vAlign w:val="center"/>
          </w:tcPr>
          <w:p>
            <w:pPr>
              <w:widowControl/>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20.01</w:t>
            </w:r>
          </w:p>
        </w:tc>
        <w:tc>
          <w:tcPr>
            <w:tcW w:w="788" w:type="pct"/>
            <w:vAlign w:val="center"/>
          </w:tcPr>
          <w:p>
            <w:pPr>
              <w:widowControl/>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18.81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8" w:type="pct"/>
            <w:vMerge w:val="restart"/>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686" w:type="pct"/>
            <w:vMerge w:val="restart"/>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区域规划功能区</w:t>
            </w:r>
          </w:p>
        </w:tc>
        <w:tc>
          <w:tcPr>
            <w:tcW w:w="1456" w:type="pct"/>
            <w:vAlign w:val="center"/>
          </w:tcPr>
          <w:p>
            <w:pPr>
              <w:spacing w:line="240" w:lineRule="atLeast"/>
              <w:jc w:val="center"/>
              <w:rPr>
                <w:rFonts w:hint="eastAsia" w:ascii="Times New Roman" w:hAnsi="Times New Roman" w:eastAsia="仿宋_GB2312" w:cs="Times New Roman"/>
                <w:color w:val="auto"/>
                <w:sz w:val="21"/>
                <w:szCs w:val="21"/>
                <w:lang w:eastAsia="zh-CN"/>
              </w:rPr>
            </w:pPr>
            <w:r>
              <w:rPr>
                <w:rFonts w:hint="eastAsia" w:ascii="Times New Roman" w:hAnsi="Times New Roman" w:eastAsia="仿宋_GB2312" w:cs="Times New Roman"/>
                <w:color w:val="auto"/>
                <w:sz w:val="21"/>
                <w:szCs w:val="21"/>
                <w:lang w:eastAsia="zh-CN"/>
              </w:rPr>
              <w:t>已建工程区</w:t>
            </w:r>
          </w:p>
        </w:tc>
        <w:tc>
          <w:tcPr>
            <w:tcW w:w="770" w:type="pct"/>
            <w:vAlign w:val="center"/>
          </w:tcPr>
          <w:p>
            <w:pPr>
              <w:widowControl/>
              <w:spacing w:line="240" w:lineRule="atLeast"/>
              <w:jc w:val="center"/>
              <w:textAlignment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10.95</w:t>
            </w:r>
          </w:p>
        </w:tc>
        <w:tc>
          <w:tcPr>
            <w:tcW w:w="878" w:type="pct"/>
            <w:vAlign w:val="center"/>
          </w:tcPr>
          <w:p>
            <w:pPr>
              <w:spacing w:line="240" w:lineRule="atLeast"/>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8.05</w:t>
            </w:r>
          </w:p>
        </w:tc>
        <w:tc>
          <w:tcPr>
            <w:tcW w:w="788" w:type="pct"/>
            <w:vAlign w:val="center"/>
          </w:tcPr>
          <w:p>
            <w:pPr>
              <w:spacing w:line="240" w:lineRule="atLeast"/>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8.05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8" w:type="pct"/>
            <w:vMerge w:val="continue"/>
            <w:vAlign w:val="center"/>
          </w:tcPr>
          <w:p>
            <w:pPr>
              <w:spacing w:line="240" w:lineRule="atLeast"/>
              <w:jc w:val="center"/>
              <w:rPr>
                <w:rFonts w:ascii="Times New Roman" w:hAnsi="Times New Roman" w:eastAsia="仿宋_GB2312" w:cs="Times New Roman"/>
                <w:color w:val="auto"/>
                <w:sz w:val="21"/>
                <w:szCs w:val="21"/>
              </w:rPr>
            </w:pPr>
          </w:p>
        </w:tc>
        <w:tc>
          <w:tcPr>
            <w:tcW w:w="686" w:type="pct"/>
            <w:vMerge w:val="continue"/>
            <w:vAlign w:val="center"/>
          </w:tcPr>
          <w:p>
            <w:pPr>
              <w:spacing w:line="240" w:lineRule="atLeast"/>
              <w:jc w:val="center"/>
              <w:rPr>
                <w:rFonts w:ascii="Times New Roman" w:hAnsi="Times New Roman" w:eastAsia="仿宋_GB2312" w:cs="Times New Roman"/>
                <w:color w:val="auto"/>
                <w:sz w:val="21"/>
                <w:szCs w:val="21"/>
              </w:rPr>
            </w:pPr>
          </w:p>
        </w:tc>
        <w:tc>
          <w:tcPr>
            <w:tcW w:w="1456" w:type="pct"/>
            <w:vAlign w:val="center"/>
          </w:tcPr>
          <w:p>
            <w:pPr>
              <w:spacing w:line="240" w:lineRule="atLeast"/>
              <w:jc w:val="center"/>
              <w:rPr>
                <w:rFonts w:hint="eastAsia" w:ascii="Times New Roman" w:hAnsi="Times New Roman" w:eastAsia="仿宋_GB2312" w:cs="Times New Roman"/>
                <w:color w:val="auto"/>
                <w:sz w:val="21"/>
                <w:szCs w:val="21"/>
                <w:lang w:eastAsia="zh-CN"/>
              </w:rPr>
            </w:pPr>
            <w:r>
              <w:rPr>
                <w:rFonts w:hint="eastAsia" w:ascii="Times New Roman" w:hAnsi="Times New Roman" w:eastAsia="仿宋_GB2312" w:cs="Times New Roman"/>
                <w:color w:val="auto"/>
                <w:sz w:val="21"/>
                <w:szCs w:val="21"/>
                <w:lang w:eastAsia="zh-CN"/>
              </w:rPr>
              <w:t>待建工程区</w:t>
            </w:r>
          </w:p>
        </w:tc>
        <w:tc>
          <w:tcPr>
            <w:tcW w:w="770" w:type="pct"/>
            <w:vAlign w:val="center"/>
          </w:tcPr>
          <w:p>
            <w:pPr>
              <w:widowControl/>
              <w:spacing w:line="240" w:lineRule="atLeast"/>
              <w:jc w:val="center"/>
              <w:textAlignment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18.17</w:t>
            </w:r>
          </w:p>
        </w:tc>
        <w:tc>
          <w:tcPr>
            <w:tcW w:w="878" w:type="pct"/>
            <w:vAlign w:val="center"/>
          </w:tcPr>
          <w:p>
            <w:pPr>
              <w:spacing w:line="240" w:lineRule="atLeast"/>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18.17</w:t>
            </w:r>
          </w:p>
        </w:tc>
        <w:tc>
          <w:tcPr>
            <w:tcW w:w="788" w:type="pct"/>
            <w:vAlign w:val="center"/>
          </w:tcPr>
          <w:p>
            <w:pPr>
              <w:spacing w:line="240" w:lineRule="atLeast"/>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18.17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8" w:type="pct"/>
            <w:vMerge w:val="restart"/>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686" w:type="pct"/>
            <w:vMerge w:val="restart"/>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施工临时设施区</w:t>
            </w:r>
          </w:p>
        </w:tc>
        <w:tc>
          <w:tcPr>
            <w:tcW w:w="1456" w:type="pct"/>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临时堆</w:t>
            </w:r>
            <w:r>
              <w:rPr>
                <w:rFonts w:hint="eastAsia" w:ascii="Times New Roman" w:hAnsi="Times New Roman" w:eastAsia="仿宋_GB2312" w:cs="Times New Roman"/>
                <w:color w:val="auto"/>
                <w:sz w:val="21"/>
                <w:szCs w:val="21"/>
                <w:lang w:eastAsia="zh-CN"/>
              </w:rPr>
              <w:t>土</w:t>
            </w:r>
            <w:r>
              <w:rPr>
                <w:rFonts w:ascii="Times New Roman" w:hAnsi="Times New Roman" w:eastAsia="仿宋_GB2312" w:cs="Times New Roman"/>
                <w:color w:val="auto"/>
                <w:sz w:val="21"/>
                <w:szCs w:val="21"/>
              </w:rPr>
              <w:t>场区</w:t>
            </w:r>
          </w:p>
        </w:tc>
        <w:tc>
          <w:tcPr>
            <w:tcW w:w="770" w:type="pct"/>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w:t>
            </w:r>
            <w:r>
              <w:rPr>
                <w:rFonts w:hint="eastAsia" w:ascii="Times New Roman" w:hAnsi="Times New Roman" w:eastAsia="仿宋_GB2312" w:cs="Times New Roman"/>
                <w:color w:val="auto"/>
                <w:sz w:val="21"/>
                <w:szCs w:val="21"/>
                <w:lang w:val="en-US" w:eastAsia="zh-CN"/>
              </w:rPr>
              <w:t>4.49</w:t>
            </w:r>
            <w:r>
              <w:rPr>
                <w:rFonts w:hint="eastAsia" w:ascii="Times New Roman" w:hAnsi="Times New Roman" w:eastAsia="仿宋_GB2312" w:cs="Times New Roman"/>
                <w:color w:val="auto"/>
                <w:sz w:val="21"/>
                <w:szCs w:val="21"/>
              </w:rPr>
              <w:t>）</w:t>
            </w:r>
          </w:p>
        </w:tc>
        <w:tc>
          <w:tcPr>
            <w:tcW w:w="878" w:type="pct"/>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w:t>
            </w:r>
            <w:r>
              <w:rPr>
                <w:rFonts w:hint="eastAsia" w:ascii="Times New Roman" w:hAnsi="Times New Roman" w:eastAsia="仿宋_GB2312" w:cs="Times New Roman"/>
                <w:color w:val="auto"/>
                <w:sz w:val="21"/>
                <w:szCs w:val="21"/>
                <w:lang w:val="en-US" w:eastAsia="zh-CN"/>
              </w:rPr>
              <w:t>4.49</w:t>
            </w:r>
            <w:r>
              <w:rPr>
                <w:rFonts w:hint="eastAsia" w:ascii="Times New Roman" w:hAnsi="Times New Roman" w:eastAsia="仿宋_GB2312" w:cs="Times New Roman"/>
                <w:color w:val="auto"/>
                <w:sz w:val="21"/>
                <w:szCs w:val="21"/>
              </w:rPr>
              <w:t>）</w:t>
            </w:r>
          </w:p>
        </w:tc>
        <w:tc>
          <w:tcPr>
            <w:tcW w:w="788" w:type="pct"/>
            <w:vAlign w:val="center"/>
          </w:tcPr>
          <w:p>
            <w:pPr>
              <w:spacing w:line="240" w:lineRule="atLeast"/>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8" w:type="pct"/>
            <w:vMerge w:val="continue"/>
            <w:vAlign w:val="center"/>
          </w:tcPr>
          <w:p>
            <w:pPr>
              <w:spacing w:line="240" w:lineRule="atLeast"/>
              <w:jc w:val="center"/>
              <w:rPr>
                <w:rFonts w:ascii="Times New Roman" w:hAnsi="Times New Roman" w:eastAsia="仿宋_GB2312" w:cs="Times New Roman"/>
                <w:color w:val="auto"/>
                <w:sz w:val="21"/>
                <w:szCs w:val="21"/>
              </w:rPr>
            </w:pPr>
          </w:p>
        </w:tc>
        <w:tc>
          <w:tcPr>
            <w:tcW w:w="686" w:type="pct"/>
            <w:vMerge w:val="continue"/>
            <w:vAlign w:val="center"/>
          </w:tcPr>
          <w:p>
            <w:pPr>
              <w:spacing w:line="240" w:lineRule="atLeast"/>
              <w:jc w:val="center"/>
              <w:rPr>
                <w:rFonts w:ascii="Times New Roman" w:hAnsi="Times New Roman" w:eastAsia="仿宋_GB2312" w:cs="Times New Roman"/>
                <w:color w:val="auto"/>
                <w:sz w:val="21"/>
                <w:szCs w:val="21"/>
              </w:rPr>
            </w:pPr>
          </w:p>
        </w:tc>
        <w:tc>
          <w:tcPr>
            <w:tcW w:w="1456" w:type="pct"/>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苗木移栽区</w:t>
            </w:r>
          </w:p>
        </w:tc>
        <w:tc>
          <w:tcPr>
            <w:tcW w:w="770" w:type="pct"/>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0.14</w:t>
            </w:r>
            <w:r>
              <w:rPr>
                <w:rFonts w:hint="eastAsia" w:ascii="Times New Roman" w:hAnsi="Times New Roman" w:eastAsia="仿宋_GB2312" w:cs="Times New Roman"/>
                <w:color w:val="auto"/>
                <w:sz w:val="21"/>
                <w:szCs w:val="21"/>
              </w:rPr>
              <w:t>）</w:t>
            </w:r>
          </w:p>
        </w:tc>
        <w:tc>
          <w:tcPr>
            <w:tcW w:w="878" w:type="pct"/>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0.14</w:t>
            </w:r>
            <w:r>
              <w:rPr>
                <w:rFonts w:hint="eastAsia" w:ascii="Times New Roman" w:hAnsi="Times New Roman" w:eastAsia="仿宋_GB2312" w:cs="Times New Roman"/>
                <w:color w:val="auto"/>
                <w:sz w:val="21"/>
                <w:szCs w:val="21"/>
              </w:rPr>
              <w:t>）</w:t>
            </w:r>
          </w:p>
        </w:tc>
        <w:tc>
          <w:tcPr>
            <w:tcW w:w="788" w:type="pct"/>
            <w:vAlign w:val="center"/>
          </w:tcPr>
          <w:p>
            <w:pPr>
              <w:spacing w:line="240" w:lineRule="atLeast"/>
              <w:jc w:val="center"/>
              <w:rPr>
                <w:rFonts w:ascii="Times New Roman" w:hAnsi="Times New Roman" w:eastAsia="仿宋_GB2312" w:cs="Times New Roman"/>
                <w:color w:val="auto"/>
                <w:sz w:val="21"/>
                <w:szCs w:val="21"/>
              </w:rPr>
            </w:pPr>
          </w:p>
        </w:tc>
      </w:tr>
    </w:tbl>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注：施工临时设施区为项目建设过程中临时场地，其中</w:t>
      </w:r>
      <w:r>
        <w:rPr>
          <w:rFonts w:hint="eastAsia" w:ascii="Times New Roman" w:hAnsi="Times New Roman" w:eastAsia="仿宋_GB2312"/>
          <w:color w:val="auto"/>
          <w:lang w:eastAsia="zh-CN"/>
        </w:rPr>
        <w:t>临时堆土</w:t>
      </w:r>
      <w:r>
        <w:rPr>
          <w:rFonts w:hint="eastAsia" w:ascii="Times New Roman" w:hAnsi="Times New Roman" w:eastAsia="仿宋_GB2312"/>
          <w:color w:val="auto"/>
        </w:rPr>
        <w:t>场区位于</w:t>
      </w:r>
      <w:r>
        <w:rPr>
          <w:rFonts w:hint="eastAsia" w:ascii="Times New Roman" w:hAnsi="Times New Roman" w:eastAsia="仿宋_GB2312"/>
          <w:color w:val="auto"/>
          <w:lang w:val="en-US" w:eastAsia="zh-CN"/>
        </w:rPr>
        <w:t>E20地块和</w:t>
      </w:r>
      <w:r>
        <w:rPr>
          <w:rFonts w:hint="eastAsia" w:ascii="Times New Roman" w:hAnsi="Times New Roman" w:eastAsia="仿宋_GB2312"/>
          <w:color w:val="auto"/>
        </w:rPr>
        <w:t>E</w:t>
      </w:r>
      <w:r>
        <w:rPr>
          <w:rFonts w:hint="eastAsia" w:ascii="Times New Roman" w:hAnsi="Times New Roman" w:eastAsia="仿宋_GB2312"/>
          <w:color w:val="auto"/>
          <w:lang w:val="en-US" w:eastAsia="zh-CN"/>
        </w:rPr>
        <w:t>22</w:t>
      </w:r>
      <w:r>
        <w:rPr>
          <w:rFonts w:hint="eastAsia" w:ascii="Times New Roman" w:hAnsi="Times New Roman" w:eastAsia="仿宋_GB2312"/>
          <w:color w:val="auto"/>
        </w:rPr>
        <w:t>地块</w:t>
      </w:r>
      <w:r>
        <w:rPr>
          <w:rFonts w:hint="eastAsia" w:ascii="Times New Roman" w:hAnsi="Times New Roman" w:eastAsia="仿宋_GB2312"/>
          <w:color w:val="auto"/>
          <w:lang w:eastAsia="zh-CN"/>
        </w:rPr>
        <w:t>内</w:t>
      </w:r>
      <w:r>
        <w:rPr>
          <w:rFonts w:hint="eastAsia" w:ascii="Times New Roman" w:hAnsi="Times New Roman" w:eastAsia="仿宋_GB2312"/>
          <w:color w:val="auto"/>
        </w:rPr>
        <w:t>，苗木移栽区位于公共基础设施区</w:t>
      </w:r>
      <w:r>
        <w:rPr>
          <w:rFonts w:hint="eastAsia" w:ascii="Times New Roman" w:hAnsi="Times New Roman" w:eastAsia="仿宋_GB2312" w:cs="Times New Roman"/>
          <w:color w:val="auto"/>
          <w:szCs w:val="24"/>
        </w:rPr>
        <w:t>F08地块。</w:t>
      </w:r>
    </w:p>
    <w:p>
      <w:pPr>
        <w:pStyle w:val="6"/>
        <w:rPr>
          <w:bCs w:val="0"/>
          <w:color w:val="auto"/>
        </w:rPr>
      </w:pPr>
      <w:r>
        <w:rPr>
          <w:bCs w:val="0"/>
          <w:color w:val="auto"/>
        </w:rPr>
        <w:t>4.3.2</w:t>
      </w:r>
      <w:r>
        <w:rPr>
          <w:rFonts w:eastAsia="仿宋_GB2312"/>
          <w:bCs w:val="0"/>
          <w:color w:val="auto"/>
        </w:rPr>
        <w:t>预测时段</w:t>
      </w:r>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根据本工程施工建设的特点，以及各单项工程施工时段，结合项目区降雨季</w:t>
      </w:r>
      <w:r>
        <w:rPr>
          <w:rFonts w:hint="eastAsia" w:ascii="Times New Roman" w:hAnsi="Times New Roman" w:eastAsia="仿宋_GB2312" w:cs="Times New Roman"/>
          <w:color w:val="auto"/>
          <w:szCs w:val="24"/>
        </w:rPr>
        <w:t>节等，划分水土流失预测时段，其中</w:t>
      </w:r>
      <w:r>
        <w:rPr>
          <w:rFonts w:hint="eastAsia" w:ascii="Times New Roman" w:hAnsi="Times New Roman" w:eastAsia="仿宋_GB2312" w:cs="Times New Roman"/>
          <w:color w:val="auto"/>
        </w:rPr>
        <w:t>已建成道路经十八路（谢佛路至杨家山路段）和杨家山路（西总干渠至南嵩路段）</w:t>
      </w:r>
      <w:r>
        <w:rPr>
          <w:rFonts w:hint="eastAsia" w:ascii="Times New Roman" w:hAnsi="Times New Roman" w:eastAsia="仿宋_GB2312" w:cs="Times New Roman"/>
          <w:color w:val="auto"/>
          <w:lang w:eastAsia="zh-CN"/>
        </w:rPr>
        <w:t>和</w:t>
      </w:r>
      <w:r>
        <w:rPr>
          <w:rFonts w:hint="eastAsia" w:ascii="Times New Roman" w:hAnsi="Times New Roman" w:eastAsia="仿宋_GB2312" w:cs="Times New Roman"/>
          <w:color w:val="auto"/>
          <w:szCs w:val="24"/>
        </w:rPr>
        <w:t>E11地块已建成的项目仅进行估算，估算时段为1.5</w:t>
      </w:r>
      <w:r>
        <w:rPr>
          <w:rFonts w:hint="eastAsia" w:ascii="仿宋_GB2312" w:hAnsi="宋体" w:eastAsia="仿宋_GB2312" w:cs="仿宋_GB2312"/>
          <w:color w:val="auto"/>
          <w:kern w:val="0"/>
          <w:szCs w:val="24"/>
        </w:rPr>
        <w:t>年</w:t>
      </w:r>
      <w:r>
        <w:rPr>
          <w:rFonts w:hint="eastAsia" w:ascii="Times New Roman" w:hAnsi="Times New Roman" w:eastAsia="仿宋_GB2312" w:cs="Times New Roman"/>
          <w:color w:val="auto"/>
          <w:szCs w:val="24"/>
        </w:rPr>
        <w:t>。</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（1）项目</w:t>
      </w:r>
      <w:r>
        <w:rPr>
          <w:rFonts w:ascii="Times New Roman" w:hAnsi="Times New Roman" w:eastAsia="仿宋_GB2312" w:cs="Times New Roman"/>
          <w:color w:val="auto"/>
          <w:szCs w:val="24"/>
        </w:rPr>
        <w:t>区土方侵蚀时段</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本工程的水土流失预测只考虑水蚀。水蚀主要与降雨因子有关，项目区降雨</w:t>
      </w:r>
      <w:r>
        <w:rPr>
          <w:rFonts w:ascii="Times New Roman" w:hAnsi="Times New Roman" w:eastAsia="仿宋_GB2312" w:cs="Times New Roman"/>
          <w:color w:val="auto"/>
          <w:szCs w:val="24"/>
        </w:rPr>
        <w:t>主要集中在4~</w:t>
      </w:r>
      <w:r>
        <w:rPr>
          <w:rFonts w:hint="eastAsia" w:ascii="Times New Roman" w:hAnsi="Times New Roman" w:eastAsia="仿宋_GB2312" w:cs="Times New Roman"/>
          <w:color w:val="auto"/>
          <w:szCs w:val="24"/>
        </w:rPr>
        <w:t>6月，因此，土壤侵蚀的时段也主要发生在</w:t>
      </w:r>
      <w:r>
        <w:rPr>
          <w:rFonts w:ascii="Times New Roman" w:hAnsi="Times New Roman" w:eastAsia="仿宋_GB2312" w:cs="Times New Roman"/>
          <w:color w:val="auto"/>
          <w:szCs w:val="24"/>
        </w:rPr>
        <w:t>4~</w:t>
      </w:r>
      <w:r>
        <w:rPr>
          <w:rFonts w:hint="eastAsia" w:ascii="Times New Roman" w:hAnsi="Times New Roman" w:eastAsia="仿宋_GB2312" w:cs="Times New Roman"/>
          <w:color w:val="auto"/>
          <w:szCs w:val="24"/>
        </w:rPr>
        <w:t>6月。</w:t>
      </w:r>
    </w:p>
    <w:p>
      <w:pPr>
        <w:snapToGrid w:val="0"/>
        <w:spacing w:line="360" w:lineRule="auto"/>
        <w:ind w:firstLine="566" w:firstLineChars="236"/>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（2）预测时段</w:t>
      </w:r>
    </w:p>
    <w:p>
      <w:pPr>
        <w:widowControl/>
        <w:spacing w:line="360" w:lineRule="auto"/>
        <w:ind w:firstLine="480" w:firstLineChars="200"/>
        <w:jc w:val="left"/>
        <w:rPr>
          <w:rFonts w:ascii="仿宋_GB2312" w:hAnsi="宋体" w:eastAsia="仿宋_GB2312" w:cs="仿宋_GB2312"/>
          <w:color w:val="auto"/>
          <w:kern w:val="0"/>
          <w:szCs w:val="24"/>
        </w:rPr>
      </w:pPr>
      <w:r>
        <w:rPr>
          <w:rFonts w:hint="eastAsia" w:ascii="仿宋_GB2312" w:hAnsi="宋体" w:eastAsia="仿宋_GB2312" w:cs="仿宋_GB2312"/>
          <w:color w:val="auto"/>
          <w:kern w:val="0"/>
          <w:szCs w:val="24"/>
        </w:rPr>
        <w:t>根据《生产建设项目水土保持技术标准》（</w:t>
      </w:r>
      <w:r>
        <w:rPr>
          <w:rFonts w:ascii="Times New Roman" w:hAnsi="Times New Roman" w:cs="Times New Roman"/>
          <w:color w:val="auto"/>
          <w:kern w:val="0"/>
          <w:szCs w:val="24"/>
        </w:rPr>
        <w:t>GB50433-2018</w:t>
      </w:r>
      <w:r>
        <w:rPr>
          <w:rFonts w:hint="eastAsia" w:ascii="仿宋_GB2312" w:hAnsi="宋体" w:eastAsia="仿宋_GB2312" w:cs="仿宋_GB2312"/>
          <w:color w:val="auto"/>
          <w:kern w:val="0"/>
          <w:szCs w:val="24"/>
        </w:rPr>
        <w:t>）规定，建设类项目水土流失预测时段分为施工期（含施工准备期）和自然恢复期两个时段。</w:t>
      </w:r>
    </w:p>
    <w:p>
      <w:pPr>
        <w:widowControl/>
        <w:spacing w:line="360" w:lineRule="auto"/>
        <w:ind w:firstLine="480" w:firstLineChars="200"/>
        <w:jc w:val="left"/>
        <w:rPr>
          <w:rFonts w:ascii="Times New Roman" w:hAnsi="Times New Roman" w:eastAsia="仿宋_GB2312"/>
          <w:color w:val="auto"/>
        </w:rPr>
      </w:pPr>
      <w:r>
        <w:rPr>
          <w:rFonts w:hint="eastAsia" w:ascii="仿宋_GB2312" w:hAnsi="宋体" w:eastAsia="仿宋_GB2312" w:cs="仿宋_GB2312"/>
          <w:color w:val="auto"/>
          <w:kern w:val="0"/>
          <w:szCs w:val="24"/>
        </w:rPr>
        <w:t>①施工期（含施工准备期）：区域路网施工、园区</w:t>
      </w:r>
      <w:r>
        <w:rPr>
          <w:rFonts w:hint="eastAsia" w:ascii="Times New Roman" w:hAnsi="Times New Roman" w:cs="Times New Roman"/>
          <w:color w:val="auto"/>
          <w:kern w:val="0"/>
          <w:szCs w:val="24"/>
        </w:rPr>
        <w:t>“</w:t>
      </w:r>
      <w:r>
        <w:rPr>
          <w:rFonts w:hint="eastAsia" w:ascii="仿宋_GB2312" w:hAnsi="宋体" w:eastAsia="仿宋_GB2312" w:cs="仿宋_GB2312"/>
          <w:color w:val="auto"/>
          <w:kern w:val="0"/>
          <w:szCs w:val="24"/>
        </w:rPr>
        <w:t>五通一平</w:t>
      </w:r>
      <w:r>
        <w:rPr>
          <w:rFonts w:hint="eastAsia" w:ascii="Times New Roman" w:hAnsi="Times New Roman" w:cs="Times New Roman"/>
          <w:color w:val="auto"/>
          <w:kern w:val="0"/>
          <w:szCs w:val="24"/>
        </w:rPr>
        <w:t>”</w:t>
      </w:r>
      <w:r>
        <w:rPr>
          <w:rFonts w:hint="eastAsia" w:ascii="仿宋_GB2312" w:hAnsi="宋体" w:eastAsia="仿宋_GB2312" w:cs="仿宋_GB2312"/>
          <w:color w:val="auto"/>
          <w:kern w:val="0"/>
          <w:szCs w:val="24"/>
        </w:rPr>
        <w:t>、管网施工、土石方临时堆放等施工活动破坏原地表和植被，扰动表土结构，土壤抗蚀能力降低，侵蚀加剧，同时还将会有大量的开挖、填筑裸露面产生，裸露面表层结构疏松，植被覆盖率低，侵蚀强度大，土石方搬运和堆置过程中造成的水土流失量也较大。由于各区域的施工时间不一，其发生水土流失的特点也不尽相同，应根据各预测单元施工可能产生流失的时间，考虑最不利因素确定各预测单元的预测时段，超过雨季长度的按</w:t>
      </w:r>
      <w:r>
        <w:rPr>
          <w:rFonts w:ascii="Times New Roman" w:hAnsi="Times New Roman" w:cs="Times New Roman"/>
          <w:color w:val="auto"/>
          <w:kern w:val="0"/>
          <w:szCs w:val="24"/>
        </w:rPr>
        <w:t>1</w:t>
      </w:r>
      <w:r>
        <w:rPr>
          <w:rFonts w:hint="eastAsia" w:ascii="仿宋_GB2312" w:hAnsi="宋体" w:eastAsia="仿宋_GB2312" w:cs="仿宋_GB2312"/>
          <w:color w:val="auto"/>
          <w:kern w:val="0"/>
          <w:szCs w:val="24"/>
        </w:rPr>
        <w:t>年计算，不超过雨季长度的按占雨季长度的比例计算，但施工准备期和施工期之和不超过总工期。</w:t>
      </w:r>
    </w:p>
    <w:p>
      <w:pPr>
        <w:widowControl/>
        <w:spacing w:line="360" w:lineRule="auto"/>
        <w:ind w:firstLine="480" w:firstLineChars="200"/>
        <w:jc w:val="left"/>
        <w:rPr>
          <w:rFonts w:ascii="Times New Roman" w:hAnsi="Times New Roman" w:eastAsia="仿宋_GB2312"/>
          <w:color w:val="auto"/>
        </w:rPr>
      </w:pPr>
      <w:r>
        <w:rPr>
          <w:rFonts w:hint="eastAsia" w:ascii="仿宋_GB2312" w:hAnsi="宋体" w:eastAsia="仿宋_GB2312" w:cs="仿宋_GB2312"/>
          <w:color w:val="auto"/>
          <w:kern w:val="0"/>
          <w:szCs w:val="24"/>
        </w:rPr>
        <w:t>②自然恢复期：地表扰动基本停止，植被逐步恢复，水土流失强度降低，但仍有一定量的水土流失。区域建设水土流失预测时间取区块内单个建设项目的平均建设工期，自然恢复期按《生产建设项目水土保持技术标准》（</w:t>
      </w:r>
      <w:r>
        <w:rPr>
          <w:rFonts w:ascii="Times New Roman" w:hAnsi="Times New Roman" w:cs="Times New Roman"/>
          <w:color w:val="auto"/>
          <w:kern w:val="0"/>
          <w:szCs w:val="24"/>
        </w:rPr>
        <w:t>GB50433-2018</w:t>
      </w:r>
      <w:r>
        <w:rPr>
          <w:rFonts w:hint="eastAsia" w:ascii="仿宋_GB2312" w:hAnsi="宋体" w:eastAsia="仿宋_GB2312" w:cs="仿宋_GB2312"/>
          <w:color w:val="auto"/>
          <w:kern w:val="0"/>
          <w:szCs w:val="24"/>
        </w:rPr>
        <w:t>）</w:t>
      </w:r>
      <w:r>
        <w:rPr>
          <w:rFonts w:ascii="Times New Roman" w:hAnsi="Times New Roman" w:cs="Times New Roman"/>
          <w:color w:val="auto"/>
          <w:kern w:val="0"/>
          <w:szCs w:val="24"/>
        </w:rPr>
        <w:t>4.5.6</w:t>
      </w:r>
      <w:r>
        <w:rPr>
          <w:rFonts w:hint="eastAsia" w:ascii="仿宋_GB2312" w:hAnsi="宋体" w:eastAsia="仿宋_GB2312" w:cs="仿宋_GB2312"/>
          <w:color w:val="auto"/>
          <w:kern w:val="0"/>
          <w:szCs w:val="24"/>
        </w:rPr>
        <w:t>条规定，应根据当地自然条件确定，一般情况下湿润区取</w:t>
      </w:r>
      <w:r>
        <w:rPr>
          <w:rFonts w:ascii="Times New Roman" w:hAnsi="Times New Roman" w:cs="Times New Roman"/>
          <w:color w:val="auto"/>
          <w:kern w:val="0"/>
          <w:szCs w:val="24"/>
        </w:rPr>
        <w:t>2</w:t>
      </w:r>
      <w:r>
        <w:rPr>
          <w:rFonts w:hint="eastAsia" w:ascii="仿宋_GB2312" w:hAnsi="宋体" w:eastAsia="仿宋_GB2312" w:cs="仿宋_GB2312"/>
          <w:color w:val="auto"/>
          <w:kern w:val="0"/>
          <w:szCs w:val="24"/>
        </w:rPr>
        <w:t>年。</w:t>
      </w:r>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本</w:t>
      </w: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区域内各区域水土流失预测时段详见表4</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3-2。</w:t>
      </w:r>
    </w:p>
    <w:p>
      <w:pPr>
        <w:snapToGrid w:val="0"/>
        <w:spacing w:line="360" w:lineRule="auto"/>
        <w:jc w:val="center"/>
        <w:rPr>
          <w:rFonts w:ascii="Times New Roman" w:hAnsi="Times New Roman" w:eastAsia="仿宋_GB2312" w:cs="Times New Roman"/>
          <w:b/>
          <w:bCs/>
          <w:color w:val="auto"/>
          <w:szCs w:val="24"/>
        </w:rPr>
      </w:pPr>
      <w:r>
        <w:rPr>
          <w:rFonts w:ascii="Times New Roman" w:hAnsi="Times New Roman" w:eastAsia="仿宋_GB2312" w:cs="Times New Roman"/>
          <w:b/>
          <w:bCs/>
          <w:color w:val="auto"/>
          <w:szCs w:val="24"/>
        </w:rPr>
        <w:t>表4</w:t>
      </w:r>
      <w:r>
        <w:rPr>
          <w:rFonts w:hint="eastAsia" w:ascii="Times New Roman" w:hAnsi="Times New Roman" w:eastAsia="仿宋_GB2312" w:cs="Times New Roman"/>
          <w:b/>
          <w:bCs/>
          <w:color w:val="auto"/>
          <w:szCs w:val="24"/>
        </w:rPr>
        <w:t>.</w:t>
      </w:r>
      <w:r>
        <w:rPr>
          <w:rFonts w:ascii="Times New Roman" w:hAnsi="Times New Roman" w:eastAsia="仿宋_GB2312" w:cs="Times New Roman"/>
          <w:b/>
          <w:bCs/>
          <w:color w:val="auto"/>
          <w:szCs w:val="24"/>
        </w:rPr>
        <w:t>3-2：水土流失预测时段总表</w:t>
      </w:r>
    </w:p>
    <w:tbl>
      <w:tblPr>
        <w:tblStyle w:val="37"/>
        <w:tblW w:w="533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499"/>
        <w:gridCol w:w="992"/>
        <w:gridCol w:w="2153"/>
        <w:gridCol w:w="1707"/>
        <w:gridCol w:w="1843"/>
        <w:gridCol w:w="170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70" w:hRule="atLeast"/>
          <w:jc w:val="center"/>
        </w:trPr>
        <w:tc>
          <w:tcPr>
            <w:tcW w:w="499" w:type="dxa"/>
            <w:vMerge w:val="restart"/>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r>
              <w:rPr>
                <w:rFonts w:ascii="Times New Roman" w:hAnsi="Times New Roman" w:eastAsia="仿宋_GB2312" w:cs="Times New Roman"/>
                <w:b/>
                <w:color w:val="auto"/>
                <w:sz w:val="21"/>
                <w:szCs w:val="21"/>
              </w:rPr>
              <w:t>序号</w:t>
            </w:r>
          </w:p>
        </w:tc>
        <w:tc>
          <w:tcPr>
            <w:tcW w:w="3145" w:type="dxa"/>
            <w:gridSpan w:val="2"/>
            <w:vMerge w:val="restart"/>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r>
              <w:rPr>
                <w:rFonts w:hint="eastAsia" w:ascii="Times New Roman" w:hAnsi="Times New Roman" w:eastAsia="仿宋_GB2312" w:cs="Times New Roman"/>
                <w:b/>
                <w:color w:val="auto"/>
                <w:sz w:val="21"/>
                <w:szCs w:val="21"/>
              </w:rPr>
              <w:t>预测单元</w:t>
            </w:r>
          </w:p>
        </w:tc>
        <w:tc>
          <w:tcPr>
            <w:tcW w:w="1707" w:type="dxa"/>
            <w:vAlign w:val="center"/>
          </w:tcPr>
          <w:p>
            <w:pPr>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估算时段（a）</w:t>
            </w:r>
          </w:p>
        </w:tc>
        <w:tc>
          <w:tcPr>
            <w:tcW w:w="3544" w:type="dxa"/>
            <w:gridSpan w:val="2"/>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预测时段（</w:t>
            </w:r>
            <w:r>
              <w:rPr>
                <w:rFonts w:ascii="Times New Roman" w:hAnsi="Times New Roman" w:eastAsia="仿宋_GB2312" w:cs="Times New Roman"/>
                <w:color w:val="auto"/>
                <w:sz w:val="21"/>
                <w:szCs w:val="21"/>
              </w:rPr>
              <w:t>a</w:t>
            </w:r>
            <w:r>
              <w:rPr>
                <w:rFonts w:hint="eastAsia" w:ascii="Times New Roman" w:hAnsi="Times New Roman" w:eastAsia="仿宋_GB2312"/>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70" w:hRule="atLeast"/>
          <w:jc w:val="center"/>
        </w:trPr>
        <w:tc>
          <w:tcPr>
            <w:tcW w:w="499" w:type="dxa"/>
            <w:vMerge w:val="continue"/>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p>
        </w:tc>
        <w:tc>
          <w:tcPr>
            <w:tcW w:w="3145" w:type="dxa"/>
            <w:gridSpan w:val="2"/>
            <w:vMerge w:val="continue"/>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p>
        </w:tc>
        <w:tc>
          <w:tcPr>
            <w:tcW w:w="1707" w:type="dxa"/>
            <w:tcMar>
              <w:top w:w="15" w:type="dxa"/>
              <w:left w:w="15" w:type="dxa"/>
              <w:bottom w:w="0" w:type="dxa"/>
              <w:right w:w="15" w:type="dxa"/>
            </w:tcMar>
            <w:vAlign w:val="center"/>
          </w:tcPr>
          <w:p>
            <w:pPr>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施工期</w:t>
            </w:r>
          </w:p>
          <w:p>
            <w:pPr>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（含施工准备期）</w:t>
            </w:r>
          </w:p>
        </w:tc>
        <w:tc>
          <w:tcPr>
            <w:tcW w:w="1843" w:type="dxa"/>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施工期</w:t>
            </w:r>
          </w:p>
          <w:p>
            <w:pPr>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（含施工准备期）</w:t>
            </w:r>
          </w:p>
        </w:tc>
        <w:tc>
          <w:tcPr>
            <w:tcW w:w="1701" w:type="dxa"/>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自然恢复期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70" w:hRule="atLeast"/>
          <w:jc w:val="center"/>
        </w:trPr>
        <w:tc>
          <w:tcPr>
            <w:tcW w:w="499" w:type="dxa"/>
            <w:vMerge w:val="restart"/>
            <w:shd w:val="clear" w:color="auto" w:fill="auto"/>
            <w:noWrap/>
            <w:tcMar>
              <w:top w:w="15" w:type="dxa"/>
              <w:left w:w="15" w:type="dxa"/>
              <w:bottom w:w="0" w:type="dxa"/>
              <w:right w:w="15"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992" w:type="dxa"/>
            <w:vMerge w:val="restart"/>
            <w:shd w:val="clear" w:color="auto" w:fill="auto"/>
            <w:noWrap/>
            <w:tcMar>
              <w:top w:w="15" w:type="dxa"/>
              <w:left w:w="15" w:type="dxa"/>
              <w:bottom w:w="0" w:type="dxa"/>
              <w:right w:w="15" w:type="dxa"/>
            </w:tcMar>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公共基础设施区</w:t>
            </w:r>
          </w:p>
        </w:tc>
        <w:tc>
          <w:tcPr>
            <w:tcW w:w="2153" w:type="dxa"/>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r>
              <w:rPr>
                <w:rFonts w:ascii="Times New Roman" w:hAnsi="Times New Roman" w:eastAsia="仿宋_GB2312" w:cs="Times New Roman"/>
                <w:color w:val="auto"/>
                <w:sz w:val="21"/>
                <w:szCs w:val="21"/>
              </w:rPr>
              <w:t>道路与交通设施用地区</w:t>
            </w:r>
          </w:p>
        </w:tc>
        <w:tc>
          <w:tcPr>
            <w:tcW w:w="1707" w:type="dxa"/>
            <w:tcMar>
              <w:top w:w="15" w:type="dxa"/>
              <w:left w:w="15" w:type="dxa"/>
              <w:bottom w:w="0" w:type="dxa"/>
              <w:right w:w="15" w:type="dxa"/>
            </w:tcMar>
            <w:vAlign w:val="center"/>
          </w:tcPr>
          <w:p>
            <w:pPr>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1.5</w:t>
            </w:r>
          </w:p>
        </w:tc>
        <w:tc>
          <w:tcPr>
            <w:tcW w:w="1843" w:type="dxa"/>
            <w:shd w:val="clear" w:color="auto" w:fill="auto"/>
            <w:noWrap/>
            <w:tcMar>
              <w:top w:w="15" w:type="dxa"/>
              <w:left w:w="15" w:type="dxa"/>
              <w:bottom w:w="0" w:type="dxa"/>
              <w:right w:w="15"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1.5</w:t>
            </w:r>
          </w:p>
        </w:tc>
        <w:tc>
          <w:tcPr>
            <w:tcW w:w="1701" w:type="dxa"/>
            <w:shd w:val="clear" w:color="auto" w:fill="auto"/>
            <w:noWrap/>
            <w:tcMar>
              <w:top w:w="15" w:type="dxa"/>
              <w:left w:w="15" w:type="dxa"/>
              <w:bottom w:w="0" w:type="dxa"/>
              <w:right w:w="15"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70" w:hRule="atLeast"/>
          <w:jc w:val="center"/>
        </w:trPr>
        <w:tc>
          <w:tcPr>
            <w:tcW w:w="499" w:type="dxa"/>
            <w:vMerge w:val="continue"/>
            <w:shd w:val="clear" w:color="auto" w:fill="auto"/>
            <w:noWrap/>
            <w:tcMar>
              <w:top w:w="15" w:type="dxa"/>
              <w:left w:w="15" w:type="dxa"/>
              <w:bottom w:w="0" w:type="dxa"/>
              <w:right w:w="15" w:type="dxa"/>
            </w:tcMar>
            <w:vAlign w:val="center"/>
          </w:tcPr>
          <w:p>
            <w:pPr>
              <w:jc w:val="center"/>
              <w:rPr>
                <w:rFonts w:ascii="Times New Roman" w:hAnsi="Times New Roman" w:eastAsia="仿宋_GB2312" w:cs="Times New Roman"/>
                <w:color w:val="auto"/>
                <w:sz w:val="21"/>
                <w:szCs w:val="21"/>
              </w:rPr>
            </w:pPr>
          </w:p>
        </w:tc>
        <w:tc>
          <w:tcPr>
            <w:tcW w:w="992" w:type="dxa"/>
            <w:vMerge w:val="continue"/>
            <w:shd w:val="clear" w:color="auto" w:fill="auto"/>
            <w:noWrap/>
            <w:tcMar>
              <w:top w:w="15" w:type="dxa"/>
              <w:left w:w="15" w:type="dxa"/>
              <w:bottom w:w="0" w:type="dxa"/>
              <w:right w:w="15" w:type="dxa"/>
            </w:tcMar>
            <w:vAlign w:val="center"/>
          </w:tcPr>
          <w:p>
            <w:pPr>
              <w:jc w:val="center"/>
              <w:rPr>
                <w:rFonts w:ascii="Times New Roman" w:hAnsi="Times New Roman" w:eastAsia="仿宋_GB2312" w:cs="Times New Roman"/>
                <w:color w:val="auto"/>
                <w:sz w:val="21"/>
                <w:szCs w:val="21"/>
              </w:rPr>
            </w:pPr>
          </w:p>
        </w:tc>
        <w:tc>
          <w:tcPr>
            <w:tcW w:w="2153" w:type="dxa"/>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r>
              <w:rPr>
                <w:rFonts w:ascii="Times New Roman" w:hAnsi="Times New Roman" w:eastAsia="仿宋_GB2312" w:cs="Times New Roman"/>
                <w:color w:val="auto"/>
                <w:sz w:val="21"/>
                <w:szCs w:val="21"/>
              </w:rPr>
              <w:t>公用设施用地区</w:t>
            </w:r>
          </w:p>
        </w:tc>
        <w:tc>
          <w:tcPr>
            <w:tcW w:w="1707" w:type="dxa"/>
            <w:tcMar>
              <w:top w:w="15" w:type="dxa"/>
              <w:left w:w="15" w:type="dxa"/>
              <w:bottom w:w="0" w:type="dxa"/>
              <w:right w:w="15"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w:t>
            </w:r>
          </w:p>
        </w:tc>
        <w:tc>
          <w:tcPr>
            <w:tcW w:w="1843" w:type="dxa"/>
            <w:shd w:val="clear" w:color="auto" w:fill="auto"/>
            <w:noWrap/>
            <w:tcMar>
              <w:top w:w="15" w:type="dxa"/>
              <w:left w:w="15" w:type="dxa"/>
              <w:bottom w:w="0" w:type="dxa"/>
              <w:right w:w="15"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c>
          <w:tcPr>
            <w:tcW w:w="1701" w:type="dxa"/>
            <w:shd w:val="clear" w:color="auto" w:fill="auto"/>
            <w:noWrap/>
            <w:tcMar>
              <w:top w:w="15" w:type="dxa"/>
              <w:left w:w="15" w:type="dxa"/>
              <w:bottom w:w="0" w:type="dxa"/>
              <w:right w:w="15"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70" w:hRule="atLeast"/>
          <w:jc w:val="center"/>
        </w:trPr>
        <w:tc>
          <w:tcPr>
            <w:tcW w:w="499" w:type="dxa"/>
            <w:vMerge w:val="continue"/>
            <w:shd w:val="clear" w:color="auto" w:fill="auto"/>
            <w:noWrap/>
            <w:tcMar>
              <w:top w:w="15" w:type="dxa"/>
              <w:left w:w="15" w:type="dxa"/>
              <w:bottom w:w="0" w:type="dxa"/>
              <w:right w:w="15" w:type="dxa"/>
            </w:tcMar>
            <w:vAlign w:val="center"/>
          </w:tcPr>
          <w:p>
            <w:pPr>
              <w:jc w:val="center"/>
              <w:rPr>
                <w:rFonts w:ascii="Times New Roman" w:hAnsi="Times New Roman" w:eastAsia="仿宋_GB2312" w:cs="Times New Roman"/>
                <w:color w:val="auto"/>
                <w:sz w:val="21"/>
                <w:szCs w:val="21"/>
              </w:rPr>
            </w:pPr>
          </w:p>
        </w:tc>
        <w:tc>
          <w:tcPr>
            <w:tcW w:w="992" w:type="dxa"/>
            <w:vMerge w:val="continue"/>
            <w:shd w:val="clear" w:color="auto" w:fill="auto"/>
            <w:noWrap/>
            <w:tcMar>
              <w:top w:w="15" w:type="dxa"/>
              <w:left w:w="15" w:type="dxa"/>
              <w:bottom w:w="0" w:type="dxa"/>
              <w:right w:w="15" w:type="dxa"/>
            </w:tcMar>
            <w:vAlign w:val="center"/>
          </w:tcPr>
          <w:p>
            <w:pPr>
              <w:jc w:val="center"/>
              <w:rPr>
                <w:rFonts w:ascii="Times New Roman" w:hAnsi="Times New Roman" w:eastAsia="仿宋_GB2312" w:cs="Times New Roman"/>
                <w:color w:val="auto"/>
                <w:sz w:val="21"/>
                <w:szCs w:val="21"/>
              </w:rPr>
            </w:pPr>
          </w:p>
        </w:tc>
        <w:tc>
          <w:tcPr>
            <w:tcW w:w="2153" w:type="dxa"/>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r>
              <w:rPr>
                <w:rFonts w:ascii="Times New Roman" w:hAnsi="Times New Roman" w:eastAsia="仿宋_GB2312" w:cs="Times New Roman"/>
                <w:color w:val="auto"/>
                <w:sz w:val="21"/>
                <w:szCs w:val="21"/>
              </w:rPr>
              <w:t>绿地区</w:t>
            </w:r>
          </w:p>
        </w:tc>
        <w:tc>
          <w:tcPr>
            <w:tcW w:w="1707" w:type="dxa"/>
            <w:tcMar>
              <w:top w:w="15" w:type="dxa"/>
              <w:left w:w="15" w:type="dxa"/>
              <w:bottom w:w="0" w:type="dxa"/>
              <w:right w:w="15"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w:t>
            </w:r>
          </w:p>
        </w:tc>
        <w:tc>
          <w:tcPr>
            <w:tcW w:w="1843" w:type="dxa"/>
            <w:shd w:val="clear" w:color="auto" w:fill="auto"/>
            <w:noWrap/>
            <w:tcMar>
              <w:top w:w="15" w:type="dxa"/>
              <w:left w:w="15" w:type="dxa"/>
              <w:bottom w:w="0" w:type="dxa"/>
              <w:right w:w="15"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w:t>
            </w:r>
          </w:p>
        </w:tc>
        <w:tc>
          <w:tcPr>
            <w:tcW w:w="1701" w:type="dxa"/>
            <w:shd w:val="clear" w:color="auto" w:fill="auto"/>
            <w:noWrap/>
            <w:tcMar>
              <w:top w:w="15" w:type="dxa"/>
              <w:left w:w="15" w:type="dxa"/>
              <w:bottom w:w="0" w:type="dxa"/>
              <w:right w:w="15"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70" w:hRule="atLeast"/>
          <w:jc w:val="center"/>
        </w:trPr>
        <w:tc>
          <w:tcPr>
            <w:tcW w:w="499" w:type="dxa"/>
            <w:vMerge w:val="restart"/>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r>
              <w:rPr>
                <w:rFonts w:ascii="Times New Roman" w:hAnsi="Times New Roman" w:eastAsia="仿宋_GB2312" w:cs="Times New Roman"/>
                <w:color w:val="auto"/>
                <w:sz w:val="21"/>
                <w:szCs w:val="21"/>
              </w:rPr>
              <w:t>2</w:t>
            </w:r>
          </w:p>
        </w:tc>
        <w:tc>
          <w:tcPr>
            <w:tcW w:w="992" w:type="dxa"/>
            <w:vMerge w:val="restart"/>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r>
              <w:rPr>
                <w:rFonts w:ascii="Times New Roman" w:hAnsi="Times New Roman" w:eastAsia="仿宋_GB2312" w:cs="Times New Roman"/>
                <w:color w:val="auto"/>
                <w:sz w:val="21"/>
                <w:szCs w:val="21"/>
              </w:rPr>
              <w:t>区域规划功能区</w:t>
            </w:r>
          </w:p>
        </w:tc>
        <w:tc>
          <w:tcPr>
            <w:tcW w:w="2153" w:type="dxa"/>
            <w:shd w:val="clear" w:color="auto" w:fill="auto"/>
            <w:noWrap/>
            <w:tcMar>
              <w:top w:w="15" w:type="dxa"/>
              <w:left w:w="15" w:type="dxa"/>
              <w:bottom w:w="0" w:type="dxa"/>
              <w:right w:w="15" w:type="dxa"/>
            </w:tcMar>
            <w:vAlign w:val="center"/>
          </w:tcPr>
          <w:p>
            <w:pPr>
              <w:jc w:val="center"/>
              <w:rPr>
                <w:rFonts w:hint="eastAsia" w:ascii="Times New Roman" w:hAnsi="Times New Roman" w:eastAsia="仿宋_GB2312"/>
                <w:color w:val="auto"/>
                <w:sz w:val="21"/>
                <w:szCs w:val="21"/>
                <w:lang w:eastAsia="zh-CN"/>
              </w:rPr>
            </w:pPr>
            <w:r>
              <w:rPr>
                <w:rFonts w:hint="eastAsia" w:ascii="Times New Roman" w:hAnsi="Times New Roman" w:eastAsia="仿宋_GB2312"/>
                <w:color w:val="auto"/>
                <w:sz w:val="21"/>
                <w:szCs w:val="21"/>
                <w:lang w:eastAsia="zh-CN"/>
              </w:rPr>
              <w:t>已建工程区</w:t>
            </w:r>
          </w:p>
        </w:tc>
        <w:tc>
          <w:tcPr>
            <w:tcW w:w="1707" w:type="dxa"/>
            <w:tcMar>
              <w:top w:w="15" w:type="dxa"/>
              <w:left w:w="15" w:type="dxa"/>
              <w:bottom w:w="0" w:type="dxa"/>
              <w:right w:w="15" w:type="dxa"/>
            </w:tcMar>
            <w:vAlign w:val="center"/>
          </w:tcPr>
          <w:p>
            <w:pPr>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1.5</w:t>
            </w:r>
          </w:p>
        </w:tc>
        <w:tc>
          <w:tcPr>
            <w:tcW w:w="1843" w:type="dxa"/>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1</w:t>
            </w:r>
          </w:p>
        </w:tc>
        <w:tc>
          <w:tcPr>
            <w:tcW w:w="1701" w:type="dxa"/>
            <w:shd w:val="clear" w:color="auto" w:fill="auto"/>
            <w:noWrap/>
            <w:tcMar>
              <w:top w:w="15" w:type="dxa"/>
              <w:left w:w="15" w:type="dxa"/>
              <w:bottom w:w="0" w:type="dxa"/>
              <w:right w:w="15"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70" w:hRule="atLeast"/>
          <w:jc w:val="center"/>
        </w:trPr>
        <w:tc>
          <w:tcPr>
            <w:tcW w:w="499" w:type="dxa"/>
            <w:vMerge w:val="continue"/>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p>
        </w:tc>
        <w:tc>
          <w:tcPr>
            <w:tcW w:w="992" w:type="dxa"/>
            <w:vMerge w:val="continue"/>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p>
        </w:tc>
        <w:tc>
          <w:tcPr>
            <w:tcW w:w="2153" w:type="dxa"/>
            <w:shd w:val="clear" w:color="auto" w:fill="auto"/>
            <w:noWrap/>
            <w:tcMar>
              <w:top w:w="15" w:type="dxa"/>
              <w:left w:w="15" w:type="dxa"/>
              <w:bottom w:w="0" w:type="dxa"/>
              <w:right w:w="15" w:type="dxa"/>
            </w:tcMar>
            <w:vAlign w:val="center"/>
          </w:tcPr>
          <w:p>
            <w:pPr>
              <w:jc w:val="center"/>
              <w:rPr>
                <w:rFonts w:hint="eastAsia" w:ascii="Times New Roman" w:hAnsi="Times New Roman" w:eastAsia="仿宋_GB2312"/>
                <w:color w:val="auto"/>
                <w:sz w:val="21"/>
                <w:szCs w:val="21"/>
                <w:lang w:eastAsia="zh-CN"/>
              </w:rPr>
            </w:pPr>
            <w:r>
              <w:rPr>
                <w:rFonts w:hint="eastAsia" w:ascii="Times New Roman" w:hAnsi="Times New Roman" w:eastAsia="仿宋_GB2312"/>
                <w:color w:val="auto"/>
                <w:sz w:val="21"/>
                <w:szCs w:val="21"/>
                <w:lang w:eastAsia="zh-CN"/>
              </w:rPr>
              <w:t>待建工程区</w:t>
            </w:r>
          </w:p>
        </w:tc>
        <w:tc>
          <w:tcPr>
            <w:tcW w:w="1707" w:type="dxa"/>
            <w:tcMar>
              <w:top w:w="15" w:type="dxa"/>
              <w:left w:w="15" w:type="dxa"/>
              <w:bottom w:w="0" w:type="dxa"/>
              <w:right w:w="15" w:type="dxa"/>
            </w:tcMar>
            <w:vAlign w:val="center"/>
          </w:tcPr>
          <w:p>
            <w:pPr>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w:t>
            </w:r>
          </w:p>
        </w:tc>
        <w:tc>
          <w:tcPr>
            <w:tcW w:w="1843" w:type="dxa"/>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1</w:t>
            </w:r>
          </w:p>
        </w:tc>
        <w:tc>
          <w:tcPr>
            <w:tcW w:w="1701" w:type="dxa"/>
            <w:shd w:val="clear" w:color="auto" w:fill="auto"/>
            <w:noWrap/>
            <w:tcMar>
              <w:top w:w="15" w:type="dxa"/>
              <w:left w:w="15" w:type="dxa"/>
              <w:bottom w:w="0" w:type="dxa"/>
              <w:right w:w="15" w:type="dxa"/>
            </w:tcMar>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70" w:hRule="atLeast"/>
          <w:jc w:val="center"/>
        </w:trPr>
        <w:tc>
          <w:tcPr>
            <w:tcW w:w="499" w:type="dxa"/>
            <w:vMerge w:val="restart"/>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r>
              <w:rPr>
                <w:rFonts w:ascii="Times New Roman" w:hAnsi="Times New Roman" w:eastAsia="仿宋_GB2312" w:cs="Times New Roman"/>
                <w:color w:val="auto"/>
                <w:sz w:val="21"/>
                <w:szCs w:val="21"/>
              </w:rPr>
              <w:t>3</w:t>
            </w:r>
          </w:p>
        </w:tc>
        <w:tc>
          <w:tcPr>
            <w:tcW w:w="992" w:type="dxa"/>
            <w:vMerge w:val="restart"/>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r>
              <w:rPr>
                <w:rFonts w:ascii="Times New Roman" w:hAnsi="Times New Roman" w:eastAsia="仿宋_GB2312" w:cs="Times New Roman"/>
                <w:color w:val="auto"/>
                <w:sz w:val="21"/>
                <w:szCs w:val="21"/>
              </w:rPr>
              <w:t>施工临时设施区</w:t>
            </w:r>
          </w:p>
        </w:tc>
        <w:tc>
          <w:tcPr>
            <w:tcW w:w="2153" w:type="dxa"/>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r>
              <w:rPr>
                <w:rFonts w:ascii="Times New Roman" w:hAnsi="Times New Roman" w:eastAsia="仿宋_GB2312" w:cs="Times New Roman"/>
                <w:color w:val="auto"/>
                <w:sz w:val="21"/>
                <w:szCs w:val="21"/>
              </w:rPr>
              <w:t>临时</w:t>
            </w:r>
            <w:r>
              <w:rPr>
                <w:rFonts w:hint="eastAsia" w:ascii="Times New Roman" w:hAnsi="Times New Roman" w:eastAsia="仿宋_GB2312" w:cs="Times New Roman"/>
                <w:color w:val="auto"/>
                <w:sz w:val="21"/>
                <w:szCs w:val="21"/>
                <w:lang w:eastAsia="zh-CN"/>
              </w:rPr>
              <w:t>堆土场</w:t>
            </w:r>
            <w:r>
              <w:rPr>
                <w:rFonts w:ascii="Times New Roman" w:hAnsi="Times New Roman" w:eastAsia="仿宋_GB2312" w:cs="Times New Roman"/>
                <w:color w:val="auto"/>
                <w:sz w:val="21"/>
                <w:szCs w:val="21"/>
              </w:rPr>
              <w:t>区</w:t>
            </w:r>
          </w:p>
        </w:tc>
        <w:tc>
          <w:tcPr>
            <w:tcW w:w="1707" w:type="dxa"/>
            <w:tcMar>
              <w:top w:w="15" w:type="dxa"/>
              <w:left w:w="15" w:type="dxa"/>
              <w:bottom w:w="0" w:type="dxa"/>
              <w:right w:w="15" w:type="dxa"/>
            </w:tcMar>
            <w:vAlign w:val="center"/>
          </w:tcPr>
          <w:p>
            <w:pPr>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w:t>
            </w:r>
          </w:p>
        </w:tc>
        <w:tc>
          <w:tcPr>
            <w:tcW w:w="1843" w:type="dxa"/>
            <w:shd w:val="clear" w:color="auto" w:fill="auto"/>
            <w:noWrap/>
            <w:tcMar>
              <w:top w:w="15" w:type="dxa"/>
              <w:left w:w="15" w:type="dxa"/>
              <w:bottom w:w="0" w:type="dxa"/>
              <w:right w:w="15" w:type="dxa"/>
            </w:tcMar>
            <w:vAlign w:val="center"/>
          </w:tcPr>
          <w:p>
            <w:pPr>
              <w:jc w:val="center"/>
              <w:rPr>
                <w:rFonts w:hint="default" w:ascii="Times New Roman" w:hAnsi="Times New Roman" w:eastAsia="仿宋_GB2312"/>
                <w:color w:val="auto"/>
                <w:sz w:val="21"/>
                <w:szCs w:val="21"/>
                <w:lang w:val="en-US" w:eastAsia="zh-CN"/>
              </w:rPr>
            </w:pPr>
            <w:r>
              <w:rPr>
                <w:rFonts w:hint="eastAsia" w:ascii="Times New Roman" w:hAnsi="Times New Roman" w:eastAsia="仿宋_GB2312"/>
                <w:color w:val="auto"/>
                <w:sz w:val="21"/>
                <w:szCs w:val="21"/>
                <w:lang w:val="en-US" w:eastAsia="zh-CN"/>
              </w:rPr>
              <w:t>2.5</w:t>
            </w:r>
          </w:p>
        </w:tc>
        <w:tc>
          <w:tcPr>
            <w:tcW w:w="1701" w:type="dxa"/>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70" w:hRule="atLeast"/>
          <w:jc w:val="center"/>
        </w:trPr>
        <w:tc>
          <w:tcPr>
            <w:tcW w:w="499" w:type="dxa"/>
            <w:vMerge w:val="continue"/>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p>
        </w:tc>
        <w:tc>
          <w:tcPr>
            <w:tcW w:w="992" w:type="dxa"/>
            <w:vMerge w:val="continue"/>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p>
        </w:tc>
        <w:tc>
          <w:tcPr>
            <w:tcW w:w="2153" w:type="dxa"/>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r>
              <w:rPr>
                <w:rFonts w:ascii="Times New Roman" w:hAnsi="Times New Roman" w:eastAsia="仿宋_GB2312" w:cs="Times New Roman"/>
                <w:color w:val="auto"/>
                <w:sz w:val="21"/>
                <w:szCs w:val="21"/>
              </w:rPr>
              <w:t>苗木移栽区</w:t>
            </w:r>
          </w:p>
        </w:tc>
        <w:tc>
          <w:tcPr>
            <w:tcW w:w="1707" w:type="dxa"/>
            <w:tcMar>
              <w:top w:w="15" w:type="dxa"/>
              <w:left w:w="15" w:type="dxa"/>
              <w:bottom w:w="0" w:type="dxa"/>
              <w:right w:w="15" w:type="dxa"/>
            </w:tcMar>
            <w:vAlign w:val="center"/>
          </w:tcPr>
          <w:p>
            <w:pPr>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w:t>
            </w:r>
          </w:p>
        </w:tc>
        <w:tc>
          <w:tcPr>
            <w:tcW w:w="1843" w:type="dxa"/>
            <w:shd w:val="clear" w:color="auto" w:fill="auto"/>
            <w:noWrap/>
            <w:tcMar>
              <w:top w:w="15" w:type="dxa"/>
              <w:left w:w="15" w:type="dxa"/>
              <w:bottom w:w="0" w:type="dxa"/>
              <w:right w:w="15" w:type="dxa"/>
            </w:tcMar>
            <w:vAlign w:val="center"/>
          </w:tcPr>
          <w:p>
            <w:pPr>
              <w:jc w:val="center"/>
              <w:rPr>
                <w:rFonts w:hint="default" w:ascii="Times New Roman" w:hAnsi="Times New Roman" w:eastAsia="仿宋_GB2312"/>
                <w:color w:val="auto"/>
                <w:sz w:val="21"/>
                <w:szCs w:val="21"/>
                <w:lang w:val="en-US" w:eastAsia="zh-CN"/>
              </w:rPr>
            </w:pPr>
            <w:r>
              <w:rPr>
                <w:rFonts w:hint="eastAsia" w:ascii="Times New Roman" w:hAnsi="Times New Roman" w:eastAsia="仿宋_GB2312"/>
                <w:color w:val="auto"/>
                <w:sz w:val="21"/>
                <w:szCs w:val="21"/>
                <w:lang w:val="en-US" w:eastAsia="zh-CN"/>
              </w:rPr>
              <w:t>1.5</w:t>
            </w:r>
          </w:p>
        </w:tc>
        <w:tc>
          <w:tcPr>
            <w:tcW w:w="1701" w:type="dxa"/>
            <w:shd w:val="clear" w:color="auto" w:fill="auto"/>
            <w:noWrap/>
            <w:tcMar>
              <w:top w:w="15" w:type="dxa"/>
              <w:left w:w="15" w:type="dxa"/>
              <w:bottom w:w="0" w:type="dxa"/>
              <w:right w:w="15" w:type="dxa"/>
            </w:tcMar>
            <w:vAlign w:val="center"/>
          </w:tcPr>
          <w:p>
            <w:pPr>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w:t>
            </w:r>
          </w:p>
        </w:tc>
      </w:tr>
    </w:tbl>
    <w:p>
      <w:pPr>
        <w:pStyle w:val="6"/>
        <w:rPr>
          <w:rFonts w:eastAsia="仿宋_GB2312"/>
          <w:bCs w:val="0"/>
          <w:color w:val="auto"/>
        </w:rPr>
      </w:pPr>
      <w:r>
        <w:rPr>
          <w:bCs w:val="0"/>
          <w:color w:val="auto"/>
        </w:rPr>
        <w:t>4.3.3</w:t>
      </w:r>
      <w:r>
        <w:rPr>
          <w:rFonts w:eastAsia="仿宋_GB2312"/>
          <w:bCs w:val="0"/>
          <w:color w:val="auto"/>
        </w:rPr>
        <w:t>土壤侵蚀模数</w:t>
      </w:r>
    </w:p>
    <w:p>
      <w:pPr>
        <w:pStyle w:val="7"/>
        <w:spacing w:line="360" w:lineRule="auto"/>
        <w:rPr>
          <w:rFonts w:eastAsia="仿宋_GB2312"/>
          <w:color w:val="auto"/>
          <w:sz w:val="28"/>
          <w:szCs w:val="28"/>
        </w:rPr>
      </w:pPr>
      <w:r>
        <w:rPr>
          <w:rFonts w:eastAsia="仿宋_GB2312"/>
          <w:color w:val="auto"/>
          <w:sz w:val="28"/>
          <w:szCs w:val="28"/>
        </w:rPr>
        <w:t>4.3.3.1原地貌土壤侵蚀模数</w:t>
      </w:r>
    </w:p>
    <w:p>
      <w:pPr>
        <w:pStyle w:val="148"/>
        <w:spacing w:line="360" w:lineRule="auto"/>
        <w:ind w:firstLine="482"/>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规划</w:t>
      </w:r>
      <w:r>
        <w:rPr>
          <w:rFonts w:ascii="Times New Roman" w:hAnsi="Times New Roman" w:eastAsia="仿宋_GB2312" w:cs="Times New Roman"/>
          <w:color w:val="auto"/>
          <w:szCs w:val="24"/>
        </w:rPr>
        <w:t>区域的土壤侵蚀背景值通过查阅区域土壤侵蚀背景资料、水土保持规划资料，结合项目区域内地形地貌、土地利用现状、降雨情况、土壤母质和植被覆盖等进行综合分析，经实地踏勘、调查并咨询当地水土保持专家意见综合确定。</w:t>
      </w:r>
    </w:p>
    <w:p>
      <w:pPr>
        <w:pStyle w:val="148"/>
        <w:spacing w:line="360" w:lineRule="auto"/>
        <w:ind w:firstLine="480"/>
        <w:rPr>
          <w:rFonts w:ascii="Times New Roman" w:hAnsi="Times New Roman" w:eastAsia="仿宋_GB2312" w:cs="Times New Roman"/>
          <w:color w:val="auto"/>
        </w:rPr>
      </w:pPr>
      <w:r>
        <w:rPr>
          <w:rFonts w:hint="eastAsia" w:ascii="Times New Roman" w:hAnsi="Times New Roman" w:eastAsia="仿宋_GB2312" w:cs="Times New Roman"/>
          <w:color w:val="auto"/>
          <w:szCs w:val="24"/>
        </w:rPr>
        <w:t>规划</w:t>
      </w:r>
      <w:r>
        <w:rPr>
          <w:rFonts w:ascii="Times New Roman" w:hAnsi="Times New Roman" w:eastAsia="仿宋_GB2312" w:cs="Times New Roman"/>
          <w:color w:val="auto"/>
          <w:szCs w:val="24"/>
        </w:rPr>
        <w:t>区域主要土壤侵蚀类型为水力侵蚀。结合土地利用现状和现场调查，区域内的水土流失强度以微度为主，确定</w:t>
      </w: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区域土壤侵蚀模数背景值取</w:t>
      </w:r>
      <w:r>
        <w:rPr>
          <w:rFonts w:hint="eastAsia" w:ascii="Times New Roman" w:hAnsi="Times New Roman" w:eastAsia="仿宋_GB2312" w:cs="Times New Roman"/>
          <w:color w:val="auto"/>
          <w:szCs w:val="24"/>
        </w:rPr>
        <w:t>3</w:t>
      </w:r>
      <w:r>
        <w:rPr>
          <w:rFonts w:hint="eastAsia" w:ascii="Times New Roman" w:hAnsi="Times New Roman" w:eastAsia="仿宋_GB2312" w:cs="Times New Roman"/>
          <w:color w:val="auto"/>
          <w:szCs w:val="24"/>
          <w:lang w:val="en-US" w:eastAsia="zh-CN"/>
        </w:rPr>
        <w:t>89</w:t>
      </w:r>
      <w:r>
        <w:rPr>
          <w:rFonts w:hint="eastAsia" w:ascii="Times New Roman" w:hAnsi="Times New Roman" w:eastAsia="仿宋_GB2312" w:cs="Times New Roman"/>
          <w:color w:val="auto"/>
          <w:szCs w:val="24"/>
        </w:rPr>
        <w:t>t</w:t>
      </w:r>
      <w:r>
        <w:rPr>
          <w:rFonts w:ascii="Times New Roman" w:hAnsi="Times New Roman" w:eastAsia="仿宋_GB2312" w:cs="Times New Roman"/>
          <w:color w:val="auto"/>
          <w:szCs w:val="24"/>
        </w:rPr>
        <w:t>/km</w:t>
      </w:r>
      <w:r>
        <w:rPr>
          <w:rFonts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·a。</w:t>
      </w:r>
    </w:p>
    <w:p>
      <w:pPr>
        <w:pStyle w:val="7"/>
        <w:spacing w:line="360" w:lineRule="auto"/>
        <w:rPr>
          <w:rFonts w:eastAsia="仿宋_GB2312"/>
          <w:color w:val="auto"/>
          <w:sz w:val="28"/>
          <w:szCs w:val="28"/>
        </w:rPr>
      </w:pPr>
      <w:r>
        <w:rPr>
          <w:rFonts w:eastAsia="仿宋_GB2312"/>
          <w:color w:val="auto"/>
          <w:sz w:val="28"/>
          <w:szCs w:val="28"/>
        </w:rPr>
        <w:t>4.3.3.2扰动后土壤侵蚀模数</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评估区域</w:t>
      </w:r>
      <w:r>
        <w:rPr>
          <w:rFonts w:ascii="Times New Roman" w:hAnsi="Times New Roman" w:eastAsia="仿宋_GB2312" w:cs="Times New Roman"/>
          <w:color w:val="auto"/>
          <w:szCs w:val="24"/>
        </w:rPr>
        <w:t>扰动地表后土壤侵蚀模数采用数学模型法确定。根据《生产建设项目土壤流失量测算导则》（SL773-2018）和现场实际情况，确定</w:t>
      </w:r>
      <w:r>
        <w:rPr>
          <w:rFonts w:hint="eastAsia" w:ascii="Times New Roman" w:hAnsi="Times New Roman" w:eastAsia="仿宋_GB2312" w:cs="Times New Roman"/>
          <w:color w:val="auto"/>
          <w:szCs w:val="24"/>
        </w:rPr>
        <w:t>评估区域</w:t>
      </w:r>
      <w:r>
        <w:rPr>
          <w:rFonts w:ascii="Times New Roman" w:hAnsi="Times New Roman" w:eastAsia="仿宋_GB2312" w:cs="Times New Roman"/>
          <w:color w:val="auto"/>
          <w:szCs w:val="24"/>
        </w:rPr>
        <w:t>扰动后土壤侵蚀模数计算采用如下公式：</w:t>
      </w:r>
    </w:p>
    <w:p>
      <w:pPr>
        <w:snapToGrid w:val="0"/>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rPr>
        <w:t>（1）地表翻扰型一般扰动地表计算单元土壤流失量</w:t>
      </w:r>
      <w:r>
        <w:rPr>
          <w:rFonts w:hint="eastAsia" w:ascii="Times New Roman" w:hAnsi="Times New Roman" w:eastAsia="仿宋_GB2312" w:cs="Times New Roman"/>
          <w:color w:val="auto"/>
        </w:rPr>
        <w:t>测算</w:t>
      </w:r>
      <w:r>
        <w:rPr>
          <w:rFonts w:ascii="Times New Roman" w:hAnsi="Times New Roman" w:eastAsia="仿宋_GB2312" w:cs="Times New Roman"/>
          <w:color w:val="auto"/>
        </w:rPr>
        <w:t>公式</w:t>
      </w:r>
      <w:r>
        <w:rPr>
          <w:rFonts w:hint="eastAsia" w:ascii="Times New Roman" w:hAnsi="Times New Roman" w:eastAsia="仿宋_GB2312" w:cs="Times New Roman"/>
          <w:color w:val="auto"/>
        </w:rPr>
        <w:t>：</w:t>
      </w:r>
    </w:p>
    <w:p>
      <w:pPr>
        <w:snapToGrid w:val="0"/>
        <w:spacing w:line="360" w:lineRule="auto"/>
        <w:jc w:val="center"/>
        <w:rPr>
          <w:rFonts w:ascii="Times New Roman" w:hAnsi="Times New Roman" w:eastAsia="仿宋_GB2312" w:cs="Times New Roman"/>
          <w:color w:val="auto"/>
          <w:szCs w:val="24"/>
        </w:rPr>
      </w:pPr>
      <w:r>
        <w:rPr>
          <w:rFonts w:ascii="Times New Roman" w:hAnsi="Times New Roman" w:eastAsia="仿宋_GB2312" w:cs="Times New Roman"/>
          <w:color w:val="auto"/>
          <w:szCs w:val="24"/>
        </w:rPr>
        <w:t>M</w:t>
      </w:r>
      <w:r>
        <w:rPr>
          <w:rFonts w:hint="eastAsia" w:ascii="Times New Roman" w:hAnsi="Times New Roman" w:eastAsia="仿宋_GB2312" w:cs="Times New Roman"/>
          <w:color w:val="auto"/>
          <w:szCs w:val="24"/>
          <w:vertAlign w:val="subscript"/>
        </w:rPr>
        <w:t>yd</w:t>
      </w:r>
      <w:r>
        <w:rPr>
          <w:rFonts w:ascii="Times New Roman" w:hAnsi="Times New Roman" w:eastAsia="仿宋_GB2312" w:cs="Times New Roman"/>
          <w:color w:val="auto"/>
          <w:szCs w:val="24"/>
        </w:rPr>
        <w:t>=RK</w:t>
      </w:r>
      <w:r>
        <w:rPr>
          <w:rFonts w:hint="eastAsia" w:ascii="Times New Roman" w:hAnsi="Times New Roman" w:eastAsia="仿宋_GB2312" w:cs="Times New Roman"/>
          <w:color w:val="auto"/>
          <w:szCs w:val="24"/>
          <w:vertAlign w:val="subscript"/>
        </w:rPr>
        <w:t>yd</w:t>
      </w:r>
      <w:r>
        <w:rPr>
          <w:rFonts w:ascii="Times New Roman" w:hAnsi="Times New Roman" w:eastAsia="仿宋_GB2312" w:cs="Times New Roman"/>
          <w:color w:val="auto"/>
          <w:szCs w:val="24"/>
        </w:rPr>
        <w:t>L</w:t>
      </w:r>
      <w:r>
        <w:rPr>
          <w:rFonts w:ascii="Times New Roman" w:hAnsi="Times New Roman" w:eastAsia="仿宋_GB2312" w:cs="Times New Roman"/>
          <w:color w:val="auto"/>
          <w:szCs w:val="24"/>
          <w:vertAlign w:val="subscript"/>
        </w:rPr>
        <w:t>y</w:t>
      </w:r>
      <w:r>
        <w:rPr>
          <w:rFonts w:ascii="Times New Roman" w:hAnsi="Times New Roman" w:eastAsia="仿宋_GB2312" w:cs="Times New Roman"/>
          <w:color w:val="auto"/>
          <w:szCs w:val="24"/>
        </w:rPr>
        <w:t>S</w:t>
      </w:r>
      <w:r>
        <w:rPr>
          <w:rFonts w:ascii="Times New Roman" w:hAnsi="Times New Roman" w:eastAsia="仿宋_GB2312" w:cs="Times New Roman"/>
          <w:color w:val="auto"/>
          <w:szCs w:val="24"/>
          <w:vertAlign w:val="subscript"/>
        </w:rPr>
        <w:t>y</w:t>
      </w:r>
      <w:r>
        <w:rPr>
          <w:rFonts w:ascii="Times New Roman" w:hAnsi="Times New Roman" w:eastAsia="仿宋_GB2312" w:cs="Times New Roman"/>
          <w:color w:val="auto"/>
          <w:szCs w:val="24"/>
        </w:rPr>
        <w:t>BET</w:t>
      </w:r>
    </w:p>
    <w:p>
      <w:pPr>
        <w:snapToGrid w:val="0"/>
        <w:spacing w:line="360" w:lineRule="auto"/>
        <w:rPr>
          <w:rFonts w:ascii="Times New Roman" w:hAnsi="Times New Roman" w:eastAsia="仿宋_GB2312" w:cs="Times New Roman"/>
          <w:color w:val="auto"/>
          <w:szCs w:val="24"/>
        </w:rPr>
      </w:pPr>
      <w:r>
        <w:rPr>
          <w:rFonts w:ascii="Times New Roman" w:hAnsi="Times New Roman" w:eastAsia="仿宋_GB2312" w:cs="Times New Roman"/>
          <w:color w:val="auto"/>
          <w:szCs w:val="24"/>
        </w:rPr>
        <w:t>式中：M</w:t>
      </w:r>
      <w:r>
        <w:rPr>
          <w:rFonts w:hint="eastAsia" w:ascii="Times New Roman" w:hAnsi="Times New Roman" w:eastAsia="仿宋_GB2312" w:cs="Times New Roman"/>
          <w:color w:val="auto"/>
          <w:szCs w:val="24"/>
          <w:vertAlign w:val="subscript"/>
        </w:rPr>
        <w:t>yd</w:t>
      </w:r>
      <w:r>
        <w:rPr>
          <w:rFonts w:ascii="Times New Roman" w:hAnsi="Times New Roman" w:eastAsia="仿宋_GB2312" w:cs="Times New Roman"/>
          <w:color w:val="auto"/>
          <w:szCs w:val="24"/>
        </w:rPr>
        <w:t>为</w:t>
      </w:r>
      <w:r>
        <w:rPr>
          <w:rFonts w:hint="eastAsia" w:ascii="Times New Roman" w:hAnsi="Times New Roman" w:eastAsia="仿宋_GB2312" w:cs="Times New Roman"/>
          <w:color w:val="auto"/>
          <w:szCs w:val="24"/>
        </w:rPr>
        <w:t>地表翻扰型一般扰动地表计算</w:t>
      </w:r>
      <w:r>
        <w:rPr>
          <w:rFonts w:ascii="Times New Roman" w:hAnsi="Times New Roman" w:eastAsia="仿宋_GB2312" w:cs="Times New Roman"/>
          <w:color w:val="auto"/>
          <w:szCs w:val="24"/>
        </w:rPr>
        <w:t>单位面积的土壤流失量，单位：t/hm</w:t>
      </w:r>
      <w:r>
        <w:rPr>
          <w:rFonts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w:t>
      </w:r>
    </w:p>
    <w:p>
      <w:pPr>
        <w:snapToGrid w:val="0"/>
        <w:spacing w:line="360" w:lineRule="auto"/>
        <w:ind w:firstLine="72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Cs w:val="24"/>
        </w:rPr>
        <w:t>R为降雨侵蚀力因子，单位：MJ·mm/（hm</w:t>
      </w:r>
      <w:r>
        <w:rPr>
          <w:rFonts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·h）；</w:t>
      </w:r>
    </w:p>
    <w:p>
      <w:pPr>
        <w:snapToGrid w:val="0"/>
        <w:spacing w:line="360" w:lineRule="auto"/>
        <w:ind w:firstLine="72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Cs w:val="24"/>
        </w:rPr>
        <w:t>K</w:t>
      </w:r>
      <w:r>
        <w:rPr>
          <w:rFonts w:ascii="Times New Roman" w:hAnsi="Times New Roman" w:eastAsia="仿宋_GB2312" w:cs="Times New Roman"/>
          <w:color w:val="auto"/>
          <w:szCs w:val="24"/>
          <w:vertAlign w:val="subscript"/>
        </w:rPr>
        <w:t>yd</w:t>
      </w:r>
      <w:r>
        <w:rPr>
          <w:rFonts w:ascii="Times New Roman" w:hAnsi="Times New Roman" w:eastAsia="仿宋_GB2312" w:cs="Times New Roman"/>
          <w:color w:val="auto"/>
          <w:szCs w:val="24"/>
        </w:rPr>
        <w:t>为土壤可蚀性因子，单位：t·hm</w:t>
      </w:r>
      <w:r>
        <w:rPr>
          <w:rFonts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·h/（hm</w:t>
      </w:r>
      <w:r>
        <w:rPr>
          <w:rFonts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·MJ·mm）；</w:t>
      </w:r>
    </w:p>
    <w:p>
      <w:pPr>
        <w:snapToGrid w:val="0"/>
        <w:spacing w:line="360" w:lineRule="auto"/>
        <w:ind w:firstLine="72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Cs w:val="24"/>
        </w:rPr>
        <w:t>L</w:t>
      </w:r>
      <w:r>
        <w:rPr>
          <w:rFonts w:ascii="Times New Roman" w:hAnsi="Times New Roman" w:eastAsia="仿宋_GB2312" w:cs="Times New Roman"/>
          <w:color w:val="auto"/>
          <w:szCs w:val="24"/>
          <w:vertAlign w:val="subscript"/>
        </w:rPr>
        <w:t>y</w:t>
      </w:r>
      <w:r>
        <w:rPr>
          <w:rFonts w:ascii="Times New Roman" w:hAnsi="Times New Roman" w:eastAsia="仿宋_GB2312" w:cs="Times New Roman"/>
          <w:color w:val="auto"/>
          <w:szCs w:val="24"/>
        </w:rPr>
        <w:t>为坡长因子，无量纲；</w:t>
      </w:r>
    </w:p>
    <w:p>
      <w:pPr>
        <w:snapToGrid w:val="0"/>
        <w:spacing w:line="360" w:lineRule="auto"/>
        <w:ind w:firstLine="72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Cs w:val="24"/>
        </w:rPr>
        <w:t>S</w:t>
      </w:r>
      <w:r>
        <w:rPr>
          <w:rFonts w:ascii="Times New Roman" w:hAnsi="Times New Roman" w:eastAsia="仿宋_GB2312" w:cs="Times New Roman"/>
          <w:color w:val="auto"/>
          <w:szCs w:val="24"/>
          <w:vertAlign w:val="subscript"/>
        </w:rPr>
        <w:t>y</w:t>
      </w:r>
      <w:r>
        <w:rPr>
          <w:rFonts w:ascii="Times New Roman" w:hAnsi="Times New Roman" w:eastAsia="仿宋_GB2312" w:cs="Times New Roman"/>
          <w:color w:val="auto"/>
          <w:szCs w:val="24"/>
        </w:rPr>
        <w:t>为坡度因子，无量纲；</w:t>
      </w:r>
    </w:p>
    <w:p>
      <w:pPr>
        <w:snapToGrid w:val="0"/>
        <w:spacing w:line="360" w:lineRule="auto"/>
        <w:ind w:firstLine="72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Cs w:val="24"/>
        </w:rPr>
        <w:t>B为植被覆盖因子，无量纲；</w:t>
      </w:r>
    </w:p>
    <w:p>
      <w:pPr>
        <w:snapToGrid w:val="0"/>
        <w:spacing w:line="360" w:lineRule="auto"/>
        <w:ind w:firstLine="72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Cs w:val="24"/>
        </w:rPr>
        <w:t>E为工程措施因子，无量纲；</w:t>
      </w:r>
    </w:p>
    <w:p>
      <w:pPr>
        <w:snapToGrid w:val="0"/>
        <w:spacing w:line="360" w:lineRule="auto"/>
        <w:ind w:firstLine="72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Cs w:val="24"/>
        </w:rPr>
        <w:t>T为耕作措施因子，无量纲</w:t>
      </w:r>
      <w:r>
        <w:rPr>
          <w:rFonts w:hint="eastAsia" w:ascii="Times New Roman" w:hAnsi="Times New Roman" w:eastAsia="仿宋_GB2312" w:cs="Times New Roman"/>
          <w:color w:val="auto"/>
          <w:szCs w:val="24"/>
        </w:rPr>
        <w:t>；</w:t>
      </w:r>
    </w:p>
    <w:p>
      <w:pPr>
        <w:snapToGrid w:val="0"/>
        <w:spacing w:line="360" w:lineRule="auto"/>
        <w:rPr>
          <w:rFonts w:ascii="Times New Roman" w:hAnsi="Times New Roman" w:eastAsia="仿宋_GB2312" w:cs="Times New Roman"/>
          <w:color w:val="auto"/>
          <w:szCs w:val="24"/>
        </w:rPr>
      </w:pPr>
      <w:r>
        <w:rPr>
          <w:rFonts w:ascii="Times New Roman" w:hAnsi="Times New Roman" w:eastAsia="仿宋_GB2312" w:cs="Times New Roman"/>
          <w:color w:val="auto"/>
          <w:szCs w:val="24"/>
        </w:rPr>
        <w:t>其中：</w:t>
      </w:r>
    </w:p>
    <w:p>
      <w:pPr>
        <w:snapToGrid w:val="0"/>
        <w:spacing w:line="360" w:lineRule="auto"/>
        <w:jc w:val="center"/>
        <w:rPr>
          <w:rFonts w:ascii="Times New Roman" w:hAnsi="Times New Roman" w:eastAsia="仿宋_GB2312" w:cs="Times New Roman"/>
          <w:color w:val="auto"/>
          <w:szCs w:val="24"/>
        </w:rPr>
      </w:pPr>
      <w:r>
        <w:rPr>
          <w:rFonts w:ascii="Times New Roman" w:hAnsi="Times New Roman" w:eastAsia="仿宋_GB2312" w:cs="Times New Roman"/>
          <w:color w:val="auto"/>
          <w:szCs w:val="24"/>
        </w:rPr>
        <w:t>R=R</w:t>
      </w:r>
      <w:r>
        <w:rPr>
          <w:rFonts w:ascii="Times New Roman" w:hAnsi="Times New Roman" w:eastAsia="仿宋_GB2312" w:cs="Times New Roman"/>
          <w:color w:val="auto"/>
          <w:szCs w:val="24"/>
          <w:vertAlign w:val="subscript"/>
        </w:rPr>
        <w:t>d</w:t>
      </w:r>
      <w:r>
        <w:rPr>
          <w:rFonts w:ascii="Times New Roman" w:hAnsi="Times New Roman" w:eastAsia="仿宋_GB2312" w:cs="Times New Roman"/>
          <w:color w:val="auto"/>
          <w:szCs w:val="24"/>
        </w:rPr>
        <w:t>=0.067</w:t>
      </w:r>
      <w:r>
        <w:rPr>
          <w:rFonts w:ascii="Times New Roman" w:hAnsi="Times New Roman" w:eastAsia="仿宋_GB2312" w:cs="Times New Roman"/>
          <w:color w:val="auto"/>
          <w:sz w:val="21"/>
          <w:szCs w:val="24"/>
        </w:rPr>
        <w:t>ρ</w:t>
      </w:r>
      <w:r>
        <w:rPr>
          <w:rFonts w:ascii="Times New Roman" w:hAnsi="Times New Roman" w:eastAsia="仿宋_GB2312" w:cs="Times New Roman"/>
          <w:color w:val="auto"/>
          <w:szCs w:val="24"/>
          <w:vertAlign w:val="subscript"/>
        </w:rPr>
        <w:t>d</w:t>
      </w:r>
      <w:r>
        <w:rPr>
          <w:rFonts w:ascii="Times New Roman" w:hAnsi="Times New Roman" w:eastAsia="仿宋_GB2312" w:cs="Times New Roman"/>
          <w:color w:val="auto"/>
          <w:szCs w:val="24"/>
          <w:vertAlign w:val="superscript"/>
        </w:rPr>
        <w:t>1.627</w:t>
      </w:r>
    </w:p>
    <w:p>
      <w:pPr>
        <w:snapToGrid w:val="0"/>
        <w:spacing w:line="360" w:lineRule="auto"/>
        <w:rPr>
          <w:rFonts w:ascii="Times New Roman" w:hAnsi="Times New Roman" w:eastAsia="仿宋_GB2312" w:cs="Times New Roman"/>
          <w:color w:val="auto"/>
          <w:szCs w:val="24"/>
        </w:rPr>
      </w:pPr>
      <w:r>
        <w:rPr>
          <w:rFonts w:ascii="Times New Roman" w:hAnsi="Times New Roman" w:eastAsia="仿宋_GB2312" w:cs="Times New Roman"/>
          <w:color w:val="auto"/>
          <w:szCs w:val="24"/>
        </w:rPr>
        <w:t>式中：R</w:t>
      </w:r>
      <w:r>
        <w:rPr>
          <w:rFonts w:ascii="Times New Roman" w:hAnsi="Times New Roman" w:eastAsia="仿宋_GB2312" w:cs="Times New Roman"/>
          <w:color w:val="auto"/>
          <w:szCs w:val="24"/>
          <w:vertAlign w:val="subscript"/>
        </w:rPr>
        <w:t>d</w:t>
      </w:r>
      <w:r>
        <w:rPr>
          <w:rFonts w:ascii="Times New Roman" w:hAnsi="Times New Roman" w:eastAsia="仿宋_GB2312" w:cs="Times New Roman"/>
          <w:color w:val="auto"/>
          <w:szCs w:val="24"/>
        </w:rPr>
        <w:t>为多年平均降雨侵蚀力因子，单位：MJ·mm/（hm</w:t>
      </w:r>
      <w:r>
        <w:rPr>
          <w:rFonts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·h）；</w:t>
      </w:r>
    </w:p>
    <w:p>
      <w:pPr>
        <w:snapToGrid w:val="0"/>
        <w:spacing w:line="360" w:lineRule="auto"/>
        <w:ind w:firstLine="63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 w:val="21"/>
          <w:szCs w:val="24"/>
        </w:rPr>
        <w:t>ρ</w:t>
      </w:r>
      <w:r>
        <w:rPr>
          <w:rFonts w:ascii="Times New Roman" w:hAnsi="Times New Roman" w:eastAsia="仿宋_GB2312" w:cs="Times New Roman"/>
          <w:color w:val="auto"/>
          <w:szCs w:val="24"/>
          <w:vertAlign w:val="subscript"/>
        </w:rPr>
        <w:t>d</w:t>
      </w:r>
      <w:r>
        <w:rPr>
          <w:rFonts w:ascii="Times New Roman" w:hAnsi="Times New Roman" w:eastAsia="仿宋_GB2312" w:cs="Times New Roman"/>
          <w:color w:val="auto"/>
          <w:szCs w:val="24"/>
        </w:rPr>
        <w:t>为多年平均降雨量，单位：mm</w:t>
      </w:r>
      <w:r>
        <w:rPr>
          <w:rFonts w:hint="eastAsia" w:ascii="Times New Roman" w:hAnsi="Times New Roman" w:eastAsia="仿宋_GB2312" w:cs="Times New Roman"/>
          <w:color w:val="auto"/>
          <w:szCs w:val="24"/>
        </w:rPr>
        <w:t>，本工程</w:t>
      </w:r>
      <w:r>
        <w:rPr>
          <w:rFonts w:ascii="Times New Roman" w:hAnsi="Times New Roman" w:eastAsia="仿宋_GB2312" w:cs="Times New Roman"/>
          <w:color w:val="auto"/>
          <w:sz w:val="21"/>
          <w:szCs w:val="24"/>
        </w:rPr>
        <w:t>ρ</w:t>
      </w:r>
      <w:r>
        <w:rPr>
          <w:rFonts w:ascii="Times New Roman" w:hAnsi="Times New Roman" w:eastAsia="仿宋_GB2312" w:cs="Times New Roman"/>
          <w:color w:val="auto"/>
          <w:szCs w:val="24"/>
          <w:vertAlign w:val="subscript"/>
        </w:rPr>
        <w:t>d</w:t>
      </w:r>
      <w:r>
        <w:rPr>
          <w:rFonts w:hint="eastAsia" w:ascii="Times New Roman" w:hAnsi="Times New Roman" w:eastAsia="仿宋_GB2312" w:cs="Times New Roman"/>
          <w:color w:val="auto"/>
          <w:szCs w:val="24"/>
        </w:rPr>
        <w:t>取值根据南昌市年平均降雨量1589mm计算。</w:t>
      </w:r>
    </w:p>
    <w:p>
      <w:pPr>
        <w:snapToGrid w:val="0"/>
        <w:spacing w:line="360" w:lineRule="auto"/>
        <w:jc w:val="center"/>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K</w:t>
      </w:r>
      <w:r>
        <w:rPr>
          <w:rFonts w:hint="eastAsia" w:ascii="Times New Roman" w:hAnsi="Times New Roman" w:eastAsia="仿宋_GB2312" w:cs="Times New Roman"/>
          <w:color w:val="auto"/>
          <w:szCs w:val="24"/>
          <w:vertAlign w:val="subscript"/>
        </w:rPr>
        <w:t>yd</w:t>
      </w:r>
      <w:r>
        <w:rPr>
          <w:rFonts w:hint="eastAsia" w:ascii="Times New Roman" w:hAnsi="Times New Roman" w:eastAsia="仿宋_GB2312" w:cs="Times New Roman"/>
          <w:color w:val="auto"/>
          <w:szCs w:val="24"/>
        </w:rPr>
        <w:t>=NK</w:t>
      </w:r>
    </w:p>
    <w:p>
      <w:pPr>
        <w:snapToGrid w:val="0"/>
        <w:spacing w:line="360" w:lineRule="auto"/>
        <w:ind w:firstLine="720" w:firstLineChars="3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N为地表翻扰后土壤可蚀性因子增大系数，无量纲，N无条件实测，取2.13</w:t>
      </w:r>
      <w:r>
        <w:rPr>
          <w:rFonts w:ascii="Times New Roman" w:hAnsi="Times New Roman" w:eastAsia="仿宋_GB2312" w:cs="Times New Roman"/>
          <w:color w:val="auto"/>
          <w:szCs w:val="24"/>
        </w:rPr>
        <w:t>。</w:t>
      </w:r>
    </w:p>
    <w:p>
      <w:pPr>
        <w:snapToGrid w:val="0"/>
        <w:spacing w:line="360" w:lineRule="auto"/>
        <w:jc w:val="center"/>
        <w:rPr>
          <w:rFonts w:ascii="Times New Roman" w:hAnsi="Times New Roman" w:eastAsia="仿宋_GB2312" w:cs="Times New Roman"/>
          <w:color w:val="auto"/>
          <w:szCs w:val="24"/>
        </w:rPr>
      </w:pPr>
      <w:r>
        <w:rPr>
          <w:rFonts w:ascii="Times New Roman" w:hAnsi="Times New Roman" w:eastAsia="仿宋_GB2312" w:cs="Times New Roman"/>
          <w:color w:val="auto"/>
          <w:szCs w:val="24"/>
        </w:rPr>
        <w:t>K=[2.1×10</w:t>
      </w:r>
      <w:r>
        <w:rPr>
          <w:rFonts w:ascii="Times New Roman" w:hAnsi="Times New Roman" w:eastAsia="仿宋_GB2312" w:cs="Times New Roman"/>
          <w:color w:val="auto"/>
          <w:szCs w:val="24"/>
          <w:vertAlign w:val="superscript"/>
        </w:rPr>
        <w:t>-4</w:t>
      </w:r>
      <w:r>
        <w:rPr>
          <w:rFonts w:ascii="Times New Roman" w:hAnsi="Times New Roman" w:eastAsia="仿宋_GB2312" w:cs="Times New Roman"/>
          <w:color w:val="auto"/>
          <w:szCs w:val="24"/>
        </w:rPr>
        <w:t>（n</w:t>
      </w:r>
      <w:r>
        <w:rPr>
          <w:rFonts w:ascii="Times New Roman" w:hAnsi="Times New Roman" w:eastAsia="仿宋_GB2312" w:cs="Times New Roman"/>
          <w:color w:val="auto"/>
          <w:szCs w:val="24"/>
          <w:vertAlign w:val="subscript"/>
        </w:rPr>
        <w:t>1</w:t>
      </w:r>
      <w:r>
        <w:rPr>
          <w:rFonts w:ascii="Times New Roman" w:hAnsi="Times New Roman" w:eastAsia="仿宋_GB2312" w:cs="Times New Roman"/>
          <w:color w:val="auto"/>
          <w:szCs w:val="24"/>
        </w:rPr>
        <w:t>n</w:t>
      </w:r>
      <w:r>
        <w:rPr>
          <w:rFonts w:ascii="Times New Roman" w:hAnsi="Times New Roman" w:eastAsia="仿宋_GB2312" w:cs="Times New Roman"/>
          <w:color w:val="auto"/>
          <w:szCs w:val="24"/>
          <w:vertAlign w:val="subscript"/>
        </w:rPr>
        <w:t>2</w:t>
      </w:r>
      <w:r>
        <w:rPr>
          <w:rFonts w:ascii="Times New Roman" w:hAnsi="Times New Roman" w:eastAsia="仿宋_GB2312" w:cs="Times New Roman"/>
          <w:color w:val="auto"/>
          <w:szCs w:val="24"/>
        </w:rPr>
        <w:t>+n</w:t>
      </w:r>
      <w:r>
        <w:rPr>
          <w:rFonts w:ascii="Times New Roman" w:hAnsi="Times New Roman" w:eastAsia="仿宋_GB2312" w:cs="Times New Roman"/>
          <w:color w:val="auto"/>
          <w:szCs w:val="24"/>
          <w:vertAlign w:val="subscript"/>
        </w:rPr>
        <w:t>1</w:t>
      </w:r>
      <w:r>
        <w:rPr>
          <w:rFonts w:ascii="Times New Roman" w:hAnsi="Times New Roman" w:eastAsia="仿宋_GB2312" w:cs="Times New Roman"/>
          <w:color w:val="auto"/>
          <w:szCs w:val="24"/>
        </w:rPr>
        <w:t>n</w:t>
      </w:r>
      <w:r>
        <w:rPr>
          <w:rFonts w:ascii="Times New Roman" w:hAnsi="Times New Roman" w:eastAsia="仿宋_GB2312" w:cs="Times New Roman"/>
          <w:color w:val="auto"/>
          <w:szCs w:val="24"/>
          <w:vertAlign w:val="subscript"/>
        </w:rPr>
        <w:t>3</w:t>
      </w:r>
      <w:r>
        <w:rPr>
          <w:rFonts w:ascii="Times New Roman" w:hAnsi="Times New Roman" w:eastAsia="仿宋_GB2312" w:cs="Times New Roman"/>
          <w:color w:val="auto"/>
          <w:szCs w:val="24"/>
        </w:rPr>
        <w:t>）</w:t>
      </w:r>
      <w:r>
        <w:rPr>
          <w:rFonts w:ascii="Times New Roman" w:hAnsi="Times New Roman" w:eastAsia="仿宋_GB2312" w:cs="Times New Roman"/>
          <w:color w:val="auto"/>
          <w:szCs w:val="24"/>
          <w:vertAlign w:val="superscript"/>
        </w:rPr>
        <w:t>1.14</w:t>
      </w:r>
      <w:r>
        <w:rPr>
          <w:rFonts w:ascii="Times New Roman" w:hAnsi="Times New Roman" w:eastAsia="仿宋_GB2312" w:cs="Times New Roman"/>
          <w:color w:val="auto"/>
          <w:szCs w:val="24"/>
        </w:rPr>
        <w:t>（12-OM）+3.25（g</w:t>
      </w:r>
      <w:r>
        <w:rPr>
          <w:rFonts w:ascii="Times New Roman" w:hAnsi="Times New Roman" w:eastAsia="仿宋_GB2312" w:cs="Times New Roman"/>
          <w:color w:val="auto"/>
          <w:szCs w:val="24"/>
          <w:vertAlign w:val="subscript"/>
        </w:rPr>
        <w:t>1</w:t>
      </w:r>
      <w:r>
        <w:rPr>
          <w:rFonts w:ascii="Times New Roman" w:hAnsi="Times New Roman" w:eastAsia="仿宋_GB2312" w:cs="Times New Roman"/>
          <w:color w:val="auto"/>
          <w:szCs w:val="24"/>
        </w:rPr>
        <w:t>-2）+2.5（g</w:t>
      </w:r>
      <w:r>
        <w:rPr>
          <w:rFonts w:ascii="Times New Roman" w:hAnsi="Times New Roman" w:eastAsia="仿宋_GB2312" w:cs="Times New Roman"/>
          <w:color w:val="auto"/>
          <w:szCs w:val="24"/>
          <w:vertAlign w:val="subscript"/>
        </w:rPr>
        <w:t>2</w:t>
      </w:r>
      <w:r>
        <w:rPr>
          <w:rFonts w:ascii="Times New Roman" w:hAnsi="Times New Roman" w:eastAsia="仿宋_GB2312" w:cs="Times New Roman"/>
          <w:color w:val="auto"/>
          <w:szCs w:val="24"/>
        </w:rPr>
        <w:t>-3）]/759</w:t>
      </w:r>
    </w:p>
    <w:p>
      <w:pPr>
        <w:snapToGrid w:val="0"/>
        <w:spacing w:line="360" w:lineRule="auto"/>
        <w:rPr>
          <w:rFonts w:ascii="Times New Roman" w:hAnsi="Times New Roman" w:eastAsia="仿宋_GB2312" w:cs="Times New Roman"/>
          <w:color w:val="auto"/>
          <w:szCs w:val="24"/>
        </w:rPr>
      </w:pPr>
      <w:r>
        <w:rPr>
          <w:rFonts w:ascii="Times New Roman" w:hAnsi="Times New Roman" w:eastAsia="仿宋_GB2312" w:cs="Times New Roman"/>
          <w:color w:val="auto"/>
          <w:szCs w:val="24"/>
        </w:rPr>
        <w:t>式中：n</w:t>
      </w:r>
      <w:r>
        <w:rPr>
          <w:rFonts w:ascii="Times New Roman" w:hAnsi="Times New Roman" w:eastAsia="仿宋_GB2312" w:cs="Times New Roman"/>
          <w:color w:val="auto"/>
          <w:szCs w:val="24"/>
          <w:vertAlign w:val="subscript"/>
        </w:rPr>
        <w:t>1</w:t>
      </w:r>
      <w:r>
        <w:rPr>
          <w:rFonts w:ascii="Times New Roman" w:hAnsi="Times New Roman" w:eastAsia="仿宋_GB2312" w:cs="Times New Roman"/>
          <w:color w:val="auto"/>
          <w:szCs w:val="24"/>
        </w:rPr>
        <w:t>为粒径在0.002~0.1mm的土壤颗粒含量百分比，单位为：%；</w:t>
      </w:r>
    </w:p>
    <w:p>
      <w:pPr>
        <w:snapToGrid w:val="0"/>
        <w:spacing w:line="360" w:lineRule="auto"/>
        <w:ind w:firstLine="720" w:firstLineChars="300"/>
        <w:rPr>
          <w:rFonts w:ascii="Times New Roman" w:hAnsi="Times New Roman" w:eastAsia="仿宋_GB2312" w:cs="Times New Roman"/>
          <w:color w:val="auto"/>
          <w:szCs w:val="24"/>
          <w:vertAlign w:val="subscript"/>
        </w:rPr>
      </w:pPr>
      <w:r>
        <w:rPr>
          <w:rFonts w:ascii="Times New Roman" w:hAnsi="Times New Roman" w:eastAsia="仿宋_GB2312" w:cs="Times New Roman"/>
          <w:color w:val="auto"/>
          <w:szCs w:val="24"/>
        </w:rPr>
        <w:t>n</w:t>
      </w:r>
      <w:r>
        <w:rPr>
          <w:rFonts w:ascii="Times New Roman" w:hAnsi="Times New Roman" w:eastAsia="仿宋_GB2312" w:cs="Times New Roman"/>
          <w:color w:val="auto"/>
          <w:szCs w:val="24"/>
          <w:vertAlign w:val="subscript"/>
        </w:rPr>
        <w:t>2</w:t>
      </w:r>
      <w:r>
        <w:rPr>
          <w:rFonts w:ascii="Times New Roman" w:hAnsi="Times New Roman" w:eastAsia="仿宋_GB2312" w:cs="Times New Roman"/>
          <w:color w:val="auto"/>
          <w:szCs w:val="24"/>
        </w:rPr>
        <w:t>为粒径在0.002~0.05mm的土壤粉砂含量百分比，单位为：%；</w:t>
      </w:r>
    </w:p>
    <w:p>
      <w:pPr>
        <w:snapToGrid w:val="0"/>
        <w:spacing w:line="360" w:lineRule="auto"/>
        <w:ind w:firstLine="720" w:firstLineChars="300"/>
        <w:rPr>
          <w:rFonts w:ascii="Times New Roman" w:hAnsi="Times New Roman" w:eastAsia="仿宋_GB2312" w:cs="Times New Roman"/>
          <w:color w:val="auto"/>
          <w:szCs w:val="24"/>
          <w:vertAlign w:val="subscript"/>
        </w:rPr>
      </w:pPr>
      <w:r>
        <w:rPr>
          <w:rFonts w:ascii="Times New Roman" w:hAnsi="Times New Roman" w:eastAsia="仿宋_GB2312" w:cs="Times New Roman"/>
          <w:color w:val="auto"/>
          <w:szCs w:val="24"/>
        </w:rPr>
        <w:t>n</w:t>
      </w:r>
      <w:r>
        <w:rPr>
          <w:rFonts w:ascii="Times New Roman" w:hAnsi="Times New Roman" w:eastAsia="仿宋_GB2312" w:cs="Times New Roman"/>
          <w:color w:val="auto"/>
          <w:szCs w:val="24"/>
          <w:vertAlign w:val="subscript"/>
        </w:rPr>
        <w:t>3</w:t>
      </w:r>
      <w:r>
        <w:rPr>
          <w:rFonts w:ascii="Times New Roman" w:hAnsi="Times New Roman" w:eastAsia="仿宋_GB2312" w:cs="Times New Roman"/>
          <w:color w:val="auto"/>
          <w:szCs w:val="24"/>
        </w:rPr>
        <w:t>为粒径在0.05~2mm的土壤颗粒含量百分比，单位为：%；</w:t>
      </w:r>
    </w:p>
    <w:p>
      <w:pPr>
        <w:snapToGrid w:val="0"/>
        <w:spacing w:line="360" w:lineRule="auto"/>
        <w:ind w:firstLine="72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Cs w:val="24"/>
        </w:rPr>
        <w:t>OM为土壤有机质含量，单位为：%；</w:t>
      </w:r>
    </w:p>
    <w:p>
      <w:pPr>
        <w:snapToGrid w:val="0"/>
        <w:spacing w:line="360" w:lineRule="auto"/>
        <w:ind w:firstLine="720" w:firstLineChars="300"/>
        <w:rPr>
          <w:rFonts w:ascii="Times New Roman" w:hAnsi="Times New Roman" w:eastAsia="仿宋_GB2312" w:cs="Times New Roman"/>
          <w:color w:val="auto"/>
          <w:szCs w:val="24"/>
          <w:vertAlign w:val="subscript"/>
        </w:rPr>
      </w:pPr>
      <w:r>
        <w:rPr>
          <w:rFonts w:ascii="Times New Roman" w:hAnsi="Times New Roman" w:eastAsia="仿宋_GB2312" w:cs="Times New Roman"/>
          <w:color w:val="auto"/>
          <w:szCs w:val="24"/>
        </w:rPr>
        <w:t>g</w:t>
      </w:r>
      <w:r>
        <w:rPr>
          <w:rFonts w:ascii="Times New Roman" w:hAnsi="Times New Roman" w:eastAsia="仿宋_GB2312" w:cs="Times New Roman"/>
          <w:color w:val="auto"/>
          <w:szCs w:val="24"/>
          <w:vertAlign w:val="subscript"/>
        </w:rPr>
        <w:t>1</w:t>
      </w:r>
      <w:r>
        <w:rPr>
          <w:rFonts w:ascii="Times New Roman" w:hAnsi="Times New Roman" w:eastAsia="仿宋_GB2312" w:cs="Times New Roman"/>
          <w:color w:val="auto"/>
          <w:szCs w:val="24"/>
        </w:rPr>
        <w:t>为土壤结构等级，无量纲；</w:t>
      </w:r>
    </w:p>
    <w:p>
      <w:pPr>
        <w:snapToGrid w:val="0"/>
        <w:spacing w:line="360" w:lineRule="auto"/>
        <w:ind w:firstLine="72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Cs w:val="24"/>
        </w:rPr>
        <w:t>g</w:t>
      </w:r>
      <w:r>
        <w:rPr>
          <w:rFonts w:ascii="Times New Roman" w:hAnsi="Times New Roman" w:eastAsia="仿宋_GB2312" w:cs="Times New Roman"/>
          <w:color w:val="auto"/>
          <w:szCs w:val="24"/>
          <w:vertAlign w:val="subscript"/>
        </w:rPr>
        <w:t>2</w:t>
      </w:r>
      <w:r>
        <w:rPr>
          <w:rFonts w:ascii="Times New Roman" w:hAnsi="Times New Roman" w:eastAsia="仿宋_GB2312" w:cs="Times New Roman"/>
          <w:color w:val="auto"/>
          <w:szCs w:val="24"/>
        </w:rPr>
        <w:t>为土壤渗透性等级，无量纲；</w:t>
      </w:r>
    </w:p>
    <w:p>
      <w:pPr>
        <w:snapToGrid w:val="0"/>
        <w:spacing w:line="360" w:lineRule="auto"/>
        <w:ind w:firstLine="72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Cs w:val="24"/>
        </w:rPr>
        <w:t>无法测量土壤粒径时，K值可参考《生产建设项目土壤流失量测算导则》（SL773-2018）附录C，确定</w:t>
      </w:r>
      <w:r>
        <w:rPr>
          <w:rFonts w:hint="eastAsia" w:ascii="Times New Roman" w:hAnsi="Times New Roman" w:eastAsia="仿宋_GB2312" w:cs="Times New Roman"/>
          <w:color w:val="auto"/>
          <w:szCs w:val="24"/>
        </w:rPr>
        <w:t>南昌市</w:t>
      </w:r>
      <w:r>
        <w:rPr>
          <w:rFonts w:ascii="Times New Roman" w:hAnsi="Times New Roman" w:eastAsia="仿宋_GB2312" w:cs="Times New Roman"/>
          <w:color w:val="auto"/>
          <w:szCs w:val="24"/>
        </w:rPr>
        <w:t>K=0.003</w:t>
      </w:r>
      <w:r>
        <w:rPr>
          <w:rFonts w:hint="eastAsia" w:ascii="Times New Roman" w:hAnsi="Times New Roman" w:eastAsia="仿宋_GB2312" w:cs="Times New Roman"/>
          <w:color w:val="auto"/>
          <w:szCs w:val="24"/>
        </w:rPr>
        <w:t>4</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w:t>
      </w:r>
    </w:p>
    <w:p>
      <w:pPr>
        <w:snapToGrid w:val="0"/>
        <w:spacing w:line="360" w:lineRule="auto"/>
        <w:jc w:val="center"/>
        <w:rPr>
          <w:rFonts w:ascii="Times New Roman" w:hAnsi="Times New Roman" w:eastAsia="仿宋_GB2312" w:cs="Times New Roman"/>
          <w:color w:val="auto"/>
          <w:szCs w:val="24"/>
        </w:rPr>
      </w:pPr>
      <w:r>
        <w:rPr>
          <w:rFonts w:ascii="Times New Roman" w:hAnsi="Times New Roman" w:eastAsia="仿宋_GB2312" w:cs="Times New Roman"/>
          <w:color w:val="auto"/>
          <w:szCs w:val="24"/>
        </w:rPr>
        <w:t>L</w:t>
      </w:r>
      <w:r>
        <w:rPr>
          <w:rFonts w:ascii="Times New Roman" w:hAnsi="Times New Roman" w:eastAsia="仿宋_GB2312" w:cs="Times New Roman"/>
          <w:color w:val="auto"/>
          <w:szCs w:val="24"/>
          <w:vertAlign w:val="subscript"/>
        </w:rPr>
        <w:t>y</w:t>
      </w:r>
      <w:r>
        <w:rPr>
          <w:rFonts w:ascii="Times New Roman" w:hAnsi="Times New Roman" w:eastAsia="仿宋_GB2312" w:cs="Times New Roman"/>
          <w:color w:val="auto"/>
          <w:szCs w:val="24"/>
        </w:rPr>
        <w:t>=（λ/20）</w:t>
      </w:r>
      <w:r>
        <w:rPr>
          <w:rFonts w:ascii="Times New Roman" w:hAnsi="Times New Roman" w:eastAsia="仿宋_GB2312" w:cs="Times New Roman"/>
          <w:color w:val="auto"/>
          <w:szCs w:val="24"/>
          <w:vertAlign w:val="superscript"/>
        </w:rPr>
        <w:t>m</w:t>
      </w:r>
    </w:p>
    <w:p>
      <w:pPr>
        <w:snapToGrid w:val="0"/>
        <w:spacing w:line="360" w:lineRule="auto"/>
        <w:jc w:val="center"/>
        <w:rPr>
          <w:rFonts w:ascii="Times New Roman" w:hAnsi="Times New Roman" w:eastAsia="仿宋_GB2312" w:cs="Times New Roman"/>
          <w:color w:val="auto"/>
          <w:szCs w:val="24"/>
        </w:rPr>
      </w:pPr>
      <w:r>
        <w:rPr>
          <w:rFonts w:ascii="Times New Roman" w:hAnsi="Times New Roman" w:eastAsia="仿宋_GB2312" w:cs="Times New Roman"/>
          <w:color w:val="auto"/>
          <w:szCs w:val="24"/>
        </w:rPr>
        <w:t>λ=λ</w:t>
      </w:r>
      <w:r>
        <w:rPr>
          <w:rFonts w:ascii="Times New Roman" w:hAnsi="Times New Roman" w:eastAsia="仿宋_GB2312" w:cs="Times New Roman"/>
          <w:color w:val="auto"/>
          <w:szCs w:val="24"/>
          <w:vertAlign w:val="subscript"/>
        </w:rPr>
        <w:t>x</w:t>
      </w:r>
      <w:r>
        <w:rPr>
          <w:rFonts w:ascii="Times New Roman" w:hAnsi="Times New Roman" w:eastAsia="仿宋_GB2312" w:cs="Times New Roman"/>
          <w:color w:val="auto"/>
          <w:szCs w:val="24"/>
        </w:rPr>
        <w:t>cosθ</w:t>
      </w:r>
    </w:p>
    <w:p>
      <w:pPr>
        <w:snapToGrid w:val="0"/>
        <w:spacing w:line="360" w:lineRule="auto"/>
        <w:rPr>
          <w:rFonts w:ascii="Times New Roman" w:hAnsi="Times New Roman" w:eastAsia="仿宋_GB2312" w:cs="Times New Roman"/>
          <w:color w:val="auto"/>
          <w:szCs w:val="24"/>
        </w:rPr>
      </w:pPr>
      <w:r>
        <w:rPr>
          <w:rFonts w:ascii="Times New Roman" w:hAnsi="Times New Roman" w:eastAsia="仿宋_GB2312" w:cs="Times New Roman"/>
          <w:color w:val="auto"/>
          <w:szCs w:val="24"/>
        </w:rPr>
        <w:t>式中：λ为计算单元水平投影坡长度，单位：m，对一般扰动地表，水平投影坡长≤100m时按实际值计算，水平投影坡长＞100m按100m计算</w:t>
      </w:r>
      <w:r>
        <w:rPr>
          <w:rFonts w:hint="eastAsia" w:ascii="Times New Roman" w:hAnsi="Times New Roman" w:eastAsia="仿宋_GB2312" w:cs="Times New Roman"/>
          <w:color w:val="auto"/>
          <w:szCs w:val="24"/>
        </w:rPr>
        <w:t>。</w:t>
      </w:r>
    </w:p>
    <w:p>
      <w:pPr>
        <w:snapToGrid w:val="0"/>
        <w:spacing w:line="360" w:lineRule="auto"/>
        <w:ind w:firstLine="72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Cs w:val="24"/>
        </w:rPr>
        <w:t>λ</w:t>
      </w:r>
      <w:r>
        <w:rPr>
          <w:rFonts w:ascii="Times New Roman" w:hAnsi="Times New Roman" w:eastAsia="仿宋_GB2312" w:cs="Times New Roman"/>
          <w:color w:val="auto"/>
          <w:szCs w:val="24"/>
          <w:vertAlign w:val="subscript"/>
        </w:rPr>
        <w:t>x</w:t>
      </w:r>
      <w:r>
        <w:rPr>
          <w:rFonts w:ascii="Times New Roman" w:hAnsi="Times New Roman" w:eastAsia="仿宋_GB2312" w:cs="Times New Roman"/>
          <w:color w:val="auto"/>
          <w:szCs w:val="24"/>
        </w:rPr>
        <w:t>为计算单元斜坡长度，单位：m；</w:t>
      </w:r>
    </w:p>
    <w:p>
      <w:pPr>
        <w:snapToGrid w:val="0"/>
        <w:spacing w:line="360" w:lineRule="auto"/>
        <w:ind w:firstLine="72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Cs w:val="24"/>
        </w:rPr>
        <w:t>θ为计算单元坡度，单位：°；取值范围为0°~90°；</w:t>
      </w:r>
    </w:p>
    <w:p>
      <w:pPr>
        <w:snapToGrid w:val="0"/>
        <w:spacing w:line="360" w:lineRule="auto"/>
        <w:ind w:firstLine="72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Cs w:val="24"/>
        </w:rPr>
        <w:t>m为坡长指数，其中θ≤1°时，m取0.2；1°＜θ≤3°时，m取0.3；3°＜θ≤5°时，m取0.4；θ＞5°时，m取0.5</w:t>
      </w:r>
      <w:r>
        <w:rPr>
          <w:rFonts w:hint="eastAsia" w:ascii="Times New Roman" w:hAnsi="Times New Roman" w:eastAsia="仿宋_GB2312" w:cs="Times New Roman"/>
          <w:color w:val="auto"/>
          <w:szCs w:val="24"/>
        </w:rPr>
        <w:t>；</w:t>
      </w:r>
    </w:p>
    <w:p>
      <w:pPr>
        <w:snapToGrid w:val="0"/>
        <w:spacing w:line="360" w:lineRule="auto"/>
        <w:jc w:val="center"/>
        <w:rPr>
          <w:rFonts w:ascii="Times New Roman" w:hAnsi="Times New Roman" w:eastAsia="仿宋_GB2312" w:cs="Times New Roman"/>
          <w:color w:val="auto"/>
          <w:szCs w:val="24"/>
        </w:rPr>
      </w:pPr>
      <w:r>
        <w:rPr>
          <w:rFonts w:ascii="Times New Roman" w:hAnsi="Times New Roman" w:eastAsia="仿宋_GB2312" w:cs="Times New Roman"/>
          <w:color w:val="auto"/>
          <w:szCs w:val="24"/>
        </w:rPr>
        <w:t>S</w:t>
      </w:r>
      <w:r>
        <w:rPr>
          <w:rFonts w:ascii="Times New Roman" w:hAnsi="Times New Roman" w:eastAsia="仿宋_GB2312" w:cs="Times New Roman"/>
          <w:color w:val="auto"/>
          <w:szCs w:val="24"/>
          <w:vertAlign w:val="subscript"/>
        </w:rPr>
        <w:t>y</w:t>
      </w:r>
      <w:r>
        <w:rPr>
          <w:rFonts w:ascii="Times New Roman" w:hAnsi="Times New Roman" w:eastAsia="仿宋_GB2312" w:cs="Times New Roman"/>
          <w:color w:val="auto"/>
          <w:szCs w:val="24"/>
        </w:rPr>
        <w:t>=-1.5+17/[1+e</w:t>
      </w:r>
      <w:r>
        <w:rPr>
          <w:rFonts w:ascii="Times New Roman" w:hAnsi="Times New Roman" w:eastAsia="仿宋_GB2312" w:cs="Times New Roman"/>
          <w:color w:val="auto"/>
          <w:szCs w:val="24"/>
          <w:vertAlign w:val="superscript"/>
        </w:rPr>
        <w:t>（2.3-6.1sinθ）</w:t>
      </w:r>
      <w:r>
        <w:rPr>
          <w:rFonts w:ascii="Times New Roman" w:hAnsi="Times New Roman" w:eastAsia="仿宋_GB2312" w:cs="Times New Roman"/>
          <w:color w:val="auto"/>
          <w:szCs w:val="24"/>
        </w:rPr>
        <w:t xml:space="preserve">] </w:t>
      </w:r>
    </w:p>
    <w:p>
      <w:pPr>
        <w:snapToGrid w:val="0"/>
        <w:spacing w:line="360" w:lineRule="auto"/>
        <w:rPr>
          <w:rFonts w:ascii="Times New Roman" w:hAnsi="Times New Roman" w:eastAsia="仿宋_GB2312" w:cs="Times New Roman"/>
          <w:color w:val="auto"/>
          <w:szCs w:val="24"/>
        </w:rPr>
      </w:pPr>
      <w:r>
        <w:rPr>
          <w:rFonts w:ascii="Times New Roman" w:hAnsi="Times New Roman" w:eastAsia="仿宋_GB2312" w:cs="Times New Roman"/>
          <w:color w:val="auto"/>
          <w:szCs w:val="24"/>
        </w:rPr>
        <w:t>式中：e为自然对数的底，取2.72。</w:t>
      </w:r>
    </w:p>
    <w:p>
      <w:pPr>
        <w:snapToGrid w:val="0"/>
        <w:spacing w:line="360" w:lineRule="auto"/>
        <w:ind w:firstLine="72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Cs w:val="24"/>
        </w:rPr>
        <w:t>坡度θ≤35°时按实际值计算，超过35°时按35°计算。坡度为0°时，S</w:t>
      </w:r>
      <w:r>
        <w:rPr>
          <w:rFonts w:ascii="Times New Roman" w:hAnsi="Times New Roman" w:eastAsia="仿宋_GB2312" w:cs="Times New Roman"/>
          <w:color w:val="auto"/>
          <w:szCs w:val="24"/>
          <w:vertAlign w:val="subscript"/>
        </w:rPr>
        <w:t>y</w:t>
      </w:r>
      <w:r>
        <w:rPr>
          <w:rFonts w:ascii="Times New Roman" w:hAnsi="Times New Roman" w:eastAsia="仿宋_GB2312" w:cs="Times New Roman"/>
          <w:color w:val="auto"/>
          <w:szCs w:val="24"/>
        </w:rPr>
        <w:t>取0</w:t>
      </w:r>
      <w:r>
        <w:rPr>
          <w:rFonts w:hint="eastAsia" w:ascii="Times New Roman" w:hAnsi="Times New Roman" w:eastAsia="仿宋_GB2312" w:cs="Times New Roman"/>
          <w:color w:val="auto"/>
          <w:szCs w:val="24"/>
        </w:rPr>
        <w:t>。</w:t>
      </w:r>
    </w:p>
    <w:p>
      <w:pPr>
        <w:autoSpaceDE w:val="0"/>
        <w:autoSpaceDN w:val="0"/>
        <w:adjustRightInd w:val="0"/>
        <w:spacing w:line="360" w:lineRule="auto"/>
        <w:ind w:firstLine="720" w:firstLineChars="300"/>
        <w:rPr>
          <w:rFonts w:ascii="Times New Roman" w:eastAsia="仿宋_GB2312" w:cs="Times New Roman"/>
          <w:color w:val="auto"/>
          <w:kern w:val="0"/>
          <w:szCs w:val="24"/>
        </w:rPr>
      </w:pPr>
      <w:r>
        <w:rPr>
          <w:rFonts w:ascii="Times New Roman" w:eastAsia="仿宋_GB2312" w:cs="Times New Roman"/>
          <w:color w:val="auto"/>
          <w:kern w:val="0"/>
          <w:szCs w:val="24"/>
        </w:rPr>
        <w:t>B：查《生产建设项目土壤流失量测算导则》表4。</w:t>
      </w:r>
    </w:p>
    <w:p>
      <w:pPr>
        <w:autoSpaceDE w:val="0"/>
        <w:autoSpaceDN w:val="0"/>
        <w:adjustRightInd w:val="0"/>
        <w:spacing w:line="360" w:lineRule="auto"/>
        <w:ind w:firstLine="720" w:firstLineChars="300"/>
        <w:rPr>
          <w:rFonts w:ascii="Times New Roman" w:eastAsia="仿宋_GB2312" w:cs="Times New Roman"/>
          <w:color w:val="auto"/>
          <w:kern w:val="0"/>
          <w:szCs w:val="24"/>
        </w:rPr>
      </w:pPr>
      <w:r>
        <w:rPr>
          <w:rFonts w:ascii="Times New Roman" w:eastAsia="仿宋_GB2312" w:cs="Times New Roman"/>
          <w:color w:val="auto"/>
          <w:kern w:val="0"/>
          <w:szCs w:val="24"/>
        </w:rPr>
        <w:t>E：工程措施因子取值为1。</w:t>
      </w:r>
    </w:p>
    <w:p>
      <w:pPr>
        <w:autoSpaceDE w:val="0"/>
        <w:autoSpaceDN w:val="0"/>
        <w:adjustRightInd w:val="0"/>
        <w:spacing w:line="360" w:lineRule="auto"/>
        <w:ind w:firstLine="720" w:firstLineChars="300"/>
        <w:rPr>
          <w:rFonts w:ascii="Times New Roman" w:eastAsia="仿宋_GB2312" w:cs="Times New Roman"/>
          <w:color w:val="auto"/>
          <w:kern w:val="0"/>
          <w:szCs w:val="24"/>
        </w:rPr>
      </w:pPr>
      <w:r>
        <w:rPr>
          <w:rFonts w:ascii="Times New Roman" w:eastAsia="仿宋_GB2312" w:cs="Times New Roman"/>
          <w:color w:val="auto"/>
          <w:kern w:val="0"/>
          <w:szCs w:val="24"/>
        </w:rPr>
        <w:t>T：耕作因子取值为1。</w:t>
      </w:r>
    </w:p>
    <w:p>
      <w:pPr>
        <w:autoSpaceDE w:val="0"/>
        <w:autoSpaceDN w:val="0"/>
        <w:adjustRightInd w:val="0"/>
        <w:spacing w:line="360" w:lineRule="auto"/>
        <w:ind w:firstLine="480" w:firstLineChars="200"/>
        <w:rPr>
          <w:rFonts w:ascii="Times New Roman" w:eastAsia="仿宋_GB2312" w:cs="Times New Roman"/>
          <w:color w:val="auto"/>
          <w:kern w:val="0"/>
          <w:szCs w:val="24"/>
        </w:rPr>
      </w:pPr>
      <w:r>
        <w:rPr>
          <w:rFonts w:hint="eastAsia" w:ascii="Times New Roman" w:hAnsi="Times New Roman" w:eastAsia="仿宋_GB2312" w:cs="Times New Roman"/>
          <w:color w:val="auto"/>
          <w:szCs w:val="24"/>
        </w:rPr>
        <w:t>（2）植被破坏型一般扰动地表土壤流失量测算公式：</w:t>
      </w:r>
    </w:p>
    <w:p>
      <w:pPr>
        <w:snapToGrid w:val="0"/>
        <w:spacing w:line="360" w:lineRule="auto"/>
        <w:jc w:val="center"/>
        <w:rPr>
          <w:rFonts w:ascii="Times New Roman" w:hAnsi="Times New Roman" w:eastAsia="仿宋_GB2312" w:cs="Times New Roman"/>
          <w:color w:val="auto"/>
          <w:szCs w:val="24"/>
        </w:rPr>
      </w:pPr>
      <w:r>
        <w:rPr>
          <w:rFonts w:ascii="Times New Roman" w:hAnsi="Times New Roman" w:eastAsia="仿宋_GB2312" w:cs="Times New Roman"/>
          <w:color w:val="auto"/>
          <w:szCs w:val="24"/>
        </w:rPr>
        <w:t>M</w:t>
      </w:r>
      <w:r>
        <w:rPr>
          <w:rFonts w:hint="eastAsia" w:ascii="Times New Roman" w:hAnsi="Times New Roman" w:eastAsia="仿宋_GB2312" w:cs="Times New Roman"/>
          <w:color w:val="auto"/>
          <w:szCs w:val="24"/>
          <w:vertAlign w:val="subscript"/>
        </w:rPr>
        <w:t>yz</w:t>
      </w:r>
      <w:r>
        <w:rPr>
          <w:rFonts w:ascii="Times New Roman" w:hAnsi="Times New Roman" w:eastAsia="仿宋_GB2312" w:cs="Times New Roman"/>
          <w:color w:val="auto"/>
          <w:szCs w:val="24"/>
        </w:rPr>
        <w:t>=RKL</w:t>
      </w:r>
      <w:r>
        <w:rPr>
          <w:rFonts w:ascii="Times New Roman" w:hAnsi="Times New Roman" w:eastAsia="仿宋_GB2312" w:cs="Times New Roman"/>
          <w:color w:val="auto"/>
          <w:szCs w:val="24"/>
          <w:vertAlign w:val="subscript"/>
        </w:rPr>
        <w:t>y</w:t>
      </w:r>
      <w:r>
        <w:rPr>
          <w:rFonts w:ascii="Times New Roman" w:hAnsi="Times New Roman" w:eastAsia="仿宋_GB2312" w:cs="Times New Roman"/>
          <w:color w:val="auto"/>
          <w:szCs w:val="24"/>
        </w:rPr>
        <w:t>S</w:t>
      </w:r>
      <w:r>
        <w:rPr>
          <w:rFonts w:ascii="Times New Roman" w:hAnsi="Times New Roman" w:eastAsia="仿宋_GB2312" w:cs="Times New Roman"/>
          <w:color w:val="auto"/>
          <w:szCs w:val="24"/>
          <w:vertAlign w:val="subscript"/>
        </w:rPr>
        <w:t>y</w:t>
      </w:r>
      <w:r>
        <w:rPr>
          <w:rFonts w:ascii="Times New Roman" w:hAnsi="Times New Roman" w:eastAsia="仿宋_GB2312" w:cs="Times New Roman"/>
          <w:color w:val="auto"/>
          <w:szCs w:val="24"/>
        </w:rPr>
        <w:t>BET</w:t>
      </w:r>
    </w:p>
    <w:p>
      <w:pPr>
        <w:snapToGrid w:val="0"/>
        <w:spacing w:line="360" w:lineRule="auto"/>
        <w:rPr>
          <w:rFonts w:ascii="Times New Roman" w:hAnsi="Times New Roman" w:eastAsia="仿宋_GB2312" w:cs="Times New Roman"/>
          <w:color w:val="auto"/>
          <w:szCs w:val="24"/>
        </w:rPr>
      </w:pPr>
      <w:r>
        <w:rPr>
          <w:rFonts w:ascii="Times New Roman" w:hAnsi="Times New Roman" w:eastAsia="仿宋_GB2312" w:cs="Times New Roman"/>
          <w:color w:val="auto"/>
          <w:szCs w:val="24"/>
        </w:rPr>
        <w:t>式中：M</w:t>
      </w:r>
      <w:r>
        <w:rPr>
          <w:rFonts w:hint="eastAsia" w:ascii="Times New Roman" w:hAnsi="Times New Roman" w:eastAsia="仿宋_GB2312" w:cs="Times New Roman"/>
          <w:color w:val="auto"/>
          <w:szCs w:val="24"/>
          <w:vertAlign w:val="subscript"/>
        </w:rPr>
        <w:t>yz</w:t>
      </w:r>
      <w:r>
        <w:rPr>
          <w:rFonts w:ascii="Times New Roman" w:hAnsi="Times New Roman" w:eastAsia="仿宋_GB2312" w:cs="Times New Roman"/>
          <w:color w:val="auto"/>
          <w:szCs w:val="24"/>
        </w:rPr>
        <w:t>为</w:t>
      </w:r>
      <w:r>
        <w:rPr>
          <w:rFonts w:hint="eastAsia" w:ascii="Times New Roman" w:hAnsi="Times New Roman" w:eastAsia="仿宋_GB2312" w:cs="Times New Roman"/>
          <w:color w:val="auto"/>
          <w:szCs w:val="24"/>
        </w:rPr>
        <w:t>地表翻扰型一般扰动地表计算</w:t>
      </w:r>
      <w:r>
        <w:rPr>
          <w:rFonts w:ascii="Times New Roman" w:hAnsi="Times New Roman" w:eastAsia="仿宋_GB2312" w:cs="Times New Roman"/>
          <w:color w:val="auto"/>
          <w:szCs w:val="24"/>
        </w:rPr>
        <w:t>单位面积的土壤流失量，单位：t/hm</w:t>
      </w:r>
      <w:r>
        <w:rPr>
          <w:rFonts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w:t>
      </w:r>
    </w:p>
    <w:p>
      <w:pPr>
        <w:snapToGrid w:val="0"/>
        <w:spacing w:line="360" w:lineRule="auto"/>
        <w:ind w:firstLine="72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Cs w:val="24"/>
        </w:rPr>
        <w:t>R为降雨侵蚀力因子，单位：MJ·mm/（hm</w:t>
      </w:r>
      <w:r>
        <w:rPr>
          <w:rFonts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·h）；</w:t>
      </w:r>
    </w:p>
    <w:p>
      <w:pPr>
        <w:snapToGrid w:val="0"/>
        <w:spacing w:line="360" w:lineRule="auto"/>
        <w:ind w:firstLine="72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Cs w:val="24"/>
        </w:rPr>
        <w:t>K为土壤可蚀性因子，单位：t·hm</w:t>
      </w:r>
      <w:r>
        <w:rPr>
          <w:rFonts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·h/（hm</w:t>
      </w:r>
      <w:r>
        <w:rPr>
          <w:rFonts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·MJ·mm）；</w:t>
      </w:r>
    </w:p>
    <w:p>
      <w:pPr>
        <w:snapToGrid w:val="0"/>
        <w:spacing w:line="360" w:lineRule="auto"/>
        <w:ind w:firstLine="72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Cs w:val="24"/>
        </w:rPr>
        <w:t>L</w:t>
      </w:r>
      <w:r>
        <w:rPr>
          <w:rFonts w:ascii="Times New Roman" w:hAnsi="Times New Roman" w:eastAsia="仿宋_GB2312" w:cs="Times New Roman"/>
          <w:color w:val="auto"/>
          <w:szCs w:val="24"/>
          <w:vertAlign w:val="subscript"/>
        </w:rPr>
        <w:t>y</w:t>
      </w:r>
      <w:r>
        <w:rPr>
          <w:rFonts w:ascii="Times New Roman" w:hAnsi="Times New Roman" w:eastAsia="仿宋_GB2312" w:cs="Times New Roman"/>
          <w:color w:val="auto"/>
          <w:szCs w:val="24"/>
        </w:rPr>
        <w:t>为坡长因子，无量纲；</w:t>
      </w:r>
    </w:p>
    <w:p>
      <w:pPr>
        <w:snapToGrid w:val="0"/>
        <w:spacing w:line="360" w:lineRule="auto"/>
        <w:ind w:firstLine="72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Cs w:val="24"/>
        </w:rPr>
        <w:t>S</w:t>
      </w:r>
      <w:r>
        <w:rPr>
          <w:rFonts w:ascii="Times New Roman" w:hAnsi="Times New Roman" w:eastAsia="仿宋_GB2312" w:cs="Times New Roman"/>
          <w:color w:val="auto"/>
          <w:szCs w:val="24"/>
          <w:vertAlign w:val="subscript"/>
        </w:rPr>
        <w:t>y</w:t>
      </w:r>
      <w:r>
        <w:rPr>
          <w:rFonts w:ascii="Times New Roman" w:hAnsi="Times New Roman" w:eastAsia="仿宋_GB2312" w:cs="Times New Roman"/>
          <w:color w:val="auto"/>
          <w:szCs w:val="24"/>
        </w:rPr>
        <w:t>为坡度因子，无量纲；</w:t>
      </w:r>
    </w:p>
    <w:p>
      <w:pPr>
        <w:snapToGrid w:val="0"/>
        <w:spacing w:line="360" w:lineRule="auto"/>
        <w:ind w:firstLine="72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Cs w:val="24"/>
        </w:rPr>
        <w:t>B为植被覆盖因子，无量纲；</w:t>
      </w:r>
    </w:p>
    <w:p>
      <w:pPr>
        <w:snapToGrid w:val="0"/>
        <w:spacing w:line="360" w:lineRule="auto"/>
        <w:ind w:firstLine="72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Cs w:val="24"/>
        </w:rPr>
        <w:t>E为工程措施因子，无量纲；</w:t>
      </w:r>
    </w:p>
    <w:p>
      <w:pPr>
        <w:snapToGrid w:val="0"/>
        <w:spacing w:line="360" w:lineRule="auto"/>
        <w:ind w:firstLine="72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Cs w:val="24"/>
        </w:rPr>
        <w:t>T为耕作措施因子，无量纲</w:t>
      </w:r>
      <w:r>
        <w:rPr>
          <w:rFonts w:hint="eastAsia" w:ascii="Times New Roman" w:hAnsi="Times New Roman" w:eastAsia="仿宋_GB2312" w:cs="Times New Roman"/>
          <w:color w:val="auto"/>
          <w:szCs w:val="24"/>
        </w:rPr>
        <w:t>。</w:t>
      </w:r>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rPr>
        <w:t>（</w:t>
      </w:r>
      <w:r>
        <w:rPr>
          <w:rFonts w:hint="eastAsia" w:ascii="Times New Roman" w:hAnsi="Times New Roman" w:eastAsia="仿宋_GB2312" w:cs="Times New Roman"/>
          <w:color w:val="auto"/>
        </w:rPr>
        <w:t>3</w:t>
      </w:r>
      <w:r>
        <w:rPr>
          <w:rFonts w:ascii="Times New Roman" w:hAnsi="Times New Roman" w:eastAsia="仿宋_GB2312" w:cs="Times New Roman"/>
          <w:color w:val="auto"/>
        </w:rPr>
        <w:t>）上方无来水工程堆积体土壤流失量</w:t>
      </w:r>
      <w:r>
        <w:rPr>
          <w:rFonts w:hint="eastAsia" w:ascii="Times New Roman" w:hAnsi="Times New Roman" w:eastAsia="仿宋_GB2312" w:cs="Times New Roman"/>
          <w:color w:val="auto"/>
          <w:szCs w:val="24"/>
        </w:rPr>
        <w:t>测算公式</w:t>
      </w:r>
      <w:r>
        <w:rPr>
          <w:rFonts w:ascii="Times New Roman" w:hAnsi="Times New Roman" w:eastAsia="仿宋_GB2312" w:cs="Times New Roman"/>
          <w:color w:val="auto"/>
        </w:rPr>
        <w:t>：</w:t>
      </w:r>
    </w:p>
    <w:p>
      <w:pPr>
        <w:snapToGrid w:val="0"/>
        <w:spacing w:line="360" w:lineRule="auto"/>
        <w:jc w:val="center"/>
        <w:rPr>
          <w:rFonts w:ascii="Times New Roman" w:hAnsi="Times New Roman" w:eastAsia="仿宋_GB2312" w:cs="Times New Roman"/>
          <w:color w:val="auto"/>
          <w:spacing w:val="-1"/>
          <w:szCs w:val="24"/>
        </w:rPr>
      </w:pPr>
      <w:r>
        <w:rPr>
          <w:rFonts w:ascii="Times New Roman" w:hAnsi="Times New Roman" w:eastAsia="仿宋_GB2312" w:cs="Times New Roman"/>
          <w:color w:val="auto"/>
          <w:spacing w:val="-1"/>
          <w:szCs w:val="24"/>
        </w:rPr>
        <w:t>M</w:t>
      </w:r>
      <w:r>
        <w:rPr>
          <w:rFonts w:ascii="Times New Roman" w:hAnsi="Times New Roman" w:eastAsia="仿宋_GB2312" w:cs="Times New Roman"/>
          <w:color w:val="auto"/>
          <w:spacing w:val="-1"/>
          <w:szCs w:val="24"/>
          <w:vertAlign w:val="subscript"/>
        </w:rPr>
        <w:t>dw</w:t>
      </w:r>
      <w:r>
        <w:rPr>
          <w:rFonts w:ascii="Times New Roman" w:hAnsi="Times New Roman" w:eastAsia="仿宋_GB2312" w:cs="Times New Roman"/>
          <w:color w:val="auto"/>
          <w:spacing w:val="-1"/>
          <w:szCs w:val="24"/>
        </w:rPr>
        <w:t>=XRG</w:t>
      </w:r>
      <w:r>
        <w:rPr>
          <w:rFonts w:ascii="Times New Roman" w:hAnsi="Times New Roman" w:eastAsia="仿宋_GB2312" w:cs="Times New Roman"/>
          <w:color w:val="auto"/>
          <w:spacing w:val="-1"/>
          <w:szCs w:val="24"/>
          <w:vertAlign w:val="subscript"/>
        </w:rPr>
        <w:t>dw</w:t>
      </w:r>
      <w:r>
        <w:rPr>
          <w:rFonts w:ascii="Times New Roman" w:hAnsi="Times New Roman" w:eastAsia="仿宋_GB2312" w:cs="Times New Roman"/>
          <w:color w:val="auto"/>
          <w:spacing w:val="-1"/>
          <w:szCs w:val="24"/>
        </w:rPr>
        <w:t>L</w:t>
      </w:r>
      <w:r>
        <w:rPr>
          <w:rFonts w:ascii="Times New Roman" w:hAnsi="Times New Roman" w:eastAsia="仿宋_GB2312" w:cs="Times New Roman"/>
          <w:color w:val="auto"/>
          <w:spacing w:val="-1"/>
          <w:szCs w:val="24"/>
          <w:vertAlign w:val="subscript"/>
        </w:rPr>
        <w:t>dw</w:t>
      </w:r>
      <w:r>
        <w:rPr>
          <w:rFonts w:ascii="Times New Roman" w:hAnsi="Times New Roman" w:eastAsia="仿宋_GB2312" w:cs="Times New Roman"/>
          <w:color w:val="auto"/>
          <w:spacing w:val="-1"/>
          <w:szCs w:val="24"/>
        </w:rPr>
        <w:t>S</w:t>
      </w:r>
      <w:r>
        <w:rPr>
          <w:rFonts w:ascii="Times New Roman" w:hAnsi="Times New Roman" w:eastAsia="仿宋_GB2312" w:cs="Times New Roman"/>
          <w:color w:val="auto"/>
          <w:spacing w:val="-1"/>
          <w:szCs w:val="24"/>
          <w:vertAlign w:val="subscript"/>
        </w:rPr>
        <w:t>dw</w:t>
      </w:r>
      <w:r>
        <w:rPr>
          <w:rFonts w:hint="eastAsia" w:ascii="Times New Roman" w:hAnsi="Times New Roman" w:eastAsia="仿宋_GB2312" w:cs="Times New Roman"/>
          <w:color w:val="auto"/>
          <w:spacing w:val="-1"/>
          <w:szCs w:val="24"/>
        </w:rPr>
        <w:t>A</w:t>
      </w:r>
    </w:p>
    <w:p>
      <w:pPr>
        <w:autoSpaceDE w:val="0"/>
        <w:autoSpaceDN w:val="0"/>
        <w:adjustRightInd w:val="0"/>
        <w:spacing w:line="360" w:lineRule="auto"/>
        <w:rPr>
          <w:rFonts w:ascii="Times New Roman" w:eastAsia="仿宋_GB2312" w:cs="Times New Roman"/>
          <w:color w:val="auto"/>
          <w:kern w:val="0"/>
          <w:szCs w:val="24"/>
        </w:rPr>
      </w:pPr>
      <w:r>
        <w:rPr>
          <w:rFonts w:ascii="Times New Roman" w:eastAsia="仿宋_GB2312" w:cs="Times New Roman"/>
          <w:color w:val="auto"/>
          <w:kern w:val="0"/>
          <w:szCs w:val="24"/>
        </w:rPr>
        <w:t>式中</w:t>
      </w:r>
      <w:r>
        <w:rPr>
          <w:rFonts w:hint="eastAsia" w:ascii="Times New Roman" w:eastAsia="仿宋_GB2312" w:cs="Times New Roman"/>
          <w:color w:val="auto"/>
          <w:kern w:val="0"/>
          <w:szCs w:val="24"/>
        </w:rPr>
        <w:t>：</w:t>
      </w:r>
      <w:r>
        <w:rPr>
          <w:rFonts w:ascii="Times New Roman" w:eastAsia="仿宋_GB2312" w:cs="Times New Roman"/>
          <w:color w:val="auto"/>
          <w:kern w:val="0"/>
          <w:szCs w:val="24"/>
        </w:rPr>
        <w:t>M</w:t>
      </w:r>
      <w:r>
        <w:rPr>
          <w:rFonts w:ascii="Times New Roman" w:eastAsia="仿宋_GB2312" w:cs="Times New Roman"/>
          <w:color w:val="auto"/>
          <w:spacing w:val="-1"/>
          <w:kern w:val="0"/>
          <w:szCs w:val="24"/>
          <w:vertAlign w:val="subscript"/>
        </w:rPr>
        <w:t>dw</w:t>
      </w:r>
      <w:r>
        <w:rPr>
          <w:rFonts w:ascii="Times New Roman" w:eastAsia="仿宋_GB2312" w:cs="Times New Roman"/>
          <w:color w:val="auto"/>
          <w:kern w:val="0"/>
          <w:szCs w:val="24"/>
        </w:rPr>
        <w:t>：上方无来水工程堆积体计算单元土壤流失量，t；</w:t>
      </w:r>
    </w:p>
    <w:p>
      <w:pPr>
        <w:autoSpaceDE w:val="0"/>
        <w:autoSpaceDN w:val="0"/>
        <w:adjustRightInd w:val="0"/>
        <w:spacing w:line="360" w:lineRule="auto"/>
        <w:ind w:firstLine="720" w:firstLineChars="300"/>
        <w:rPr>
          <w:rFonts w:ascii="Times New Roman" w:eastAsia="仿宋_GB2312" w:cs="Times New Roman"/>
          <w:color w:val="auto"/>
          <w:kern w:val="0"/>
          <w:szCs w:val="24"/>
        </w:rPr>
      </w:pPr>
      <w:r>
        <w:rPr>
          <w:rFonts w:ascii="Times New Roman" w:eastAsia="仿宋_GB2312" w:cs="Times New Roman"/>
          <w:color w:val="auto"/>
          <w:kern w:val="0"/>
          <w:szCs w:val="24"/>
        </w:rPr>
        <w:t>X：工程堆积体形态因子，无量纲</w:t>
      </w:r>
      <w:r>
        <w:rPr>
          <w:rFonts w:hint="eastAsia" w:ascii="Times New Roman" w:eastAsia="仿宋_GB2312" w:cs="Times New Roman"/>
          <w:color w:val="auto"/>
          <w:kern w:val="0"/>
          <w:szCs w:val="24"/>
        </w:rPr>
        <w:t>，</w:t>
      </w:r>
      <w:r>
        <w:rPr>
          <w:rFonts w:ascii="Times New Roman" w:eastAsia="仿宋_GB2312" w:cs="Times New Roman"/>
          <w:color w:val="auto"/>
          <w:kern w:val="0"/>
          <w:szCs w:val="24"/>
        </w:rPr>
        <w:t>本项目</w:t>
      </w:r>
      <w:r>
        <w:rPr>
          <w:rFonts w:hint="eastAsia" w:ascii="Times New Roman" w:eastAsia="仿宋_GB2312" w:cs="Times New Roman"/>
          <w:color w:val="auto"/>
          <w:kern w:val="0"/>
          <w:szCs w:val="24"/>
        </w:rPr>
        <w:t>临时堆土场的堆放形态为锥形，其锥型堆积体形态因子取0.92。</w:t>
      </w:r>
      <w:r>
        <w:rPr>
          <w:rFonts w:ascii="Times New Roman" w:eastAsia="仿宋_GB2312" w:cs="Times New Roman"/>
          <w:color w:val="auto"/>
          <w:kern w:val="0"/>
          <w:szCs w:val="24"/>
        </w:rPr>
        <w:t>；</w:t>
      </w:r>
    </w:p>
    <w:p>
      <w:pPr>
        <w:autoSpaceDE w:val="0"/>
        <w:autoSpaceDN w:val="0"/>
        <w:adjustRightInd w:val="0"/>
        <w:spacing w:line="360" w:lineRule="auto"/>
        <w:ind w:firstLine="720" w:firstLineChars="300"/>
        <w:rPr>
          <w:rFonts w:ascii="Times New Roman" w:eastAsia="仿宋_GB2312" w:cs="Times New Roman"/>
          <w:color w:val="auto"/>
          <w:kern w:val="0"/>
          <w:szCs w:val="24"/>
        </w:rPr>
      </w:pPr>
      <w:r>
        <w:rPr>
          <w:rFonts w:ascii="Times New Roman" w:eastAsia="仿宋_GB2312" w:cs="Times New Roman"/>
          <w:color w:val="auto"/>
          <w:kern w:val="0"/>
          <w:szCs w:val="24"/>
        </w:rPr>
        <w:t>R：降雨侵蚀力因子，单位：MJ·mm/（hm²·h）；</w:t>
      </w:r>
    </w:p>
    <w:p>
      <w:pPr>
        <w:autoSpaceDE w:val="0"/>
        <w:autoSpaceDN w:val="0"/>
        <w:adjustRightInd w:val="0"/>
        <w:spacing w:line="360" w:lineRule="auto"/>
        <w:ind w:firstLine="714" w:firstLineChars="300"/>
        <w:rPr>
          <w:rFonts w:ascii="Times New Roman" w:eastAsia="仿宋_GB2312" w:cs="Times New Roman"/>
          <w:color w:val="auto"/>
          <w:kern w:val="0"/>
          <w:szCs w:val="24"/>
        </w:rPr>
      </w:pPr>
      <w:r>
        <w:rPr>
          <w:rFonts w:ascii="Times New Roman" w:eastAsia="仿宋_GB2312" w:cs="Times New Roman"/>
          <w:color w:val="auto"/>
          <w:spacing w:val="-1"/>
          <w:kern w:val="0"/>
          <w:szCs w:val="24"/>
        </w:rPr>
        <w:t>G</w:t>
      </w:r>
      <w:r>
        <w:rPr>
          <w:rFonts w:ascii="Times New Roman" w:eastAsia="仿宋_GB2312" w:cs="Times New Roman"/>
          <w:color w:val="auto"/>
          <w:spacing w:val="-1"/>
          <w:kern w:val="0"/>
          <w:szCs w:val="24"/>
          <w:vertAlign w:val="subscript"/>
        </w:rPr>
        <w:t>dw</w:t>
      </w:r>
      <w:r>
        <w:rPr>
          <w:rFonts w:ascii="Times New Roman" w:eastAsia="仿宋_GB2312" w:cs="Times New Roman"/>
          <w:color w:val="auto"/>
          <w:kern w:val="0"/>
          <w:szCs w:val="24"/>
        </w:rPr>
        <w:t>：上方无来水工程堆积体土石质因子，单位：t·hm²·h/（hm²·MJ·mm）；</w:t>
      </w:r>
    </w:p>
    <w:p>
      <w:pPr>
        <w:autoSpaceDE w:val="0"/>
        <w:autoSpaceDN w:val="0"/>
        <w:adjustRightInd w:val="0"/>
        <w:spacing w:line="360" w:lineRule="auto"/>
        <w:ind w:firstLine="714" w:firstLineChars="300"/>
        <w:rPr>
          <w:rFonts w:ascii="Times New Roman" w:eastAsia="仿宋_GB2312" w:cs="Times New Roman"/>
          <w:color w:val="auto"/>
          <w:kern w:val="0"/>
          <w:szCs w:val="24"/>
        </w:rPr>
      </w:pPr>
      <w:r>
        <w:rPr>
          <w:rFonts w:ascii="Times New Roman" w:eastAsia="仿宋_GB2312" w:cs="Times New Roman"/>
          <w:color w:val="auto"/>
          <w:spacing w:val="-1"/>
          <w:kern w:val="0"/>
          <w:szCs w:val="24"/>
        </w:rPr>
        <w:t>L</w:t>
      </w:r>
      <w:r>
        <w:rPr>
          <w:rFonts w:ascii="Times New Roman" w:eastAsia="仿宋_GB2312" w:cs="Times New Roman"/>
          <w:color w:val="auto"/>
          <w:spacing w:val="-1"/>
          <w:kern w:val="0"/>
          <w:szCs w:val="24"/>
          <w:vertAlign w:val="subscript"/>
        </w:rPr>
        <w:t>dw</w:t>
      </w:r>
      <w:r>
        <w:rPr>
          <w:rFonts w:ascii="Times New Roman" w:eastAsia="仿宋_GB2312" w:cs="Times New Roman"/>
          <w:color w:val="auto"/>
          <w:kern w:val="0"/>
          <w:szCs w:val="24"/>
        </w:rPr>
        <w:t>：上方无来水工程堆积体坡长因子，无量纲；</w:t>
      </w:r>
    </w:p>
    <w:p>
      <w:pPr>
        <w:autoSpaceDE w:val="0"/>
        <w:autoSpaceDN w:val="0"/>
        <w:adjustRightInd w:val="0"/>
        <w:spacing w:line="360" w:lineRule="auto"/>
        <w:ind w:firstLine="720" w:firstLineChars="300"/>
        <w:rPr>
          <w:rFonts w:ascii="Times New Roman" w:eastAsia="仿宋_GB2312" w:cs="Times New Roman"/>
          <w:color w:val="auto"/>
          <w:kern w:val="0"/>
          <w:szCs w:val="24"/>
        </w:rPr>
      </w:pPr>
      <w:r>
        <w:rPr>
          <w:rFonts w:ascii="Times New Roman" w:eastAsia="仿宋_GB2312" w:cs="Times New Roman"/>
          <w:color w:val="auto"/>
          <w:kern w:val="0"/>
          <w:szCs w:val="24"/>
        </w:rPr>
        <w:t>S</w:t>
      </w:r>
      <w:r>
        <w:rPr>
          <w:rFonts w:ascii="Times New Roman" w:eastAsia="仿宋_GB2312" w:cs="Times New Roman"/>
          <w:color w:val="auto"/>
          <w:spacing w:val="-1"/>
          <w:kern w:val="0"/>
          <w:szCs w:val="24"/>
          <w:vertAlign w:val="subscript"/>
        </w:rPr>
        <w:t>dw</w:t>
      </w:r>
      <w:r>
        <w:rPr>
          <w:rFonts w:ascii="Times New Roman" w:eastAsia="仿宋_GB2312" w:cs="Times New Roman"/>
          <w:color w:val="auto"/>
          <w:kern w:val="0"/>
          <w:szCs w:val="24"/>
        </w:rPr>
        <w:t>：上方无来水工程堆积体坡度因子，无量纲；</w:t>
      </w:r>
    </w:p>
    <w:p>
      <w:pPr>
        <w:snapToGrid w:val="0"/>
        <w:spacing w:line="360" w:lineRule="auto"/>
        <w:ind w:firstLine="72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Cs w:val="24"/>
        </w:rPr>
        <w:t>A：计算单元的水平投影面积，hm</w:t>
      </w:r>
      <w:r>
        <w:rPr>
          <w:rFonts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w:t>
      </w:r>
    </w:p>
    <w:p>
      <w:pPr>
        <w:autoSpaceDE w:val="0"/>
        <w:autoSpaceDN w:val="0"/>
        <w:adjustRightInd w:val="0"/>
        <w:spacing w:line="360" w:lineRule="auto"/>
        <w:rPr>
          <w:rFonts w:ascii="Times New Roman" w:eastAsia="仿宋_GB2312" w:cs="Times New Roman"/>
          <w:color w:val="auto"/>
          <w:kern w:val="0"/>
          <w:szCs w:val="24"/>
        </w:rPr>
      </w:pPr>
      <w:r>
        <w:rPr>
          <w:rFonts w:hint="eastAsia" w:ascii="Times New Roman" w:eastAsia="仿宋_GB2312" w:cs="Times New Roman"/>
          <w:color w:val="auto"/>
          <w:kern w:val="0"/>
          <w:szCs w:val="24"/>
        </w:rPr>
        <w:t>其中：</w:t>
      </w:r>
    </w:p>
    <w:p>
      <w:pPr>
        <w:autoSpaceDE w:val="0"/>
        <w:autoSpaceDN w:val="0"/>
        <w:adjustRightInd w:val="0"/>
        <w:spacing w:line="360" w:lineRule="auto"/>
        <w:jc w:val="center"/>
        <w:rPr>
          <w:rFonts w:ascii="Times New Roman" w:eastAsia="仿宋_GB2312" w:cs="Times New Roman"/>
          <w:color w:val="auto"/>
          <w:kern w:val="0"/>
          <w:szCs w:val="24"/>
        </w:rPr>
      </w:pPr>
      <w:r>
        <w:rPr>
          <w:rFonts w:ascii="Times New Roman" w:eastAsia="仿宋_GB2312" w:cs="Times New Roman"/>
          <w:color w:val="auto"/>
          <w:kern w:val="0"/>
          <w:szCs w:val="24"/>
        </w:rPr>
        <w:t>R=0.067ρ</w:t>
      </w:r>
      <w:r>
        <w:rPr>
          <w:rFonts w:ascii="Times New Roman" w:eastAsia="仿宋_GB2312" w:cs="Times New Roman"/>
          <w:color w:val="auto"/>
          <w:kern w:val="0"/>
          <w:szCs w:val="24"/>
          <w:vertAlign w:val="subscript"/>
        </w:rPr>
        <w:t>d</w:t>
      </w:r>
      <w:r>
        <w:rPr>
          <w:rFonts w:ascii="Times New Roman" w:eastAsia="仿宋_GB2312" w:cs="Times New Roman"/>
          <w:color w:val="auto"/>
          <w:kern w:val="0"/>
          <w:szCs w:val="24"/>
          <w:vertAlign w:val="superscript"/>
        </w:rPr>
        <w:t>1.627</w:t>
      </w:r>
    </w:p>
    <w:p>
      <w:pPr>
        <w:snapToGrid w:val="0"/>
        <w:spacing w:line="360" w:lineRule="auto"/>
        <w:ind w:firstLine="630" w:firstLineChars="300"/>
        <w:rPr>
          <w:rFonts w:ascii="Times New Roman" w:hAnsi="Times New Roman" w:eastAsia="仿宋_GB2312" w:cs="Times New Roman"/>
          <w:color w:val="auto"/>
          <w:szCs w:val="24"/>
        </w:rPr>
      </w:pPr>
      <w:r>
        <w:rPr>
          <w:rFonts w:ascii="Times New Roman" w:hAnsi="Times New Roman" w:eastAsia="仿宋_GB2312" w:cs="Times New Roman"/>
          <w:color w:val="auto"/>
          <w:sz w:val="21"/>
          <w:szCs w:val="24"/>
        </w:rPr>
        <w:t>ρ</w:t>
      </w:r>
      <w:r>
        <w:rPr>
          <w:rFonts w:ascii="Times New Roman" w:hAnsi="Times New Roman" w:eastAsia="仿宋_GB2312" w:cs="Times New Roman"/>
          <w:color w:val="auto"/>
          <w:szCs w:val="24"/>
          <w:vertAlign w:val="subscript"/>
        </w:rPr>
        <w:t>d</w:t>
      </w:r>
      <w:r>
        <w:rPr>
          <w:rFonts w:ascii="Times New Roman" w:hAnsi="Times New Roman" w:eastAsia="仿宋_GB2312" w:cs="Times New Roman"/>
          <w:color w:val="auto"/>
          <w:szCs w:val="24"/>
        </w:rPr>
        <w:t>：多年平均降雨量；</w:t>
      </w:r>
    </w:p>
    <w:p>
      <w:pPr>
        <w:snapToGrid w:val="0"/>
        <w:spacing w:line="360" w:lineRule="auto"/>
        <w:jc w:val="center"/>
        <w:rPr>
          <w:rFonts w:ascii="Times New Roman" w:hAnsi="Times New Roman" w:eastAsia="仿宋_GB2312" w:cs="Times New Roman"/>
          <w:color w:val="auto"/>
          <w:szCs w:val="24"/>
        </w:rPr>
      </w:pPr>
      <w:r>
        <w:rPr>
          <w:rFonts w:ascii="Times New Roman" w:hAnsi="Times New Roman" w:eastAsia="仿宋_GB2312" w:cs="Times New Roman"/>
          <w:color w:val="auto"/>
          <w:spacing w:val="-1"/>
          <w:szCs w:val="24"/>
        </w:rPr>
        <w:t>G</w:t>
      </w:r>
      <w:r>
        <w:rPr>
          <w:rFonts w:ascii="Times New Roman" w:hAnsi="Times New Roman" w:eastAsia="仿宋_GB2312" w:cs="Times New Roman"/>
          <w:color w:val="auto"/>
          <w:spacing w:val="-1"/>
          <w:szCs w:val="24"/>
          <w:vertAlign w:val="subscript"/>
        </w:rPr>
        <w:t>dw</w:t>
      </w:r>
      <w:r>
        <w:rPr>
          <w:rFonts w:ascii="Times New Roman" w:hAnsi="Times New Roman" w:eastAsia="仿宋_GB2312" w:cs="Times New Roman"/>
          <w:color w:val="auto"/>
          <w:spacing w:val="-1"/>
          <w:szCs w:val="24"/>
        </w:rPr>
        <w:t>＝a</w:t>
      </w:r>
      <w:r>
        <w:rPr>
          <w:rFonts w:ascii="Times New Roman" w:hAnsi="Times New Roman" w:eastAsia="仿宋_GB2312" w:cs="Times New Roman"/>
          <w:color w:val="auto"/>
          <w:spacing w:val="-1"/>
          <w:szCs w:val="24"/>
          <w:vertAlign w:val="subscript"/>
        </w:rPr>
        <w:t>1</w:t>
      </w:r>
      <w:r>
        <w:rPr>
          <w:rFonts w:ascii="Times New Roman" w:hAnsi="Times New Roman" w:eastAsia="仿宋_GB2312" w:cs="Times New Roman"/>
          <w:color w:val="auto"/>
          <w:spacing w:val="-1"/>
          <w:szCs w:val="24"/>
        </w:rPr>
        <w:t>e</w:t>
      </w:r>
      <w:r>
        <w:rPr>
          <w:rFonts w:ascii="Times New Roman" w:hAnsi="Times New Roman" w:eastAsia="仿宋_GB2312" w:cs="Times New Roman"/>
          <w:color w:val="auto"/>
          <w:spacing w:val="-1"/>
          <w:szCs w:val="24"/>
          <w:vertAlign w:val="superscript"/>
        </w:rPr>
        <w:t>b1δ</w:t>
      </w:r>
    </w:p>
    <w:p>
      <w:pPr>
        <w:snapToGrid w:val="0"/>
        <w:spacing w:line="360" w:lineRule="auto"/>
        <w:rPr>
          <w:rFonts w:ascii="Times New Roman" w:hAnsi="Times New Roman" w:eastAsia="仿宋_GB2312" w:cs="Times New Roman"/>
          <w:color w:val="auto"/>
          <w:szCs w:val="24"/>
        </w:rPr>
      </w:pPr>
      <w:r>
        <w:rPr>
          <w:rFonts w:ascii="Times New Roman" w:hAnsi="Times New Roman" w:eastAsia="仿宋_GB2312" w:cs="Times New Roman"/>
          <w:color w:val="auto"/>
          <w:szCs w:val="24"/>
        </w:rPr>
        <w:t>式中：</w:t>
      </w:r>
      <w:r>
        <w:rPr>
          <w:rFonts w:ascii="Times New Roman" w:hAnsi="Times New Roman" w:cs="Times New Roman"/>
          <w:color w:val="auto"/>
          <w:szCs w:val="24"/>
        </w:rPr>
        <w:t>δ—</w:t>
      </w:r>
      <w:r>
        <w:rPr>
          <w:rFonts w:ascii="Times New Roman" w:hAnsi="Times New Roman" w:eastAsia="仿宋_GB2312" w:cs="Times New Roman"/>
          <w:color w:val="auto"/>
          <w:szCs w:val="24"/>
        </w:rPr>
        <w:t>计算单元侵蚀面土体砾石含量，重量百分比，取小数（如0.1、0.2····）</w:t>
      </w:r>
      <w:r>
        <w:rPr>
          <w:rFonts w:hint="eastAsia" w:ascii="Times New Roman" w:hAnsi="Times New Roman" w:eastAsia="仿宋_GB2312" w:cs="Times New Roman"/>
          <w:color w:val="auto"/>
          <w:szCs w:val="24"/>
        </w:rPr>
        <w:t>；</w:t>
      </w:r>
    </w:p>
    <w:p>
      <w:pPr>
        <w:snapToGrid w:val="0"/>
        <w:spacing w:line="360" w:lineRule="auto"/>
        <w:ind w:firstLine="720" w:firstLineChars="300"/>
        <w:rPr>
          <w:rFonts w:ascii="Times New Roman" w:hAnsi="Times New Roman" w:cs="Times New Roman"/>
          <w:color w:val="auto"/>
          <w:szCs w:val="24"/>
        </w:rPr>
      </w:pPr>
      <w:r>
        <w:rPr>
          <w:rFonts w:ascii="Times New Roman" w:hAnsi="Times New Roman" w:cs="Times New Roman"/>
          <w:color w:val="auto"/>
          <w:szCs w:val="24"/>
        </w:rPr>
        <w:t>a</w:t>
      </w:r>
      <w:r>
        <w:rPr>
          <w:rFonts w:ascii="Times New Roman" w:hAnsi="Times New Roman" w:cs="Times New Roman"/>
          <w:color w:val="auto"/>
          <w:szCs w:val="24"/>
          <w:vertAlign w:val="subscript"/>
        </w:rPr>
        <w:t>1</w:t>
      </w:r>
      <w:r>
        <w:rPr>
          <w:rFonts w:ascii="Times New Roman" w:hAnsi="Times New Roman" w:cs="Times New Roman"/>
          <w:color w:val="auto"/>
          <w:szCs w:val="24"/>
        </w:rPr>
        <w:t>、b</w:t>
      </w:r>
      <w:r>
        <w:rPr>
          <w:rFonts w:ascii="Times New Roman" w:hAnsi="Times New Roman" w:cs="Times New Roman"/>
          <w:color w:val="auto"/>
          <w:szCs w:val="24"/>
          <w:vertAlign w:val="subscript"/>
        </w:rPr>
        <w:t>1</w:t>
      </w:r>
      <w:r>
        <w:rPr>
          <w:rFonts w:ascii="Times New Roman" w:hAnsi="Times New Roman" w:cs="Times New Roman"/>
          <w:color w:val="auto"/>
          <w:szCs w:val="24"/>
        </w:rPr>
        <w:t>—</w:t>
      </w:r>
      <w:r>
        <w:rPr>
          <w:rFonts w:ascii="Times New Roman" w:hAnsi="Times New Roman" w:eastAsia="仿宋_GB2312" w:cs="Times New Roman"/>
          <w:color w:val="auto"/>
          <w:szCs w:val="24"/>
        </w:rPr>
        <w:t>上方无来水工程堆积体土石质因子系数，本项目建设区土壤为红壤。</w:t>
      </w:r>
    </w:p>
    <w:p>
      <w:pPr>
        <w:snapToGrid w:val="0"/>
        <w:spacing w:line="360" w:lineRule="auto"/>
        <w:jc w:val="center"/>
        <w:rPr>
          <w:rFonts w:ascii="Times New Roman" w:hAnsi="Times New Roman" w:eastAsia="仿宋_GB2312" w:cs="Times New Roman"/>
          <w:color w:val="auto"/>
          <w:spacing w:val="-1"/>
          <w:szCs w:val="24"/>
        </w:rPr>
      </w:pPr>
      <w:r>
        <w:rPr>
          <w:rFonts w:ascii="Times New Roman" w:hAnsi="Times New Roman" w:eastAsia="仿宋_GB2312" w:cs="Times New Roman"/>
          <w:color w:val="auto"/>
          <w:szCs w:val="24"/>
        </w:rPr>
        <w:t>S</w:t>
      </w:r>
      <w:r>
        <w:rPr>
          <w:rFonts w:ascii="Times New Roman" w:hAnsi="Times New Roman" w:eastAsia="仿宋_GB2312" w:cs="Times New Roman"/>
          <w:color w:val="auto"/>
          <w:spacing w:val="-1"/>
          <w:szCs w:val="24"/>
          <w:vertAlign w:val="subscript"/>
        </w:rPr>
        <w:t>dw</w:t>
      </w:r>
      <w:r>
        <w:rPr>
          <w:rFonts w:ascii="Times New Roman" w:hAnsi="Times New Roman" w:eastAsia="仿宋_GB2312" w:cs="Times New Roman"/>
          <w:color w:val="auto"/>
          <w:spacing w:val="-1"/>
          <w:szCs w:val="24"/>
        </w:rPr>
        <w:t>＝（</w:t>
      </w:r>
      <w:r>
        <w:rPr>
          <w:rFonts w:ascii="Times New Roman" w:hAnsi="Times New Roman" w:eastAsia="仿宋_GB2312" w:cs="Times New Roman"/>
          <w:color w:val="auto"/>
          <w:szCs w:val="24"/>
        </w:rPr>
        <w:t>θ/25</w:t>
      </w:r>
      <w:r>
        <w:rPr>
          <w:rFonts w:ascii="Times New Roman" w:hAnsi="Times New Roman" w:eastAsia="仿宋_GB2312" w:cs="Times New Roman"/>
          <w:color w:val="auto"/>
          <w:spacing w:val="-1"/>
          <w:szCs w:val="24"/>
        </w:rPr>
        <w:t>）</w:t>
      </w:r>
      <w:r>
        <w:rPr>
          <w:rFonts w:ascii="Times New Roman" w:hAnsi="Times New Roman" w:eastAsia="仿宋_GB2312" w:cs="Times New Roman"/>
          <w:color w:val="auto"/>
          <w:spacing w:val="-1"/>
          <w:szCs w:val="24"/>
          <w:vertAlign w:val="superscript"/>
        </w:rPr>
        <w:t>d1</w:t>
      </w:r>
    </w:p>
    <w:p>
      <w:pPr>
        <w:snapToGrid w:val="0"/>
        <w:spacing w:line="360" w:lineRule="auto"/>
        <w:rPr>
          <w:rFonts w:ascii="Times New Roman" w:hAnsi="Times New Roman" w:eastAsia="仿宋_GB2312" w:cs="Times New Roman"/>
          <w:color w:val="auto"/>
          <w:szCs w:val="24"/>
        </w:rPr>
      </w:pPr>
      <w:r>
        <w:rPr>
          <w:rFonts w:hint="eastAsia" w:ascii="仿宋_GB2312" w:hAnsi="Times New Roman" w:eastAsia="仿宋_GB2312" w:cs="Times New Roman"/>
          <w:color w:val="auto"/>
          <w:szCs w:val="24"/>
        </w:rPr>
        <w:t>式中：</w:t>
      </w:r>
      <w:r>
        <w:rPr>
          <w:rFonts w:ascii="Times New Roman" w:hAnsi="Times New Roman" w:cs="Times New Roman"/>
          <w:color w:val="auto"/>
          <w:szCs w:val="24"/>
        </w:rPr>
        <w:t>d</w:t>
      </w:r>
      <w:r>
        <w:rPr>
          <w:rFonts w:ascii="Times New Roman" w:hAnsi="Times New Roman" w:cs="Times New Roman"/>
          <w:color w:val="auto"/>
          <w:szCs w:val="24"/>
          <w:vertAlign w:val="subscript"/>
        </w:rPr>
        <w:t>1</w:t>
      </w:r>
      <w:r>
        <w:rPr>
          <w:rFonts w:ascii="Times New Roman" w:hAnsi="Times New Roman" w:cs="Times New Roman"/>
          <w:color w:val="auto"/>
          <w:szCs w:val="24"/>
        </w:rPr>
        <w:t>—</w:t>
      </w:r>
      <w:r>
        <w:rPr>
          <w:rFonts w:ascii="Times New Roman" w:hAnsi="Times New Roman" w:eastAsia="仿宋_GB2312" w:cs="Times New Roman"/>
          <w:color w:val="auto"/>
          <w:szCs w:val="24"/>
        </w:rPr>
        <w:t>上方无来水工程堆积体坡度因子系数</w:t>
      </w:r>
      <w:r>
        <w:rPr>
          <w:rFonts w:hint="eastAsia" w:ascii="Times New Roman" w:hAnsi="Times New Roman" w:eastAsia="仿宋_GB2312" w:cs="Times New Roman"/>
          <w:color w:val="auto"/>
          <w:szCs w:val="24"/>
        </w:rPr>
        <w:t>。</w:t>
      </w:r>
    </w:p>
    <w:p>
      <w:pPr>
        <w:snapToGrid w:val="0"/>
        <w:spacing w:line="360" w:lineRule="auto"/>
        <w:jc w:val="center"/>
        <w:rPr>
          <w:rFonts w:ascii="Times New Roman" w:hAnsi="Times New Roman" w:eastAsia="仿宋_GB2312" w:cs="Times New Roman"/>
          <w:color w:val="auto"/>
          <w:szCs w:val="24"/>
        </w:rPr>
      </w:pPr>
      <w:r>
        <w:rPr>
          <w:rFonts w:ascii="Times New Roman" w:hAnsi="Times New Roman" w:eastAsia="仿宋_GB2312" w:cs="Times New Roman"/>
          <w:color w:val="auto"/>
          <w:szCs w:val="24"/>
        </w:rPr>
        <w:t>L</w:t>
      </w:r>
      <w:r>
        <w:rPr>
          <w:rFonts w:ascii="Times New Roman" w:hAnsi="Times New Roman" w:eastAsia="仿宋_GB2312" w:cs="Times New Roman"/>
          <w:color w:val="auto"/>
          <w:spacing w:val="-1"/>
          <w:szCs w:val="24"/>
          <w:vertAlign w:val="subscript"/>
        </w:rPr>
        <w:t>dw</w:t>
      </w:r>
      <w:r>
        <w:rPr>
          <w:rFonts w:ascii="Times New Roman" w:hAnsi="Times New Roman" w:eastAsia="仿宋_GB2312" w:cs="Times New Roman"/>
          <w:color w:val="auto"/>
          <w:spacing w:val="-1"/>
          <w:szCs w:val="24"/>
        </w:rPr>
        <w:t>＝（</w:t>
      </w:r>
      <w:r>
        <w:rPr>
          <w:rFonts w:ascii="Times New Roman" w:hAnsi="Times New Roman" w:eastAsia="仿宋_GB2312" w:cs="Times New Roman"/>
          <w:color w:val="auto"/>
          <w:szCs w:val="24"/>
        </w:rPr>
        <w:t>λ/5</w:t>
      </w:r>
      <w:r>
        <w:rPr>
          <w:rFonts w:ascii="Times New Roman" w:hAnsi="Times New Roman" w:eastAsia="仿宋_GB2312" w:cs="Times New Roman"/>
          <w:color w:val="auto"/>
          <w:spacing w:val="-1"/>
          <w:szCs w:val="24"/>
        </w:rPr>
        <w:t>）</w:t>
      </w:r>
      <w:r>
        <w:rPr>
          <w:rFonts w:ascii="Times New Roman" w:hAnsi="Times New Roman" w:eastAsia="仿宋_GB2312" w:cs="Times New Roman"/>
          <w:color w:val="auto"/>
          <w:spacing w:val="-1"/>
          <w:szCs w:val="24"/>
          <w:vertAlign w:val="superscript"/>
        </w:rPr>
        <w:t>f1</w:t>
      </w:r>
    </w:p>
    <w:p>
      <w:pPr>
        <w:snapToGrid w:val="0"/>
        <w:spacing w:line="360" w:lineRule="auto"/>
        <w:ind w:firstLine="720" w:firstLineChars="300"/>
        <w:rPr>
          <w:rFonts w:ascii="Times New Roman" w:hAnsi="Times New Roman" w:eastAsia="仿宋_GB2312" w:cs="Times New Roman"/>
          <w:color w:val="auto"/>
          <w:szCs w:val="24"/>
        </w:rPr>
      </w:pPr>
      <w:r>
        <w:rPr>
          <w:rFonts w:ascii="Times New Roman" w:hAnsi="Times New Roman" w:cs="Times New Roman"/>
          <w:color w:val="auto"/>
          <w:szCs w:val="24"/>
        </w:rPr>
        <w:t>f</w:t>
      </w:r>
      <w:r>
        <w:rPr>
          <w:rFonts w:ascii="Times New Roman" w:hAnsi="Times New Roman" w:cs="Times New Roman"/>
          <w:color w:val="auto"/>
          <w:szCs w:val="24"/>
          <w:vertAlign w:val="subscript"/>
        </w:rPr>
        <w:t>1</w:t>
      </w:r>
      <w:r>
        <w:rPr>
          <w:rFonts w:ascii="Times New Roman" w:hAnsi="Times New Roman" w:cs="Times New Roman"/>
          <w:color w:val="auto"/>
          <w:szCs w:val="24"/>
        </w:rPr>
        <w:t>—</w:t>
      </w:r>
      <w:r>
        <w:rPr>
          <w:rFonts w:ascii="Times New Roman" w:hAnsi="Times New Roman" w:eastAsia="仿宋_GB2312" w:cs="Times New Roman"/>
          <w:color w:val="auto"/>
          <w:szCs w:val="24"/>
        </w:rPr>
        <w:t>上方无来水工程堆积体坡长因子系数。</w:t>
      </w:r>
    </w:p>
    <w:p>
      <w:pPr>
        <w:snapToGrid w:val="0"/>
        <w:spacing w:line="360" w:lineRule="auto"/>
        <w:ind w:firstLine="720" w:firstLineChars="300"/>
        <w:rPr>
          <w:rFonts w:ascii="Times New Roman" w:hAnsi="Times New Roman" w:eastAsia="仿宋_GB2312" w:cs="Times New Roman"/>
          <w:color w:val="auto"/>
          <w:szCs w:val="24"/>
        </w:rPr>
      </w:pPr>
    </w:p>
    <w:p>
      <w:pPr>
        <w:snapToGrid w:val="0"/>
        <w:spacing w:line="360" w:lineRule="auto"/>
        <w:ind w:firstLine="720" w:firstLineChars="300"/>
        <w:rPr>
          <w:rFonts w:ascii="Times New Roman" w:hAnsi="Times New Roman" w:eastAsia="仿宋_GB2312" w:cs="Times New Roman"/>
          <w:color w:val="auto"/>
          <w:szCs w:val="24"/>
        </w:rPr>
        <w:sectPr>
          <w:headerReference r:id="rId25" w:type="default"/>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32" w:charSpace="0"/>
        </w:sectPr>
      </w:pPr>
    </w:p>
    <w:p>
      <w:pPr>
        <w:spacing w:line="360" w:lineRule="auto"/>
        <w:jc w:val="center"/>
        <w:rPr>
          <w:rFonts w:ascii="Times New Roman" w:hAnsi="Times New Roman" w:eastAsia="仿宋_GB2312" w:cs="Times New Roman"/>
          <w:b/>
          <w:bCs/>
          <w:color w:val="auto"/>
          <w:szCs w:val="28"/>
        </w:rPr>
      </w:pPr>
      <w:r>
        <w:rPr>
          <w:rFonts w:ascii="Times New Roman" w:hAnsi="Times New Roman" w:eastAsia="仿宋_GB2312" w:cs="Times New Roman"/>
          <w:b/>
          <w:bCs/>
          <w:color w:val="auto"/>
        </w:rPr>
        <w:t>表4</w:t>
      </w:r>
      <w:r>
        <w:rPr>
          <w:rFonts w:hint="eastAsia" w:ascii="Times New Roman" w:hAnsi="Times New Roman" w:eastAsia="仿宋_GB2312" w:cs="Times New Roman"/>
          <w:b/>
          <w:bCs/>
          <w:color w:val="auto"/>
        </w:rPr>
        <w:t>.</w:t>
      </w:r>
      <w:r>
        <w:rPr>
          <w:rFonts w:ascii="Times New Roman" w:hAnsi="Times New Roman" w:eastAsia="仿宋_GB2312" w:cs="Times New Roman"/>
          <w:b/>
          <w:bCs/>
          <w:color w:val="auto"/>
        </w:rPr>
        <w:t>3-</w:t>
      </w:r>
      <w:r>
        <w:rPr>
          <w:rFonts w:hint="eastAsia" w:ascii="Times New Roman" w:hAnsi="Times New Roman" w:eastAsia="仿宋_GB2312" w:cs="Times New Roman"/>
          <w:b/>
          <w:bCs/>
          <w:color w:val="auto"/>
        </w:rPr>
        <w:t>3：</w:t>
      </w:r>
      <w:r>
        <w:rPr>
          <w:rFonts w:hint="eastAsia" w:ascii="仿宋_GB2312" w:hAnsi="仿宋_GB2312" w:eastAsia="仿宋_GB2312" w:cs="仿宋_GB2312"/>
          <w:b/>
          <w:color w:val="auto"/>
          <w:spacing w:val="5"/>
          <w:szCs w:val="24"/>
        </w:rPr>
        <w:t>扰动后坡长因子、坡度因子测算表</w:t>
      </w:r>
    </w:p>
    <w:tbl>
      <w:tblPr>
        <w:tblStyle w:val="183"/>
        <w:tblW w:w="13983"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428"/>
        <w:gridCol w:w="2405"/>
        <w:gridCol w:w="1564"/>
        <w:gridCol w:w="1466"/>
        <w:gridCol w:w="1527"/>
        <w:gridCol w:w="1415"/>
        <w:gridCol w:w="1279"/>
        <w:gridCol w:w="1427"/>
        <w:gridCol w:w="147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428" w:type="dxa"/>
            <w:vMerge w:val="restart"/>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6"/>
                <w:sz w:val="21"/>
                <w:szCs w:val="21"/>
              </w:rPr>
              <w:t>预</w:t>
            </w:r>
            <w:r>
              <w:rPr>
                <w:rFonts w:ascii="Times New Roman" w:hAnsi="Times New Roman" w:eastAsia="仿宋_GB2312" w:cs="Times New Roman"/>
                <w:color w:val="auto"/>
                <w:spacing w:val="5"/>
                <w:sz w:val="21"/>
                <w:szCs w:val="21"/>
              </w:rPr>
              <w:t>测时段</w:t>
            </w:r>
          </w:p>
        </w:tc>
        <w:tc>
          <w:tcPr>
            <w:tcW w:w="2405" w:type="dxa"/>
            <w:vMerge w:val="restart"/>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8"/>
                <w:sz w:val="21"/>
                <w:szCs w:val="21"/>
              </w:rPr>
              <w:t>测</w:t>
            </w:r>
            <w:r>
              <w:rPr>
                <w:rFonts w:ascii="Times New Roman" w:hAnsi="Times New Roman" w:eastAsia="仿宋_GB2312" w:cs="Times New Roman"/>
                <w:color w:val="auto"/>
                <w:spacing w:val="5"/>
                <w:sz w:val="21"/>
                <w:szCs w:val="21"/>
              </w:rPr>
              <w:t>算单元</w:t>
            </w:r>
          </w:p>
        </w:tc>
        <w:tc>
          <w:tcPr>
            <w:tcW w:w="156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9"/>
                <w:sz w:val="21"/>
                <w:szCs w:val="21"/>
              </w:rPr>
              <w:t>投</w:t>
            </w:r>
            <w:r>
              <w:rPr>
                <w:rFonts w:ascii="Times New Roman" w:hAnsi="Times New Roman" w:eastAsia="仿宋_GB2312" w:cs="Times New Roman"/>
                <w:color w:val="auto"/>
                <w:spacing w:val="6"/>
                <w:sz w:val="21"/>
                <w:szCs w:val="21"/>
              </w:rPr>
              <w:t>影长度</w:t>
            </w:r>
          </w:p>
        </w:tc>
        <w:tc>
          <w:tcPr>
            <w:tcW w:w="1466"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9"/>
                <w:sz w:val="21"/>
                <w:szCs w:val="21"/>
              </w:rPr>
              <w:t>斜</w:t>
            </w:r>
            <w:r>
              <w:rPr>
                <w:rFonts w:ascii="Times New Roman" w:hAnsi="Times New Roman" w:eastAsia="仿宋_GB2312" w:cs="Times New Roman"/>
                <w:color w:val="auto"/>
                <w:spacing w:val="6"/>
                <w:sz w:val="21"/>
                <w:szCs w:val="21"/>
              </w:rPr>
              <w:t>坡长度</w:t>
            </w:r>
          </w:p>
        </w:tc>
        <w:tc>
          <w:tcPr>
            <w:tcW w:w="15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9"/>
                <w:sz w:val="21"/>
                <w:szCs w:val="21"/>
              </w:rPr>
              <w:t>坡</w:t>
            </w:r>
            <w:r>
              <w:rPr>
                <w:rFonts w:ascii="Times New Roman" w:hAnsi="Times New Roman" w:eastAsia="仿宋_GB2312" w:cs="Times New Roman"/>
                <w:color w:val="auto"/>
                <w:spacing w:val="7"/>
                <w:sz w:val="21"/>
                <w:szCs w:val="21"/>
              </w:rPr>
              <w:t>长指数</w:t>
            </w:r>
          </w:p>
        </w:tc>
        <w:tc>
          <w:tcPr>
            <w:tcW w:w="1415"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5"/>
                <w:sz w:val="21"/>
                <w:szCs w:val="21"/>
              </w:rPr>
              <w:t>坡度</w:t>
            </w:r>
          </w:p>
        </w:tc>
        <w:tc>
          <w:tcPr>
            <w:tcW w:w="127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弧度</w:t>
            </w:r>
          </w:p>
        </w:tc>
        <w:tc>
          <w:tcPr>
            <w:tcW w:w="14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9"/>
                <w:sz w:val="21"/>
                <w:szCs w:val="21"/>
              </w:rPr>
              <w:t>坡</w:t>
            </w:r>
            <w:r>
              <w:rPr>
                <w:rFonts w:ascii="Times New Roman" w:hAnsi="Times New Roman" w:eastAsia="仿宋_GB2312" w:cs="Times New Roman"/>
                <w:color w:val="auto"/>
                <w:spacing w:val="7"/>
                <w:sz w:val="21"/>
                <w:szCs w:val="21"/>
              </w:rPr>
              <w:t>长因子</w:t>
            </w:r>
          </w:p>
        </w:tc>
        <w:tc>
          <w:tcPr>
            <w:tcW w:w="147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9"/>
                <w:sz w:val="21"/>
                <w:szCs w:val="21"/>
              </w:rPr>
              <w:t>坡</w:t>
            </w:r>
            <w:r>
              <w:rPr>
                <w:rFonts w:ascii="Times New Roman" w:hAnsi="Times New Roman" w:eastAsia="仿宋_GB2312" w:cs="Times New Roman"/>
                <w:color w:val="auto"/>
                <w:spacing w:val="7"/>
                <w:sz w:val="21"/>
                <w:szCs w:val="21"/>
              </w:rPr>
              <w:t>度因子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1428"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405"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156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position w:val="2"/>
                <w:sz w:val="21"/>
                <w:szCs w:val="21"/>
              </w:rPr>
              <w:t>λ</w:t>
            </w:r>
          </w:p>
        </w:tc>
        <w:tc>
          <w:tcPr>
            <w:tcW w:w="1466"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pict>
                <v:shape id="_x0000_s2128" o:spid="_x0000_s2128" o:spt="202" type="#_x0000_t202" style="position:absolute;left:0pt;margin-left:30.4pt;margin-top:0.35pt;height:16.1pt;width:7pt;mso-position-horizontal-relative:page;mso-position-vertical-relative:page;z-index:251736064;mso-width-relative:page;mso-height-relative:page;" filled="f" stroked="f" coordsize="21600,21600">
                  <v:path/>
                  <v:fill on="f" focussize="0,0"/>
                  <v:stroke on="f" joinstyle="miter"/>
                  <v:imagedata o:title=""/>
                  <o:lock v:ext="edit"/>
                  <v:textbox inset="0mm,0mm,0mm,0mm">
                    <w:txbxContent>
                      <w:p>
                        <w:pPr>
                          <w:spacing w:before="20" w:line="281" w:lineRule="exact"/>
                          <w:ind w:left="20" w:firstLine="408"/>
                          <w:rPr>
                            <w:rFonts w:eastAsia="Times New Roman" w:cs="Times New Roman"/>
                            <w:sz w:val="20"/>
                            <w:szCs w:val="20"/>
                          </w:rPr>
                        </w:pPr>
                        <w:r>
                          <w:rPr>
                            <w:rFonts w:eastAsia="Times New Roman" w:cs="Times New Roman"/>
                            <w:spacing w:val="2"/>
                            <w:position w:val="2"/>
                            <w:sz w:val="20"/>
                            <w:szCs w:val="20"/>
                          </w:rPr>
                          <w:t>λ</w:t>
                        </w:r>
                      </w:p>
                    </w:txbxContent>
                  </v:textbox>
                </v:shape>
              </w:pict>
            </w:r>
            <w:r>
              <w:rPr>
                <w:rFonts w:ascii="Times New Roman" w:hAnsi="Times New Roman" w:eastAsia="仿宋_GB2312" w:cs="Times New Roman"/>
                <w:color w:val="auto"/>
                <w:spacing w:val="1"/>
                <w:sz w:val="21"/>
                <w:szCs w:val="21"/>
              </w:rPr>
              <w:t>x</w:t>
            </w:r>
          </w:p>
        </w:tc>
        <w:tc>
          <w:tcPr>
            <w:tcW w:w="15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5"/>
                <w:sz w:val="21"/>
                <w:szCs w:val="21"/>
              </w:rPr>
              <w:t>m</w:t>
            </w:r>
          </w:p>
        </w:tc>
        <w:tc>
          <w:tcPr>
            <w:tcW w:w="1415"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position w:val="2"/>
                <w:sz w:val="21"/>
                <w:szCs w:val="21"/>
              </w:rPr>
              <w:t>θ</w:t>
            </w:r>
          </w:p>
        </w:tc>
        <w:tc>
          <w:tcPr>
            <w:tcW w:w="127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14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L</w:t>
            </w:r>
            <w:r>
              <w:rPr>
                <w:rFonts w:ascii="Times New Roman" w:hAnsi="Times New Roman" w:eastAsia="仿宋_GB2312" w:cs="Times New Roman"/>
                <w:color w:val="auto"/>
                <w:spacing w:val="2"/>
                <w:sz w:val="21"/>
                <w:szCs w:val="21"/>
              </w:rPr>
              <w:t>y</w:t>
            </w:r>
          </w:p>
        </w:tc>
        <w:tc>
          <w:tcPr>
            <w:tcW w:w="147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S</w:t>
            </w:r>
            <w:r>
              <w:rPr>
                <w:rFonts w:ascii="Times New Roman" w:hAnsi="Times New Roman" w:eastAsia="仿宋_GB2312" w:cs="Times New Roman"/>
                <w:color w:val="auto"/>
                <w:spacing w:val="-2"/>
                <w:sz w:val="21"/>
                <w:szCs w:val="21"/>
              </w:rPr>
              <w:t>y</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1" w:hRule="atLeast"/>
        </w:trPr>
        <w:tc>
          <w:tcPr>
            <w:tcW w:w="1428" w:type="dxa"/>
            <w:vMerge w:val="restart"/>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7"/>
                <w:sz w:val="21"/>
                <w:szCs w:val="21"/>
              </w:rPr>
              <w:t>施</w:t>
            </w:r>
            <w:r>
              <w:rPr>
                <w:rFonts w:ascii="Times New Roman" w:hAnsi="Times New Roman" w:eastAsia="仿宋_GB2312" w:cs="Times New Roman"/>
                <w:color w:val="auto"/>
                <w:spacing w:val="6"/>
                <w:sz w:val="21"/>
                <w:szCs w:val="21"/>
              </w:rPr>
              <w:t>工期</w:t>
            </w:r>
          </w:p>
        </w:tc>
        <w:tc>
          <w:tcPr>
            <w:tcW w:w="2405"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道路与交通设施用地区</w:t>
            </w:r>
          </w:p>
        </w:tc>
        <w:tc>
          <w:tcPr>
            <w:tcW w:w="156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99.6</w:t>
            </w:r>
            <w:r>
              <w:rPr>
                <w:rFonts w:hint="eastAsia" w:ascii="Times New Roman" w:hAnsi="Times New Roman" w:eastAsia="仿宋_GB2312" w:cs="Times New Roman"/>
                <w:color w:val="auto"/>
                <w:spacing w:val="3"/>
                <w:sz w:val="21"/>
                <w:szCs w:val="21"/>
              </w:rPr>
              <w:t>1</w:t>
            </w:r>
          </w:p>
        </w:tc>
        <w:tc>
          <w:tcPr>
            <w:tcW w:w="1466"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100</w:t>
            </w:r>
          </w:p>
        </w:tc>
        <w:tc>
          <w:tcPr>
            <w:tcW w:w="15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0</w:t>
            </w:r>
            <w:r>
              <w:rPr>
                <w:rFonts w:hint="eastAsia" w:ascii="Times New Roman" w:hAnsi="Times New Roman" w:eastAsia="仿宋_GB2312" w:cs="Times New Roman"/>
                <w:color w:val="auto"/>
                <w:spacing w:val="2"/>
                <w:sz w:val="21"/>
                <w:szCs w:val="21"/>
              </w:rPr>
              <w:t>.</w:t>
            </w:r>
            <w:r>
              <w:rPr>
                <w:rFonts w:ascii="Times New Roman" w:hAnsi="Times New Roman" w:eastAsia="仿宋_GB2312" w:cs="Times New Roman"/>
                <w:color w:val="auto"/>
                <w:spacing w:val="1"/>
                <w:sz w:val="21"/>
                <w:szCs w:val="21"/>
              </w:rPr>
              <w:t>4</w:t>
            </w:r>
          </w:p>
        </w:tc>
        <w:tc>
          <w:tcPr>
            <w:tcW w:w="1415"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5</w:t>
            </w:r>
          </w:p>
        </w:tc>
        <w:tc>
          <w:tcPr>
            <w:tcW w:w="127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hint="eastAsia" w:ascii="Times New Roman" w:hAnsi="Times New Roman" w:eastAsia="仿宋_GB2312" w:cs="Times New Roman"/>
                <w:color w:val="auto"/>
                <w:spacing w:val="4"/>
                <w:sz w:val="21"/>
                <w:szCs w:val="21"/>
              </w:rPr>
              <w:t>.</w:t>
            </w:r>
            <w:r>
              <w:rPr>
                <w:rFonts w:ascii="Times New Roman" w:hAnsi="Times New Roman" w:eastAsia="仿宋_GB2312" w:cs="Times New Roman"/>
                <w:color w:val="auto"/>
                <w:spacing w:val="2"/>
                <w:sz w:val="21"/>
                <w:szCs w:val="21"/>
              </w:rPr>
              <w:t>09</w:t>
            </w:r>
          </w:p>
        </w:tc>
        <w:tc>
          <w:tcPr>
            <w:tcW w:w="14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w:t>
            </w:r>
            <w:r>
              <w:rPr>
                <w:rFonts w:ascii="Times New Roman" w:hAnsi="Times New Roman" w:eastAsia="仿宋_GB2312" w:cs="Times New Roman"/>
                <w:color w:val="auto"/>
                <w:spacing w:val="-1"/>
                <w:sz w:val="21"/>
                <w:szCs w:val="21"/>
              </w:rPr>
              <w:t>96</w:t>
            </w:r>
          </w:p>
        </w:tc>
        <w:tc>
          <w:tcPr>
            <w:tcW w:w="147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w:t>
            </w:r>
            <w:r>
              <w:rPr>
                <w:rFonts w:ascii="Times New Roman" w:hAnsi="Times New Roman" w:eastAsia="仿宋_GB2312" w:cs="Times New Roman"/>
                <w:color w:val="auto"/>
                <w:spacing w:val="-1"/>
                <w:sz w:val="21"/>
                <w:szCs w:val="21"/>
              </w:rPr>
              <w:t>53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06" w:hRule="atLeast"/>
        </w:trPr>
        <w:tc>
          <w:tcPr>
            <w:tcW w:w="1428"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405"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公用设施用地区</w:t>
            </w:r>
          </w:p>
        </w:tc>
        <w:tc>
          <w:tcPr>
            <w:tcW w:w="156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99.</w:t>
            </w:r>
            <w:r>
              <w:rPr>
                <w:rFonts w:hint="eastAsia" w:ascii="Times New Roman" w:hAnsi="Times New Roman" w:eastAsia="仿宋_GB2312" w:cs="Times New Roman"/>
                <w:color w:val="auto"/>
                <w:spacing w:val="3"/>
                <w:sz w:val="21"/>
                <w:szCs w:val="21"/>
              </w:rPr>
              <w:t>75</w:t>
            </w:r>
          </w:p>
        </w:tc>
        <w:tc>
          <w:tcPr>
            <w:tcW w:w="1466"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100</w:t>
            </w:r>
          </w:p>
        </w:tc>
        <w:tc>
          <w:tcPr>
            <w:tcW w:w="15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0</w:t>
            </w:r>
            <w:r>
              <w:rPr>
                <w:rFonts w:hint="eastAsia" w:ascii="Times New Roman" w:hAnsi="Times New Roman" w:eastAsia="仿宋_GB2312" w:cs="Times New Roman"/>
                <w:color w:val="auto"/>
                <w:spacing w:val="3"/>
                <w:sz w:val="21"/>
                <w:szCs w:val="21"/>
              </w:rPr>
              <w:t>.</w:t>
            </w:r>
            <w:r>
              <w:rPr>
                <w:rFonts w:ascii="Times New Roman" w:hAnsi="Times New Roman" w:eastAsia="仿宋_GB2312" w:cs="Times New Roman"/>
                <w:color w:val="auto"/>
                <w:spacing w:val="3"/>
                <w:sz w:val="21"/>
                <w:szCs w:val="21"/>
              </w:rPr>
              <w:t>3</w:t>
            </w:r>
          </w:p>
        </w:tc>
        <w:tc>
          <w:tcPr>
            <w:tcW w:w="1415"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127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hint="eastAsia" w:ascii="Times New Roman" w:hAnsi="Times New Roman" w:eastAsia="仿宋_GB2312" w:cs="Times New Roman"/>
                <w:color w:val="auto"/>
                <w:spacing w:val="4"/>
                <w:sz w:val="21"/>
                <w:szCs w:val="21"/>
              </w:rPr>
              <w:t>.</w:t>
            </w:r>
            <w:r>
              <w:rPr>
                <w:rFonts w:ascii="Times New Roman" w:hAnsi="Times New Roman" w:eastAsia="仿宋_GB2312" w:cs="Times New Roman"/>
                <w:color w:val="auto"/>
                <w:spacing w:val="2"/>
                <w:sz w:val="21"/>
                <w:szCs w:val="21"/>
              </w:rPr>
              <w:t>05</w:t>
            </w:r>
          </w:p>
        </w:tc>
        <w:tc>
          <w:tcPr>
            <w:tcW w:w="14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w:t>
            </w:r>
            <w:r>
              <w:rPr>
                <w:rFonts w:ascii="Times New Roman" w:hAnsi="Times New Roman" w:eastAsia="仿宋_GB2312" w:cs="Times New Roman"/>
                <w:color w:val="auto"/>
                <w:spacing w:val="-1"/>
                <w:sz w:val="21"/>
                <w:szCs w:val="21"/>
              </w:rPr>
              <w:t>86</w:t>
            </w:r>
          </w:p>
        </w:tc>
        <w:tc>
          <w:tcPr>
            <w:tcW w:w="147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.47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1428"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405"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绿地区</w:t>
            </w:r>
          </w:p>
        </w:tc>
        <w:tc>
          <w:tcPr>
            <w:tcW w:w="156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99.</w:t>
            </w:r>
            <w:r>
              <w:rPr>
                <w:rFonts w:hint="eastAsia" w:ascii="Times New Roman" w:hAnsi="Times New Roman" w:eastAsia="仿宋_GB2312" w:cs="Times New Roman"/>
                <w:color w:val="auto"/>
                <w:spacing w:val="3"/>
                <w:sz w:val="21"/>
                <w:szCs w:val="21"/>
              </w:rPr>
              <w:t>2</w:t>
            </w:r>
            <w:r>
              <w:rPr>
                <w:rFonts w:ascii="Times New Roman" w:hAnsi="Times New Roman" w:eastAsia="仿宋_GB2312" w:cs="Times New Roman"/>
                <w:color w:val="auto"/>
                <w:spacing w:val="3"/>
                <w:sz w:val="21"/>
                <w:szCs w:val="21"/>
              </w:rPr>
              <w:t>3</w:t>
            </w:r>
          </w:p>
        </w:tc>
        <w:tc>
          <w:tcPr>
            <w:tcW w:w="1466"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100</w:t>
            </w:r>
          </w:p>
        </w:tc>
        <w:tc>
          <w:tcPr>
            <w:tcW w:w="15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hint="eastAsia" w:ascii="Times New Roman" w:hAnsi="Times New Roman" w:eastAsia="仿宋_GB2312" w:cs="Times New Roman"/>
                <w:color w:val="auto"/>
                <w:spacing w:val="4"/>
                <w:sz w:val="21"/>
                <w:szCs w:val="21"/>
              </w:rPr>
              <w:t>.4</w:t>
            </w:r>
          </w:p>
        </w:tc>
        <w:tc>
          <w:tcPr>
            <w:tcW w:w="1415"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5</w:t>
            </w:r>
          </w:p>
        </w:tc>
        <w:tc>
          <w:tcPr>
            <w:tcW w:w="127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hint="eastAsia" w:ascii="Times New Roman" w:hAnsi="Times New Roman" w:eastAsia="仿宋_GB2312" w:cs="Times New Roman"/>
                <w:color w:val="auto"/>
                <w:spacing w:val="4"/>
                <w:sz w:val="21"/>
                <w:szCs w:val="21"/>
              </w:rPr>
              <w:t>.09</w:t>
            </w:r>
          </w:p>
        </w:tc>
        <w:tc>
          <w:tcPr>
            <w:tcW w:w="14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1.96</w:t>
            </w:r>
          </w:p>
        </w:tc>
        <w:tc>
          <w:tcPr>
            <w:tcW w:w="147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.53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07" w:hRule="atLeast"/>
        </w:trPr>
        <w:tc>
          <w:tcPr>
            <w:tcW w:w="1428"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405" w:type="dxa"/>
            <w:tcBorders>
              <w:tl2br w:val="nil"/>
              <w:tr2bl w:val="nil"/>
            </w:tcBorders>
            <w:vAlign w:val="center"/>
          </w:tcPr>
          <w:p>
            <w:pPr>
              <w:widowControl/>
              <w:spacing w:line="240" w:lineRule="atLeast"/>
              <w:jc w:val="center"/>
              <w:textAlignment w:val="center"/>
              <w:rPr>
                <w:rFonts w:hint="eastAsia" w:ascii="Times New Roman" w:hAnsi="Times New Roman" w:eastAsia="仿宋_GB2312" w:cs="Times New Roman"/>
                <w:color w:val="auto"/>
                <w:sz w:val="21"/>
                <w:szCs w:val="21"/>
                <w:lang w:eastAsia="zh-CN"/>
              </w:rPr>
            </w:pPr>
            <w:r>
              <w:rPr>
                <w:rFonts w:hint="eastAsia" w:ascii="Times New Roman" w:hAnsi="Times New Roman" w:eastAsia="仿宋_GB2312" w:cs="Times New Roman"/>
                <w:color w:val="auto"/>
                <w:sz w:val="21"/>
                <w:szCs w:val="21"/>
                <w:lang w:eastAsia="zh-CN"/>
              </w:rPr>
              <w:t>已建工程区</w:t>
            </w:r>
          </w:p>
        </w:tc>
        <w:tc>
          <w:tcPr>
            <w:tcW w:w="156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99.</w:t>
            </w:r>
            <w:r>
              <w:rPr>
                <w:rFonts w:hint="eastAsia" w:ascii="Times New Roman" w:hAnsi="Times New Roman" w:eastAsia="仿宋_GB2312" w:cs="Times New Roman"/>
                <w:color w:val="auto"/>
                <w:spacing w:val="3"/>
                <w:sz w:val="21"/>
                <w:szCs w:val="21"/>
              </w:rPr>
              <w:t>2</w:t>
            </w:r>
            <w:r>
              <w:rPr>
                <w:rFonts w:ascii="Times New Roman" w:hAnsi="Times New Roman" w:eastAsia="仿宋_GB2312" w:cs="Times New Roman"/>
                <w:color w:val="auto"/>
                <w:spacing w:val="3"/>
                <w:sz w:val="21"/>
                <w:szCs w:val="21"/>
              </w:rPr>
              <w:t>3</w:t>
            </w:r>
          </w:p>
        </w:tc>
        <w:tc>
          <w:tcPr>
            <w:tcW w:w="1466"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100</w:t>
            </w:r>
          </w:p>
        </w:tc>
        <w:tc>
          <w:tcPr>
            <w:tcW w:w="15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0</w:t>
            </w:r>
            <w:r>
              <w:rPr>
                <w:rFonts w:hint="eastAsia" w:ascii="Times New Roman" w:hAnsi="Times New Roman" w:eastAsia="仿宋_GB2312" w:cs="Times New Roman"/>
                <w:color w:val="auto"/>
                <w:spacing w:val="3"/>
                <w:sz w:val="21"/>
                <w:szCs w:val="21"/>
              </w:rPr>
              <w:t>.</w:t>
            </w:r>
            <w:r>
              <w:rPr>
                <w:rFonts w:ascii="Times New Roman" w:hAnsi="Times New Roman" w:eastAsia="仿宋_GB2312" w:cs="Times New Roman"/>
                <w:color w:val="auto"/>
                <w:spacing w:val="3"/>
                <w:sz w:val="21"/>
                <w:szCs w:val="21"/>
              </w:rPr>
              <w:t>3</w:t>
            </w:r>
          </w:p>
        </w:tc>
        <w:tc>
          <w:tcPr>
            <w:tcW w:w="1415"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127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hint="eastAsia" w:ascii="Times New Roman" w:hAnsi="Times New Roman" w:eastAsia="仿宋_GB2312" w:cs="Times New Roman"/>
                <w:color w:val="auto"/>
                <w:spacing w:val="4"/>
                <w:sz w:val="21"/>
                <w:szCs w:val="21"/>
              </w:rPr>
              <w:t>.</w:t>
            </w:r>
            <w:r>
              <w:rPr>
                <w:rFonts w:ascii="Times New Roman" w:hAnsi="Times New Roman" w:eastAsia="仿宋_GB2312" w:cs="Times New Roman"/>
                <w:color w:val="auto"/>
                <w:spacing w:val="2"/>
                <w:sz w:val="21"/>
                <w:szCs w:val="21"/>
              </w:rPr>
              <w:t>05</w:t>
            </w:r>
          </w:p>
        </w:tc>
        <w:tc>
          <w:tcPr>
            <w:tcW w:w="14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w:t>
            </w:r>
            <w:r>
              <w:rPr>
                <w:rFonts w:ascii="Times New Roman" w:hAnsi="Times New Roman" w:eastAsia="仿宋_GB2312" w:cs="Times New Roman"/>
                <w:color w:val="auto"/>
                <w:spacing w:val="-1"/>
                <w:sz w:val="21"/>
                <w:szCs w:val="21"/>
              </w:rPr>
              <w:t>86</w:t>
            </w:r>
          </w:p>
        </w:tc>
        <w:tc>
          <w:tcPr>
            <w:tcW w:w="147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w:t>
            </w:r>
            <w:r>
              <w:rPr>
                <w:rFonts w:ascii="Times New Roman" w:hAnsi="Times New Roman" w:eastAsia="仿宋_GB2312" w:cs="Times New Roman"/>
                <w:color w:val="auto"/>
                <w:spacing w:val="-1"/>
                <w:sz w:val="21"/>
                <w:szCs w:val="21"/>
              </w:rPr>
              <w:t>47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1428"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405" w:type="dxa"/>
            <w:tcBorders>
              <w:tl2br w:val="nil"/>
              <w:tr2bl w:val="nil"/>
            </w:tcBorders>
            <w:vAlign w:val="center"/>
          </w:tcPr>
          <w:p>
            <w:pPr>
              <w:widowControl/>
              <w:spacing w:line="240" w:lineRule="atLeast"/>
              <w:jc w:val="center"/>
              <w:textAlignment w:val="center"/>
              <w:rPr>
                <w:rFonts w:hint="eastAsia" w:ascii="Times New Roman" w:hAnsi="Times New Roman" w:eastAsia="仿宋_GB2312" w:cs="Times New Roman"/>
                <w:color w:val="auto"/>
                <w:sz w:val="21"/>
                <w:szCs w:val="21"/>
                <w:lang w:eastAsia="zh-CN"/>
              </w:rPr>
            </w:pPr>
            <w:r>
              <w:rPr>
                <w:rFonts w:hint="eastAsia" w:ascii="Times New Roman" w:hAnsi="Times New Roman" w:eastAsia="仿宋_GB2312"/>
                <w:color w:val="auto"/>
                <w:sz w:val="21"/>
                <w:szCs w:val="21"/>
                <w:lang w:eastAsia="zh-CN"/>
              </w:rPr>
              <w:t>待建工程区</w:t>
            </w:r>
          </w:p>
        </w:tc>
        <w:tc>
          <w:tcPr>
            <w:tcW w:w="156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99.</w:t>
            </w:r>
            <w:r>
              <w:rPr>
                <w:rFonts w:hint="eastAsia" w:ascii="Times New Roman" w:hAnsi="Times New Roman" w:eastAsia="仿宋_GB2312" w:cs="Times New Roman"/>
                <w:color w:val="auto"/>
                <w:spacing w:val="3"/>
                <w:sz w:val="21"/>
                <w:szCs w:val="21"/>
              </w:rPr>
              <w:t>2</w:t>
            </w:r>
            <w:r>
              <w:rPr>
                <w:rFonts w:ascii="Times New Roman" w:hAnsi="Times New Roman" w:eastAsia="仿宋_GB2312" w:cs="Times New Roman"/>
                <w:color w:val="auto"/>
                <w:spacing w:val="3"/>
                <w:sz w:val="21"/>
                <w:szCs w:val="21"/>
              </w:rPr>
              <w:t>3</w:t>
            </w:r>
          </w:p>
        </w:tc>
        <w:tc>
          <w:tcPr>
            <w:tcW w:w="1466"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100</w:t>
            </w:r>
          </w:p>
        </w:tc>
        <w:tc>
          <w:tcPr>
            <w:tcW w:w="15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0</w:t>
            </w:r>
            <w:r>
              <w:rPr>
                <w:rFonts w:hint="eastAsia" w:ascii="Times New Roman" w:hAnsi="Times New Roman" w:eastAsia="仿宋_GB2312" w:cs="Times New Roman"/>
                <w:color w:val="auto"/>
                <w:spacing w:val="3"/>
                <w:sz w:val="21"/>
                <w:szCs w:val="21"/>
              </w:rPr>
              <w:t>.3</w:t>
            </w:r>
          </w:p>
        </w:tc>
        <w:tc>
          <w:tcPr>
            <w:tcW w:w="1415"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127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hint="eastAsia" w:ascii="Times New Roman" w:hAnsi="Times New Roman" w:eastAsia="仿宋_GB2312" w:cs="Times New Roman"/>
                <w:color w:val="auto"/>
                <w:spacing w:val="4"/>
                <w:sz w:val="21"/>
                <w:szCs w:val="21"/>
              </w:rPr>
              <w:t>.</w:t>
            </w:r>
            <w:r>
              <w:rPr>
                <w:rFonts w:ascii="Times New Roman" w:hAnsi="Times New Roman" w:eastAsia="仿宋_GB2312" w:cs="Times New Roman"/>
                <w:color w:val="auto"/>
                <w:spacing w:val="2"/>
                <w:sz w:val="21"/>
                <w:szCs w:val="21"/>
              </w:rPr>
              <w:t>05</w:t>
            </w:r>
          </w:p>
        </w:tc>
        <w:tc>
          <w:tcPr>
            <w:tcW w:w="14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w:t>
            </w:r>
            <w:r>
              <w:rPr>
                <w:rFonts w:ascii="Times New Roman" w:hAnsi="Times New Roman" w:eastAsia="仿宋_GB2312" w:cs="Times New Roman"/>
                <w:color w:val="auto"/>
                <w:spacing w:val="-1"/>
                <w:sz w:val="21"/>
                <w:szCs w:val="21"/>
              </w:rPr>
              <w:t>86</w:t>
            </w:r>
          </w:p>
        </w:tc>
        <w:tc>
          <w:tcPr>
            <w:tcW w:w="147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w:t>
            </w:r>
            <w:r>
              <w:rPr>
                <w:rFonts w:ascii="Times New Roman" w:hAnsi="Times New Roman" w:eastAsia="仿宋_GB2312" w:cs="Times New Roman"/>
                <w:color w:val="auto"/>
                <w:spacing w:val="-1"/>
                <w:sz w:val="21"/>
                <w:szCs w:val="21"/>
              </w:rPr>
              <w:t>47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07" w:hRule="atLeast"/>
        </w:trPr>
        <w:tc>
          <w:tcPr>
            <w:tcW w:w="1428"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405"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临时</w:t>
            </w:r>
            <w:r>
              <w:rPr>
                <w:rFonts w:hint="eastAsia" w:ascii="Times New Roman" w:hAnsi="Times New Roman" w:eastAsia="仿宋_GB2312" w:cs="Times New Roman"/>
                <w:color w:val="auto"/>
                <w:kern w:val="0"/>
                <w:sz w:val="21"/>
                <w:szCs w:val="21"/>
                <w:lang w:eastAsia="zh-CN"/>
              </w:rPr>
              <w:t>堆土场</w:t>
            </w:r>
            <w:r>
              <w:rPr>
                <w:rFonts w:ascii="Times New Roman" w:hAnsi="Times New Roman" w:eastAsia="仿宋_GB2312" w:cs="Times New Roman"/>
                <w:color w:val="auto"/>
                <w:kern w:val="0"/>
                <w:sz w:val="21"/>
                <w:szCs w:val="21"/>
              </w:rPr>
              <w:t>区</w:t>
            </w:r>
          </w:p>
        </w:tc>
        <w:tc>
          <w:tcPr>
            <w:tcW w:w="156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99.</w:t>
            </w:r>
            <w:r>
              <w:rPr>
                <w:rFonts w:hint="eastAsia" w:ascii="Times New Roman" w:hAnsi="Times New Roman" w:eastAsia="仿宋_GB2312" w:cs="Times New Roman"/>
                <w:color w:val="auto"/>
                <w:spacing w:val="3"/>
                <w:sz w:val="21"/>
                <w:szCs w:val="21"/>
              </w:rPr>
              <w:t>2</w:t>
            </w:r>
            <w:r>
              <w:rPr>
                <w:rFonts w:ascii="Times New Roman" w:hAnsi="Times New Roman" w:eastAsia="仿宋_GB2312" w:cs="Times New Roman"/>
                <w:color w:val="auto"/>
                <w:spacing w:val="3"/>
                <w:sz w:val="21"/>
                <w:szCs w:val="21"/>
              </w:rPr>
              <w:t>3</w:t>
            </w:r>
          </w:p>
        </w:tc>
        <w:tc>
          <w:tcPr>
            <w:tcW w:w="1466"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100</w:t>
            </w:r>
          </w:p>
        </w:tc>
        <w:tc>
          <w:tcPr>
            <w:tcW w:w="15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0</w:t>
            </w:r>
            <w:r>
              <w:rPr>
                <w:rFonts w:hint="eastAsia" w:ascii="Times New Roman" w:hAnsi="Times New Roman" w:eastAsia="仿宋_GB2312" w:cs="Times New Roman"/>
                <w:color w:val="auto"/>
                <w:spacing w:val="3"/>
                <w:sz w:val="21"/>
                <w:szCs w:val="21"/>
              </w:rPr>
              <w:t>.3</w:t>
            </w:r>
          </w:p>
        </w:tc>
        <w:tc>
          <w:tcPr>
            <w:tcW w:w="1415"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127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hint="eastAsia" w:ascii="Times New Roman" w:hAnsi="Times New Roman" w:eastAsia="仿宋_GB2312" w:cs="Times New Roman"/>
                <w:color w:val="auto"/>
                <w:spacing w:val="4"/>
                <w:sz w:val="21"/>
                <w:szCs w:val="21"/>
              </w:rPr>
              <w:t>.</w:t>
            </w:r>
            <w:r>
              <w:rPr>
                <w:rFonts w:ascii="Times New Roman" w:hAnsi="Times New Roman" w:eastAsia="仿宋_GB2312" w:cs="Times New Roman"/>
                <w:color w:val="auto"/>
                <w:spacing w:val="2"/>
                <w:sz w:val="21"/>
                <w:szCs w:val="21"/>
              </w:rPr>
              <w:t>05</w:t>
            </w:r>
          </w:p>
        </w:tc>
        <w:tc>
          <w:tcPr>
            <w:tcW w:w="14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w:t>
            </w:r>
            <w:r>
              <w:rPr>
                <w:rFonts w:ascii="Times New Roman" w:hAnsi="Times New Roman" w:eastAsia="仿宋_GB2312" w:cs="Times New Roman"/>
                <w:color w:val="auto"/>
                <w:spacing w:val="-1"/>
                <w:sz w:val="21"/>
                <w:szCs w:val="21"/>
              </w:rPr>
              <w:t>86</w:t>
            </w:r>
          </w:p>
        </w:tc>
        <w:tc>
          <w:tcPr>
            <w:tcW w:w="147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w:t>
            </w:r>
            <w:r>
              <w:rPr>
                <w:rFonts w:ascii="Times New Roman" w:hAnsi="Times New Roman" w:eastAsia="仿宋_GB2312" w:cs="Times New Roman"/>
                <w:color w:val="auto"/>
                <w:spacing w:val="-1"/>
                <w:sz w:val="21"/>
                <w:szCs w:val="21"/>
              </w:rPr>
              <w:t>47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2" w:hRule="atLeast"/>
        </w:trPr>
        <w:tc>
          <w:tcPr>
            <w:tcW w:w="1428"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405"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苗木移栽区</w:t>
            </w:r>
          </w:p>
        </w:tc>
        <w:tc>
          <w:tcPr>
            <w:tcW w:w="156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99.</w:t>
            </w:r>
            <w:r>
              <w:rPr>
                <w:rFonts w:hint="eastAsia" w:ascii="Times New Roman" w:hAnsi="Times New Roman" w:eastAsia="仿宋_GB2312" w:cs="Times New Roman"/>
                <w:color w:val="auto"/>
                <w:spacing w:val="3"/>
                <w:sz w:val="21"/>
                <w:szCs w:val="21"/>
              </w:rPr>
              <w:t>2</w:t>
            </w:r>
            <w:r>
              <w:rPr>
                <w:rFonts w:ascii="Times New Roman" w:hAnsi="Times New Roman" w:eastAsia="仿宋_GB2312" w:cs="Times New Roman"/>
                <w:color w:val="auto"/>
                <w:spacing w:val="3"/>
                <w:sz w:val="21"/>
                <w:szCs w:val="21"/>
              </w:rPr>
              <w:t>3</w:t>
            </w:r>
          </w:p>
        </w:tc>
        <w:tc>
          <w:tcPr>
            <w:tcW w:w="1466"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100</w:t>
            </w:r>
          </w:p>
        </w:tc>
        <w:tc>
          <w:tcPr>
            <w:tcW w:w="15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0.3</w:t>
            </w:r>
          </w:p>
        </w:tc>
        <w:tc>
          <w:tcPr>
            <w:tcW w:w="1415"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127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2"/>
                <w:sz w:val="21"/>
                <w:szCs w:val="21"/>
              </w:rPr>
              <w:t>.05</w:t>
            </w:r>
          </w:p>
        </w:tc>
        <w:tc>
          <w:tcPr>
            <w:tcW w:w="14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ascii="Times New Roman" w:hAnsi="Times New Roman" w:eastAsia="仿宋_GB2312" w:cs="Times New Roman"/>
                <w:color w:val="auto"/>
                <w:spacing w:val="-1"/>
                <w:sz w:val="21"/>
                <w:szCs w:val="21"/>
              </w:rPr>
              <w:t>86</w:t>
            </w:r>
          </w:p>
        </w:tc>
        <w:tc>
          <w:tcPr>
            <w:tcW w:w="147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ascii="Times New Roman" w:hAnsi="Times New Roman" w:eastAsia="仿宋_GB2312" w:cs="Times New Roman"/>
                <w:color w:val="auto"/>
                <w:spacing w:val="-1"/>
                <w:sz w:val="21"/>
                <w:szCs w:val="21"/>
              </w:rPr>
              <w:t>47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07" w:hRule="atLeast"/>
        </w:trPr>
        <w:tc>
          <w:tcPr>
            <w:tcW w:w="1428" w:type="dxa"/>
            <w:vMerge w:val="restart"/>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1"/>
                <w:sz w:val="21"/>
                <w:szCs w:val="21"/>
              </w:rPr>
              <w:t>自然恢</w:t>
            </w:r>
            <w:r>
              <w:rPr>
                <w:rFonts w:ascii="Times New Roman" w:hAnsi="Times New Roman" w:eastAsia="仿宋_GB2312" w:cs="Times New Roman"/>
                <w:color w:val="auto"/>
                <w:sz w:val="21"/>
                <w:szCs w:val="21"/>
              </w:rPr>
              <w:t>复期</w:t>
            </w:r>
          </w:p>
        </w:tc>
        <w:tc>
          <w:tcPr>
            <w:tcW w:w="2405"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道路与交通设施用地区</w:t>
            </w:r>
          </w:p>
        </w:tc>
        <w:tc>
          <w:tcPr>
            <w:tcW w:w="156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99.6</w:t>
            </w:r>
            <w:r>
              <w:rPr>
                <w:rFonts w:hint="eastAsia" w:ascii="Times New Roman" w:hAnsi="Times New Roman" w:eastAsia="仿宋_GB2312" w:cs="Times New Roman"/>
                <w:color w:val="auto"/>
                <w:spacing w:val="3"/>
                <w:sz w:val="21"/>
                <w:szCs w:val="21"/>
              </w:rPr>
              <w:t>2</w:t>
            </w:r>
          </w:p>
        </w:tc>
        <w:tc>
          <w:tcPr>
            <w:tcW w:w="1466"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100</w:t>
            </w:r>
          </w:p>
        </w:tc>
        <w:tc>
          <w:tcPr>
            <w:tcW w:w="15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0.</w:t>
            </w:r>
            <w:r>
              <w:rPr>
                <w:rFonts w:ascii="Times New Roman" w:hAnsi="Times New Roman" w:eastAsia="仿宋_GB2312" w:cs="Times New Roman"/>
                <w:color w:val="auto"/>
                <w:spacing w:val="1"/>
                <w:sz w:val="21"/>
                <w:szCs w:val="21"/>
              </w:rPr>
              <w:t>4</w:t>
            </w:r>
          </w:p>
        </w:tc>
        <w:tc>
          <w:tcPr>
            <w:tcW w:w="1415"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5</w:t>
            </w:r>
          </w:p>
        </w:tc>
        <w:tc>
          <w:tcPr>
            <w:tcW w:w="127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2"/>
                <w:sz w:val="21"/>
                <w:szCs w:val="21"/>
              </w:rPr>
              <w:t>.09</w:t>
            </w:r>
          </w:p>
        </w:tc>
        <w:tc>
          <w:tcPr>
            <w:tcW w:w="14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ascii="Times New Roman" w:hAnsi="Times New Roman" w:eastAsia="仿宋_GB2312" w:cs="Times New Roman"/>
                <w:color w:val="auto"/>
                <w:spacing w:val="-1"/>
                <w:sz w:val="21"/>
                <w:szCs w:val="21"/>
              </w:rPr>
              <w:t>96</w:t>
            </w:r>
          </w:p>
        </w:tc>
        <w:tc>
          <w:tcPr>
            <w:tcW w:w="147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ascii="Times New Roman" w:hAnsi="Times New Roman" w:eastAsia="仿宋_GB2312" w:cs="Times New Roman"/>
                <w:color w:val="auto"/>
                <w:spacing w:val="-1"/>
                <w:sz w:val="21"/>
                <w:szCs w:val="21"/>
              </w:rPr>
              <w:t>53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07" w:hRule="atLeast"/>
        </w:trPr>
        <w:tc>
          <w:tcPr>
            <w:tcW w:w="1428"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405"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公用设施用地区</w:t>
            </w:r>
          </w:p>
        </w:tc>
        <w:tc>
          <w:tcPr>
            <w:tcW w:w="156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99.03</w:t>
            </w:r>
          </w:p>
        </w:tc>
        <w:tc>
          <w:tcPr>
            <w:tcW w:w="1466"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100</w:t>
            </w:r>
          </w:p>
        </w:tc>
        <w:tc>
          <w:tcPr>
            <w:tcW w:w="15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w:t>
            </w:r>
            <w:r>
              <w:rPr>
                <w:rFonts w:hint="eastAsia" w:ascii="Times New Roman" w:hAnsi="Times New Roman" w:eastAsia="仿宋_GB2312" w:cs="Times New Roman"/>
                <w:color w:val="auto"/>
                <w:spacing w:val="3"/>
                <w:sz w:val="21"/>
                <w:szCs w:val="21"/>
              </w:rPr>
              <w:t>4</w:t>
            </w:r>
          </w:p>
        </w:tc>
        <w:tc>
          <w:tcPr>
            <w:tcW w:w="1415"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5</w:t>
            </w:r>
          </w:p>
        </w:tc>
        <w:tc>
          <w:tcPr>
            <w:tcW w:w="127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8"/>
                <w:sz w:val="21"/>
                <w:szCs w:val="21"/>
              </w:rPr>
              <w:t>0.</w:t>
            </w:r>
            <w:r>
              <w:rPr>
                <w:rFonts w:hint="eastAsia" w:ascii="Times New Roman" w:hAnsi="Times New Roman" w:eastAsia="仿宋_GB2312" w:cs="Times New Roman"/>
                <w:color w:val="auto"/>
                <w:spacing w:val="-8"/>
                <w:sz w:val="21"/>
                <w:szCs w:val="21"/>
              </w:rPr>
              <w:t>09</w:t>
            </w:r>
          </w:p>
        </w:tc>
        <w:tc>
          <w:tcPr>
            <w:tcW w:w="14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1.96</w:t>
            </w:r>
          </w:p>
        </w:tc>
        <w:tc>
          <w:tcPr>
            <w:tcW w:w="147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53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1428"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405"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绿地区</w:t>
            </w:r>
          </w:p>
        </w:tc>
        <w:tc>
          <w:tcPr>
            <w:tcW w:w="156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99.86</w:t>
            </w:r>
          </w:p>
        </w:tc>
        <w:tc>
          <w:tcPr>
            <w:tcW w:w="1466"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100</w:t>
            </w:r>
          </w:p>
        </w:tc>
        <w:tc>
          <w:tcPr>
            <w:tcW w:w="15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0.3</w:t>
            </w:r>
          </w:p>
        </w:tc>
        <w:tc>
          <w:tcPr>
            <w:tcW w:w="1415"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127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0.05</w:t>
            </w:r>
          </w:p>
        </w:tc>
        <w:tc>
          <w:tcPr>
            <w:tcW w:w="14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4"/>
                <w:sz w:val="21"/>
                <w:szCs w:val="21"/>
              </w:rPr>
              <w:t>1.86</w:t>
            </w:r>
          </w:p>
        </w:tc>
        <w:tc>
          <w:tcPr>
            <w:tcW w:w="147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1.47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06" w:hRule="atLeast"/>
        </w:trPr>
        <w:tc>
          <w:tcPr>
            <w:tcW w:w="1428"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405" w:type="dxa"/>
            <w:tcBorders>
              <w:tl2br w:val="nil"/>
              <w:tr2bl w:val="nil"/>
            </w:tcBorders>
            <w:vAlign w:val="center"/>
          </w:tcPr>
          <w:p>
            <w:pPr>
              <w:widowControl/>
              <w:spacing w:line="240" w:lineRule="atLeast"/>
              <w:jc w:val="center"/>
              <w:textAlignment w:val="center"/>
              <w:rPr>
                <w:rFonts w:hint="eastAsia" w:ascii="Times New Roman" w:hAnsi="Times New Roman" w:eastAsia="仿宋_GB2312" w:cs="Times New Roman"/>
                <w:color w:val="auto"/>
                <w:sz w:val="21"/>
                <w:szCs w:val="21"/>
                <w:lang w:eastAsia="zh-CN"/>
              </w:rPr>
            </w:pPr>
            <w:r>
              <w:rPr>
                <w:rFonts w:hint="eastAsia" w:ascii="Times New Roman" w:hAnsi="Times New Roman" w:eastAsia="仿宋_GB2312" w:cs="Times New Roman"/>
                <w:color w:val="auto"/>
                <w:kern w:val="0"/>
                <w:sz w:val="21"/>
                <w:szCs w:val="21"/>
                <w:lang w:eastAsia="zh-CN"/>
              </w:rPr>
              <w:t>已建工程区</w:t>
            </w:r>
          </w:p>
        </w:tc>
        <w:tc>
          <w:tcPr>
            <w:tcW w:w="156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99.86</w:t>
            </w:r>
          </w:p>
        </w:tc>
        <w:tc>
          <w:tcPr>
            <w:tcW w:w="1466"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100</w:t>
            </w:r>
          </w:p>
        </w:tc>
        <w:tc>
          <w:tcPr>
            <w:tcW w:w="15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0.3</w:t>
            </w:r>
          </w:p>
        </w:tc>
        <w:tc>
          <w:tcPr>
            <w:tcW w:w="1415"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127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0.05</w:t>
            </w:r>
          </w:p>
        </w:tc>
        <w:tc>
          <w:tcPr>
            <w:tcW w:w="14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4"/>
                <w:sz w:val="21"/>
                <w:szCs w:val="21"/>
              </w:rPr>
              <w:t>1.86</w:t>
            </w:r>
          </w:p>
        </w:tc>
        <w:tc>
          <w:tcPr>
            <w:tcW w:w="147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1.47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07" w:hRule="atLeast"/>
        </w:trPr>
        <w:tc>
          <w:tcPr>
            <w:tcW w:w="1428"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405"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hint="eastAsia" w:ascii="Times New Roman" w:hAnsi="Times New Roman" w:eastAsia="仿宋_GB2312"/>
                <w:color w:val="auto"/>
                <w:sz w:val="21"/>
                <w:szCs w:val="21"/>
                <w:lang w:eastAsia="zh-CN"/>
              </w:rPr>
              <w:t>待建工程区</w:t>
            </w:r>
          </w:p>
        </w:tc>
        <w:tc>
          <w:tcPr>
            <w:tcW w:w="156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99.86</w:t>
            </w:r>
          </w:p>
        </w:tc>
        <w:tc>
          <w:tcPr>
            <w:tcW w:w="1466"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100</w:t>
            </w:r>
          </w:p>
        </w:tc>
        <w:tc>
          <w:tcPr>
            <w:tcW w:w="15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0.3</w:t>
            </w:r>
          </w:p>
        </w:tc>
        <w:tc>
          <w:tcPr>
            <w:tcW w:w="1415"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127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0.05</w:t>
            </w:r>
          </w:p>
        </w:tc>
        <w:tc>
          <w:tcPr>
            <w:tcW w:w="14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4"/>
                <w:sz w:val="21"/>
                <w:szCs w:val="21"/>
              </w:rPr>
              <w:t>1.86</w:t>
            </w:r>
          </w:p>
        </w:tc>
        <w:tc>
          <w:tcPr>
            <w:tcW w:w="147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1.47</w:t>
            </w:r>
          </w:p>
        </w:tc>
      </w:tr>
    </w:tbl>
    <w:p>
      <w:pPr>
        <w:spacing w:before="75" w:afterLines="32" w:line="220" w:lineRule="auto"/>
        <w:ind w:left="3403" w:firstLine="482" w:firstLineChars="200"/>
        <w:rPr>
          <w:rFonts w:ascii="Times New Roman" w:hAnsi="Times New Roman" w:eastAsia="仿宋_GB2312" w:cs="Times New Roman"/>
          <w:b/>
          <w:color w:val="auto"/>
          <w:szCs w:val="24"/>
        </w:rPr>
      </w:pPr>
    </w:p>
    <w:p>
      <w:pPr>
        <w:spacing w:before="75" w:afterLines="32" w:line="220" w:lineRule="auto"/>
        <w:ind w:left="3403" w:firstLine="482" w:firstLineChars="200"/>
        <w:rPr>
          <w:rFonts w:ascii="Times New Roman" w:hAnsi="Times New Roman" w:eastAsia="仿宋_GB2312" w:cs="Times New Roman"/>
          <w:b/>
          <w:color w:val="auto"/>
          <w:szCs w:val="24"/>
        </w:rPr>
      </w:pPr>
    </w:p>
    <w:p>
      <w:pPr>
        <w:spacing w:before="75" w:afterLines="32" w:line="220" w:lineRule="auto"/>
        <w:ind w:left="3403" w:firstLine="482" w:firstLineChars="200"/>
        <w:rPr>
          <w:rFonts w:ascii="Times New Roman" w:hAnsi="Times New Roman" w:eastAsia="仿宋_GB2312" w:cs="Times New Roman"/>
          <w:b/>
          <w:color w:val="auto"/>
          <w:szCs w:val="24"/>
        </w:rPr>
      </w:pPr>
    </w:p>
    <w:p>
      <w:pPr>
        <w:spacing w:before="75" w:afterLines="32" w:line="220" w:lineRule="auto"/>
        <w:ind w:left="3403" w:firstLine="482" w:firstLineChars="200"/>
        <w:rPr>
          <w:rFonts w:ascii="Times New Roman" w:hAnsi="Times New Roman" w:eastAsia="仿宋_GB2312" w:cs="Times New Roman"/>
          <w:b/>
          <w:color w:val="auto"/>
          <w:szCs w:val="24"/>
        </w:rPr>
      </w:pPr>
    </w:p>
    <w:p>
      <w:pPr>
        <w:spacing w:before="75" w:afterLines="32" w:line="220" w:lineRule="auto"/>
        <w:ind w:left="3403" w:firstLine="482" w:firstLineChars="200"/>
        <w:rPr>
          <w:rFonts w:ascii="Times New Roman" w:hAnsi="Times New Roman" w:eastAsia="仿宋_GB2312" w:cs="Times New Roman"/>
          <w:b/>
          <w:color w:val="auto"/>
          <w:szCs w:val="24"/>
        </w:rPr>
      </w:pPr>
    </w:p>
    <w:p>
      <w:pPr>
        <w:spacing w:before="75" w:afterLines="32" w:line="220" w:lineRule="auto"/>
        <w:ind w:left="3403" w:firstLine="482" w:firstLineChars="200"/>
        <w:rPr>
          <w:rFonts w:ascii="Times New Roman" w:hAnsi="Times New Roman" w:eastAsia="仿宋_GB2312" w:cs="Times New Roman"/>
          <w:b/>
          <w:color w:val="auto"/>
          <w:szCs w:val="24"/>
        </w:rPr>
      </w:pPr>
    </w:p>
    <w:p>
      <w:pPr>
        <w:spacing w:before="75" w:afterLines="32" w:line="220" w:lineRule="auto"/>
        <w:ind w:left="3403" w:firstLine="482" w:firstLineChars="200"/>
        <w:rPr>
          <w:rFonts w:ascii="Times New Roman" w:hAnsi="Times New Roman" w:eastAsia="仿宋_GB2312" w:cs="Times New Roman"/>
          <w:b/>
          <w:color w:val="auto"/>
          <w:szCs w:val="24"/>
        </w:rPr>
      </w:pPr>
      <w:r>
        <w:rPr>
          <w:rFonts w:ascii="Times New Roman" w:hAnsi="Times New Roman" w:eastAsia="仿宋_GB2312" w:cs="Times New Roman"/>
          <w:b/>
          <w:color w:val="auto"/>
          <w:szCs w:val="24"/>
        </w:rPr>
        <w:t>表4.3-4：</w:t>
      </w:r>
      <w:r>
        <w:rPr>
          <w:rFonts w:ascii="Times New Roman" w:hAnsi="Times New Roman" w:eastAsia="仿宋_GB2312" w:cs="Times New Roman"/>
          <w:b/>
          <w:color w:val="auto"/>
          <w:spacing w:val="6"/>
          <w:szCs w:val="24"/>
        </w:rPr>
        <w:t>扰动后地表翻扰型一般扰动地表土壤流失量各测算因子表</w:t>
      </w:r>
    </w:p>
    <w:tbl>
      <w:tblPr>
        <w:tblStyle w:val="183"/>
        <w:tblW w:w="14166"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155"/>
        <w:gridCol w:w="2811"/>
        <w:gridCol w:w="1517"/>
        <w:gridCol w:w="1370"/>
        <w:gridCol w:w="1149"/>
        <w:gridCol w:w="1251"/>
        <w:gridCol w:w="1163"/>
        <w:gridCol w:w="837"/>
        <w:gridCol w:w="849"/>
        <w:gridCol w:w="106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2155"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6"/>
                <w:sz w:val="21"/>
                <w:szCs w:val="21"/>
              </w:rPr>
              <w:t>预</w:t>
            </w:r>
            <w:r>
              <w:rPr>
                <w:rFonts w:ascii="Times New Roman" w:hAnsi="Times New Roman" w:eastAsia="仿宋_GB2312" w:cs="Times New Roman"/>
                <w:color w:val="auto"/>
                <w:spacing w:val="5"/>
                <w:sz w:val="21"/>
                <w:szCs w:val="21"/>
              </w:rPr>
              <w:t>测时段</w:t>
            </w:r>
          </w:p>
        </w:tc>
        <w:tc>
          <w:tcPr>
            <w:tcW w:w="281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6"/>
                <w:sz w:val="21"/>
                <w:szCs w:val="21"/>
              </w:rPr>
              <w:t>计算单元</w:t>
            </w:r>
          </w:p>
        </w:tc>
        <w:tc>
          <w:tcPr>
            <w:tcW w:w="151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R</w:t>
            </w:r>
          </w:p>
        </w:tc>
        <w:tc>
          <w:tcPr>
            <w:tcW w:w="1370"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5"/>
                <w:position w:val="4"/>
                <w:sz w:val="21"/>
                <w:szCs w:val="21"/>
              </w:rPr>
              <w:t>K</w:t>
            </w:r>
            <w:r>
              <w:rPr>
                <w:rFonts w:ascii="Times New Roman" w:hAnsi="Times New Roman" w:eastAsia="仿宋_GB2312" w:cs="Times New Roman"/>
                <w:color w:val="auto"/>
                <w:spacing w:val="3"/>
                <w:position w:val="4"/>
                <w:sz w:val="21"/>
                <w:szCs w:val="21"/>
              </w:rPr>
              <w:t>yd</w:t>
            </w:r>
          </w:p>
        </w:tc>
        <w:tc>
          <w:tcPr>
            <w:tcW w:w="11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L</w:t>
            </w:r>
            <w:r>
              <w:rPr>
                <w:rFonts w:ascii="Times New Roman" w:hAnsi="Times New Roman" w:eastAsia="仿宋_GB2312" w:cs="Times New Roman"/>
                <w:color w:val="auto"/>
                <w:spacing w:val="2"/>
                <w:sz w:val="21"/>
                <w:szCs w:val="21"/>
              </w:rPr>
              <w:t>y</w:t>
            </w:r>
          </w:p>
        </w:tc>
        <w:tc>
          <w:tcPr>
            <w:tcW w:w="125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S</w:t>
            </w:r>
            <w:r>
              <w:rPr>
                <w:rFonts w:ascii="Times New Roman" w:hAnsi="Times New Roman" w:eastAsia="仿宋_GB2312" w:cs="Times New Roman"/>
                <w:color w:val="auto"/>
                <w:spacing w:val="-2"/>
                <w:sz w:val="21"/>
                <w:szCs w:val="21"/>
              </w:rPr>
              <w:t>y</w:t>
            </w:r>
          </w:p>
        </w:tc>
        <w:tc>
          <w:tcPr>
            <w:tcW w:w="116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B</w:t>
            </w:r>
          </w:p>
        </w:tc>
        <w:tc>
          <w:tcPr>
            <w:tcW w:w="83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E</w:t>
            </w:r>
          </w:p>
        </w:tc>
        <w:tc>
          <w:tcPr>
            <w:tcW w:w="8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T</w:t>
            </w:r>
          </w:p>
        </w:tc>
        <w:tc>
          <w:tcPr>
            <w:tcW w:w="106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2155" w:type="dxa"/>
            <w:vMerge w:val="restart"/>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7"/>
                <w:sz w:val="21"/>
                <w:szCs w:val="21"/>
              </w:rPr>
              <w:t>施</w:t>
            </w:r>
            <w:r>
              <w:rPr>
                <w:rFonts w:ascii="Times New Roman" w:hAnsi="Times New Roman" w:eastAsia="仿宋_GB2312" w:cs="Times New Roman"/>
                <w:color w:val="auto"/>
                <w:spacing w:val="6"/>
                <w:sz w:val="21"/>
                <w:szCs w:val="21"/>
              </w:rPr>
              <w:t>工期</w:t>
            </w:r>
          </w:p>
        </w:tc>
        <w:tc>
          <w:tcPr>
            <w:tcW w:w="2811"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道路与交通设施用地区</w:t>
            </w:r>
          </w:p>
        </w:tc>
        <w:tc>
          <w:tcPr>
            <w:tcW w:w="151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3"/>
                <w:sz w:val="21"/>
                <w:szCs w:val="21"/>
              </w:rPr>
              <w:t>10821</w:t>
            </w:r>
          </w:p>
        </w:tc>
        <w:tc>
          <w:tcPr>
            <w:tcW w:w="1370"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.0068</w:t>
            </w:r>
          </w:p>
        </w:tc>
        <w:tc>
          <w:tcPr>
            <w:tcW w:w="11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w:t>
            </w:r>
            <w:r>
              <w:rPr>
                <w:rFonts w:ascii="Times New Roman" w:hAnsi="Times New Roman" w:eastAsia="仿宋_GB2312" w:cs="Times New Roman"/>
                <w:color w:val="auto"/>
                <w:spacing w:val="-1"/>
                <w:sz w:val="21"/>
                <w:szCs w:val="21"/>
              </w:rPr>
              <w:t>96</w:t>
            </w:r>
          </w:p>
        </w:tc>
        <w:tc>
          <w:tcPr>
            <w:tcW w:w="125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w:t>
            </w:r>
            <w:r>
              <w:rPr>
                <w:rFonts w:ascii="Times New Roman" w:hAnsi="Times New Roman" w:eastAsia="仿宋_GB2312" w:cs="Times New Roman"/>
                <w:color w:val="auto"/>
                <w:spacing w:val="-1"/>
                <w:sz w:val="21"/>
                <w:szCs w:val="21"/>
              </w:rPr>
              <w:t>53</w:t>
            </w:r>
          </w:p>
        </w:tc>
        <w:tc>
          <w:tcPr>
            <w:tcW w:w="116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0.51</w:t>
            </w:r>
            <w:r>
              <w:rPr>
                <w:rFonts w:ascii="Times New Roman" w:hAnsi="Times New Roman" w:eastAsia="仿宋_GB2312" w:cs="Times New Roman"/>
                <w:color w:val="auto"/>
                <w:spacing w:val="2"/>
                <w:sz w:val="21"/>
                <w:szCs w:val="21"/>
              </w:rPr>
              <w:t>6</w:t>
            </w:r>
          </w:p>
        </w:tc>
        <w:tc>
          <w:tcPr>
            <w:tcW w:w="83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8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6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7.73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6" w:hRule="atLeast"/>
        </w:trPr>
        <w:tc>
          <w:tcPr>
            <w:tcW w:w="2155"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811"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公用设施用地区</w:t>
            </w:r>
          </w:p>
        </w:tc>
        <w:tc>
          <w:tcPr>
            <w:tcW w:w="151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3"/>
                <w:sz w:val="21"/>
                <w:szCs w:val="21"/>
              </w:rPr>
              <w:t>10821</w:t>
            </w:r>
          </w:p>
        </w:tc>
        <w:tc>
          <w:tcPr>
            <w:tcW w:w="1370"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.0068</w:t>
            </w:r>
          </w:p>
        </w:tc>
        <w:tc>
          <w:tcPr>
            <w:tcW w:w="11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w:t>
            </w:r>
            <w:r>
              <w:rPr>
                <w:rFonts w:ascii="Times New Roman" w:hAnsi="Times New Roman" w:eastAsia="仿宋_GB2312" w:cs="Times New Roman"/>
                <w:color w:val="auto"/>
                <w:spacing w:val="-1"/>
                <w:sz w:val="21"/>
                <w:szCs w:val="21"/>
              </w:rPr>
              <w:t>86</w:t>
            </w:r>
          </w:p>
        </w:tc>
        <w:tc>
          <w:tcPr>
            <w:tcW w:w="125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.47</w:t>
            </w:r>
          </w:p>
        </w:tc>
        <w:tc>
          <w:tcPr>
            <w:tcW w:w="116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0.51</w:t>
            </w:r>
            <w:r>
              <w:rPr>
                <w:rFonts w:ascii="Times New Roman" w:hAnsi="Times New Roman" w:eastAsia="仿宋_GB2312" w:cs="Times New Roman"/>
                <w:color w:val="auto"/>
                <w:spacing w:val="2"/>
                <w:sz w:val="21"/>
                <w:szCs w:val="21"/>
              </w:rPr>
              <w:t>6</w:t>
            </w:r>
          </w:p>
        </w:tc>
        <w:tc>
          <w:tcPr>
            <w:tcW w:w="83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8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6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12.87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07" w:hRule="atLeast"/>
        </w:trPr>
        <w:tc>
          <w:tcPr>
            <w:tcW w:w="2155"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811"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绿地区</w:t>
            </w:r>
          </w:p>
        </w:tc>
        <w:tc>
          <w:tcPr>
            <w:tcW w:w="151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3"/>
                <w:sz w:val="21"/>
                <w:szCs w:val="21"/>
              </w:rPr>
              <w:t>10821</w:t>
            </w:r>
          </w:p>
        </w:tc>
        <w:tc>
          <w:tcPr>
            <w:tcW w:w="1370"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.0068</w:t>
            </w:r>
          </w:p>
        </w:tc>
        <w:tc>
          <w:tcPr>
            <w:tcW w:w="11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1.96</w:t>
            </w:r>
          </w:p>
        </w:tc>
        <w:tc>
          <w:tcPr>
            <w:tcW w:w="125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.53</w:t>
            </w:r>
          </w:p>
        </w:tc>
        <w:tc>
          <w:tcPr>
            <w:tcW w:w="116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0.51</w:t>
            </w:r>
            <w:r>
              <w:rPr>
                <w:rFonts w:ascii="Times New Roman" w:hAnsi="Times New Roman" w:eastAsia="仿宋_GB2312" w:cs="Times New Roman"/>
                <w:color w:val="auto"/>
                <w:spacing w:val="2"/>
                <w:sz w:val="21"/>
                <w:szCs w:val="21"/>
              </w:rPr>
              <w:t>6</w:t>
            </w:r>
          </w:p>
        </w:tc>
        <w:tc>
          <w:tcPr>
            <w:tcW w:w="83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8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64" w:type="dxa"/>
            <w:tcBorders>
              <w:tl2br w:val="nil"/>
              <w:tr2bl w:val="nil"/>
            </w:tcBorders>
            <w:vAlign w:val="center"/>
          </w:tcPr>
          <w:p>
            <w:pPr>
              <w:widowControl/>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2155"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811"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eastAsia="zh-CN"/>
              </w:rPr>
              <w:t>已建工程区</w:t>
            </w:r>
          </w:p>
        </w:tc>
        <w:tc>
          <w:tcPr>
            <w:tcW w:w="151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3"/>
                <w:sz w:val="21"/>
                <w:szCs w:val="21"/>
              </w:rPr>
              <w:t>10821</w:t>
            </w:r>
          </w:p>
        </w:tc>
        <w:tc>
          <w:tcPr>
            <w:tcW w:w="1370"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.0068</w:t>
            </w:r>
          </w:p>
        </w:tc>
        <w:tc>
          <w:tcPr>
            <w:tcW w:w="11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w:t>
            </w:r>
            <w:r>
              <w:rPr>
                <w:rFonts w:ascii="Times New Roman" w:hAnsi="Times New Roman" w:eastAsia="仿宋_GB2312" w:cs="Times New Roman"/>
                <w:color w:val="auto"/>
                <w:spacing w:val="-1"/>
                <w:sz w:val="21"/>
                <w:szCs w:val="21"/>
              </w:rPr>
              <w:t>86</w:t>
            </w:r>
          </w:p>
        </w:tc>
        <w:tc>
          <w:tcPr>
            <w:tcW w:w="125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w:t>
            </w:r>
            <w:r>
              <w:rPr>
                <w:rFonts w:ascii="Times New Roman" w:hAnsi="Times New Roman" w:eastAsia="仿宋_GB2312" w:cs="Times New Roman"/>
                <w:color w:val="auto"/>
                <w:spacing w:val="-1"/>
                <w:sz w:val="21"/>
                <w:szCs w:val="21"/>
              </w:rPr>
              <w:t>47</w:t>
            </w:r>
          </w:p>
        </w:tc>
        <w:tc>
          <w:tcPr>
            <w:tcW w:w="116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0.51</w:t>
            </w:r>
            <w:r>
              <w:rPr>
                <w:rFonts w:ascii="Times New Roman" w:hAnsi="Times New Roman" w:eastAsia="仿宋_GB2312" w:cs="Times New Roman"/>
                <w:color w:val="auto"/>
                <w:spacing w:val="2"/>
                <w:sz w:val="21"/>
                <w:szCs w:val="21"/>
              </w:rPr>
              <w:t>6</w:t>
            </w:r>
          </w:p>
        </w:tc>
        <w:tc>
          <w:tcPr>
            <w:tcW w:w="83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8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6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val="en-US" w:eastAsia="zh-CN"/>
              </w:rPr>
              <w:t>8.05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2155"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811"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hint="eastAsia" w:ascii="Times New Roman" w:hAnsi="Times New Roman" w:eastAsia="仿宋_GB2312"/>
                <w:color w:val="auto"/>
                <w:sz w:val="21"/>
                <w:szCs w:val="21"/>
                <w:lang w:eastAsia="zh-CN"/>
              </w:rPr>
              <w:t>待建工程区</w:t>
            </w:r>
          </w:p>
        </w:tc>
        <w:tc>
          <w:tcPr>
            <w:tcW w:w="151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3"/>
                <w:sz w:val="21"/>
                <w:szCs w:val="21"/>
              </w:rPr>
              <w:t>10821</w:t>
            </w:r>
          </w:p>
        </w:tc>
        <w:tc>
          <w:tcPr>
            <w:tcW w:w="1370"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.0068</w:t>
            </w:r>
          </w:p>
        </w:tc>
        <w:tc>
          <w:tcPr>
            <w:tcW w:w="11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w:t>
            </w:r>
            <w:r>
              <w:rPr>
                <w:rFonts w:ascii="Times New Roman" w:hAnsi="Times New Roman" w:eastAsia="仿宋_GB2312" w:cs="Times New Roman"/>
                <w:color w:val="auto"/>
                <w:spacing w:val="-1"/>
                <w:sz w:val="21"/>
                <w:szCs w:val="21"/>
              </w:rPr>
              <w:t>86</w:t>
            </w:r>
          </w:p>
        </w:tc>
        <w:tc>
          <w:tcPr>
            <w:tcW w:w="125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w:t>
            </w:r>
            <w:r>
              <w:rPr>
                <w:rFonts w:ascii="Times New Roman" w:hAnsi="Times New Roman" w:eastAsia="仿宋_GB2312" w:cs="Times New Roman"/>
                <w:color w:val="auto"/>
                <w:spacing w:val="-1"/>
                <w:sz w:val="21"/>
                <w:szCs w:val="21"/>
              </w:rPr>
              <w:t>47</w:t>
            </w:r>
          </w:p>
        </w:tc>
        <w:tc>
          <w:tcPr>
            <w:tcW w:w="116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0.51</w:t>
            </w:r>
            <w:r>
              <w:rPr>
                <w:rFonts w:ascii="Times New Roman" w:hAnsi="Times New Roman" w:eastAsia="仿宋_GB2312" w:cs="Times New Roman"/>
                <w:color w:val="auto"/>
                <w:spacing w:val="2"/>
                <w:sz w:val="21"/>
                <w:szCs w:val="21"/>
              </w:rPr>
              <w:t>6</w:t>
            </w:r>
          </w:p>
        </w:tc>
        <w:tc>
          <w:tcPr>
            <w:tcW w:w="83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8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6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val="en-US" w:eastAsia="zh-CN"/>
              </w:rPr>
              <w:t>18.17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38" w:hRule="atLeast"/>
        </w:trPr>
        <w:tc>
          <w:tcPr>
            <w:tcW w:w="2155"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811"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临时</w:t>
            </w:r>
            <w:r>
              <w:rPr>
                <w:rFonts w:hint="eastAsia" w:ascii="Times New Roman" w:hAnsi="Times New Roman" w:eastAsia="仿宋_GB2312" w:cs="Times New Roman"/>
                <w:color w:val="auto"/>
                <w:kern w:val="0"/>
                <w:sz w:val="21"/>
                <w:szCs w:val="21"/>
                <w:lang w:eastAsia="zh-CN"/>
              </w:rPr>
              <w:t>堆土</w:t>
            </w:r>
            <w:r>
              <w:rPr>
                <w:rFonts w:ascii="Times New Roman" w:hAnsi="Times New Roman" w:eastAsia="仿宋_GB2312" w:cs="Times New Roman"/>
                <w:color w:val="auto"/>
                <w:kern w:val="0"/>
                <w:sz w:val="21"/>
                <w:szCs w:val="21"/>
              </w:rPr>
              <w:t>场区</w:t>
            </w:r>
          </w:p>
        </w:tc>
        <w:tc>
          <w:tcPr>
            <w:tcW w:w="151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3"/>
                <w:sz w:val="21"/>
                <w:szCs w:val="21"/>
              </w:rPr>
              <w:t>10821</w:t>
            </w:r>
          </w:p>
        </w:tc>
        <w:tc>
          <w:tcPr>
            <w:tcW w:w="1370"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.0068</w:t>
            </w:r>
          </w:p>
        </w:tc>
        <w:tc>
          <w:tcPr>
            <w:tcW w:w="11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w:t>
            </w:r>
            <w:r>
              <w:rPr>
                <w:rFonts w:ascii="Times New Roman" w:hAnsi="Times New Roman" w:eastAsia="仿宋_GB2312" w:cs="Times New Roman"/>
                <w:color w:val="auto"/>
                <w:spacing w:val="-1"/>
                <w:sz w:val="21"/>
                <w:szCs w:val="21"/>
              </w:rPr>
              <w:t>86</w:t>
            </w:r>
          </w:p>
        </w:tc>
        <w:tc>
          <w:tcPr>
            <w:tcW w:w="125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w:t>
            </w:r>
            <w:r>
              <w:rPr>
                <w:rFonts w:ascii="Times New Roman" w:hAnsi="Times New Roman" w:eastAsia="仿宋_GB2312" w:cs="Times New Roman"/>
                <w:color w:val="auto"/>
                <w:spacing w:val="-1"/>
                <w:sz w:val="21"/>
                <w:szCs w:val="21"/>
              </w:rPr>
              <w:t>47</w:t>
            </w:r>
          </w:p>
        </w:tc>
        <w:tc>
          <w:tcPr>
            <w:tcW w:w="116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0.51</w:t>
            </w:r>
            <w:r>
              <w:rPr>
                <w:rFonts w:ascii="Times New Roman" w:hAnsi="Times New Roman" w:eastAsia="仿宋_GB2312" w:cs="Times New Roman"/>
                <w:color w:val="auto"/>
                <w:spacing w:val="2"/>
                <w:sz w:val="21"/>
                <w:szCs w:val="21"/>
              </w:rPr>
              <w:t>6</w:t>
            </w:r>
          </w:p>
        </w:tc>
        <w:tc>
          <w:tcPr>
            <w:tcW w:w="83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8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64" w:type="dxa"/>
            <w:tcBorders>
              <w:tl2br w:val="nil"/>
              <w:tr2bl w:val="nil"/>
            </w:tcBorders>
            <w:vAlign w:val="center"/>
          </w:tcPr>
          <w:p>
            <w:pPr>
              <w:spacing w:line="240" w:lineRule="atLeast"/>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4.49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2155"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811"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苗木移栽区</w:t>
            </w:r>
          </w:p>
        </w:tc>
        <w:tc>
          <w:tcPr>
            <w:tcW w:w="151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3"/>
                <w:sz w:val="21"/>
                <w:szCs w:val="21"/>
              </w:rPr>
              <w:t>10821</w:t>
            </w:r>
          </w:p>
        </w:tc>
        <w:tc>
          <w:tcPr>
            <w:tcW w:w="1370"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.0068</w:t>
            </w:r>
          </w:p>
        </w:tc>
        <w:tc>
          <w:tcPr>
            <w:tcW w:w="11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ascii="Times New Roman" w:hAnsi="Times New Roman" w:eastAsia="仿宋_GB2312" w:cs="Times New Roman"/>
                <w:color w:val="auto"/>
                <w:spacing w:val="-1"/>
                <w:sz w:val="21"/>
                <w:szCs w:val="21"/>
              </w:rPr>
              <w:t>86</w:t>
            </w:r>
          </w:p>
        </w:tc>
        <w:tc>
          <w:tcPr>
            <w:tcW w:w="125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ascii="Times New Roman" w:hAnsi="Times New Roman" w:eastAsia="仿宋_GB2312" w:cs="Times New Roman"/>
                <w:color w:val="auto"/>
                <w:spacing w:val="-1"/>
                <w:sz w:val="21"/>
                <w:szCs w:val="21"/>
              </w:rPr>
              <w:t>47</w:t>
            </w:r>
          </w:p>
        </w:tc>
        <w:tc>
          <w:tcPr>
            <w:tcW w:w="116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0.51</w:t>
            </w:r>
            <w:r>
              <w:rPr>
                <w:rFonts w:ascii="Times New Roman" w:hAnsi="Times New Roman" w:eastAsia="仿宋_GB2312" w:cs="Times New Roman"/>
                <w:color w:val="auto"/>
                <w:spacing w:val="2"/>
                <w:sz w:val="21"/>
                <w:szCs w:val="21"/>
              </w:rPr>
              <w:t>6</w:t>
            </w:r>
          </w:p>
        </w:tc>
        <w:tc>
          <w:tcPr>
            <w:tcW w:w="83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8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6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0.14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2155" w:type="dxa"/>
            <w:vMerge w:val="restart"/>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1"/>
                <w:sz w:val="21"/>
                <w:szCs w:val="21"/>
              </w:rPr>
              <w:t>自然恢</w:t>
            </w:r>
            <w:r>
              <w:rPr>
                <w:rFonts w:ascii="Times New Roman" w:hAnsi="Times New Roman" w:eastAsia="仿宋_GB2312" w:cs="Times New Roman"/>
                <w:color w:val="auto"/>
                <w:sz w:val="21"/>
                <w:szCs w:val="21"/>
              </w:rPr>
              <w:t>复期</w:t>
            </w:r>
          </w:p>
        </w:tc>
        <w:tc>
          <w:tcPr>
            <w:tcW w:w="2811"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道路与交通设施用地区</w:t>
            </w:r>
          </w:p>
        </w:tc>
        <w:tc>
          <w:tcPr>
            <w:tcW w:w="151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3"/>
                <w:sz w:val="21"/>
                <w:szCs w:val="21"/>
              </w:rPr>
              <w:t>10821</w:t>
            </w:r>
          </w:p>
        </w:tc>
        <w:tc>
          <w:tcPr>
            <w:tcW w:w="1370"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.0068</w:t>
            </w:r>
          </w:p>
        </w:tc>
        <w:tc>
          <w:tcPr>
            <w:tcW w:w="11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ascii="Times New Roman" w:hAnsi="Times New Roman" w:eastAsia="仿宋_GB2312" w:cs="Times New Roman"/>
                <w:color w:val="auto"/>
                <w:spacing w:val="-1"/>
                <w:sz w:val="21"/>
                <w:szCs w:val="21"/>
              </w:rPr>
              <w:t>96</w:t>
            </w:r>
          </w:p>
        </w:tc>
        <w:tc>
          <w:tcPr>
            <w:tcW w:w="125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ascii="Times New Roman" w:hAnsi="Times New Roman" w:eastAsia="仿宋_GB2312" w:cs="Times New Roman"/>
                <w:color w:val="auto"/>
                <w:spacing w:val="-1"/>
                <w:sz w:val="21"/>
                <w:szCs w:val="21"/>
              </w:rPr>
              <w:t>53</w:t>
            </w:r>
          </w:p>
        </w:tc>
        <w:tc>
          <w:tcPr>
            <w:tcW w:w="116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0.04</w:t>
            </w:r>
            <w:r>
              <w:rPr>
                <w:rFonts w:ascii="Times New Roman" w:hAnsi="Times New Roman" w:eastAsia="仿宋_GB2312" w:cs="Times New Roman"/>
                <w:color w:val="auto"/>
                <w:spacing w:val="2"/>
                <w:sz w:val="21"/>
                <w:szCs w:val="21"/>
              </w:rPr>
              <w:t>2</w:t>
            </w:r>
          </w:p>
        </w:tc>
        <w:tc>
          <w:tcPr>
            <w:tcW w:w="83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8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64" w:type="dxa"/>
            <w:tcBorders>
              <w:tl2br w:val="nil"/>
              <w:tr2bl w:val="nil"/>
            </w:tcBorders>
            <w:vAlign w:val="center"/>
          </w:tcPr>
          <w:p>
            <w:pPr>
              <w:spacing w:line="240" w:lineRule="atLeast"/>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2.56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07" w:hRule="atLeast"/>
        </w:trPr>
        <w:tc>
          <w:tcPr>
            <w:tcW w:w="2155"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811"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公用设施用地区</w:t>
            </w:r>
          </w:p>
        </w:tc>
        <w:tc>
          <w:tcPr>
            <w:tcW w:w="151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3"/>
                <w:sz w:val="21"/>
                <w:szCs w:val="21"/>
              </w:rPr>
              <w:t>10821</w:t>
            </w:r>
          </w:p>
        </w:tc>
        <w:tc>
          <w:tcPr>
            <w:tcW w:w="1370"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.0068</w:t>
            </w:r>
          </w:p>
        </w:tc>
        <w:tc>
          <w:tcPr>
            <w:tcW w:w="11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1.96</w:t>
            </w:r>
          </w:p>
        </w:tc>
        <w:tc>
          <w:tcPr>
            <w:tcW w:w="125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hint="eastAsia" w:ascii="Times New Roman" w:hAnsi="Times New Roman" w:eastAsia="仿宋_GB2312" w:cs="Times New Roman"/>
                <w:color w:val="auto"/>
                <w:spacing w:val="-2"/>
                <w:sz w:val="21"/>
                <w:szCs w:val="21"/>
              </w:rPr>
              <w:t>53</w:t>
            </w:r>
          </w:p>
        </w:tc>
        <w:tc>
          <w:tcPr>
            <w:tcW w:w="116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0.04</w:t>
            </w:r>
            <w:r>
              <w:rPr>
                <w:rFonts w:ascii="Times New Roman" w:hAnsi="Times New Roman" w:eastAsia="仿宋_GB2312" w:cs="Times New Roman"/>
                <w:color w:val="auto"/>
                <w:spacing w:val="2"/>
                <w:sz w:val="21"/>
                <w:szCs w:val="21"/>
              </w:rPr>
              <w:t>2</w:t>
            </w:r>
          </w:p>
        </w:tc>
        <w:tc>
          <w:tcPr>
            <w:tcW w:w="83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8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6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12.87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2155"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811"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绿地区</w:t>
            </w:r>
          </w:p>
        </w:tc>
        <w:tc>
          <w:tcPr>
            <w:tcW w:w="151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3"/>
                <w:sz w:val="21"/>
                <w:szCs w:val="21"/>
              </w:rPr>
              <w:t>10821</w:t>
            </w:r>
          </w:p>
        </w:tc>
        <w:tc>
          <w:tcPr>
            <w:tcW w:w="1370"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.0068</w:t>
            </w:r>
          </w:p>
        </w:tc>
        <w:tc>
          <w:tcPr>
            <w:tcW w:w="11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4"/>
                <w:sz w:val="21"/>
                <w:szCs w:val="21"/>
              </w:rPr>
              <w:t>1.86</w:t>
            </w:r>
          </w:p>
        </w:tc>
        <w:tc>
          <w:tcPr>
            <w:tcW w:w="125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1.47</w:t>
            </w:r>
          </w:p>
        </w:tc>
        <w:tc>
          <w:tcPr>
            <w:tcW w:w="116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0.04</w:t>
            </w:r>
            <w:r>
              <w:rPr>
                <w:rFonts w:ascii="Times New Roman" w:hAnsi="Times New Roman" w:eastAsia="仿宋_GB2312" w:cs="Times New Roman"/>
                <w:color w:val="auto"/>
                <w:spacing w:val="2"/>
                <w:sz w:val="21"/>
                <w:szCs w:val="21"/>
              </w:rPr>
              <w:t>2</w:t>
            </w:r>
          </w:p>
        </w:tc>
        <w:tc>
          <w:tcPr>
            <w:tcW w:w="83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8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64" w:type="dxa"/>
            <w:tcBorders>
              <w:tl2br w:val="nil"/>
              <w:tr2bl w:val="nil"/>
            </w:tcBorders>
            <w:vAlign w:val="center"/>
          </w:tcPr>
          <w:p>
            <w:pPr>
              <w:widowControl/>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18.81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6" w:hRule="atLeast"/>
        </w:trPr>
        <w:tc>
          <w:tcPr>
            <w:tcW w:w="2155"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811"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eastAsia="zh-CN"/>
              </w:rPr>
              <w:t>已建工程区</w:t>
            </w:r>
          </w:p>
        </w:tc>
        <w:tc>
          <w:tcPr>
            <w:tcW w:w="151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3"/>
                <w:sz w:val="21"/>
                <w:szCs w:val="21"/>
              </w:rPr>
              <w:t>10821</w:t>
            </w:r>
          </w:p>
        </w:tc>
        <w:tc>
          <w:tcPr>
            <w:tcW w:w="1370"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.0068</w:t>
            </w:r>
          </w:p>
        </w:tc>
        <w:tc>
          <w:tcPr>
            <w:tcW w:w="11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4"/>
                <w:sz w:val="21"/>
                <w:szCs w:val="21"/>
              </w:rPr>
              <w:t>1.86</w:t>
            </w:r>
          </w:p>
        </w:tc>
        <w:tc>
          <w:tcPr>
            <w:tcW w:w="125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1.47</w:t>
            </w:r>
          </w:p>
        </w:tc>
        <w:tc>
          <w:tcPr>
            <w:tcW w:w="116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0.04</w:t>
            </w:r>
            <w:r>
              <w:rPr>
                <w:rFonts w:ascii="Times New Roman" w:hAnsi="Times New Roman" w:eastAsia="仿宋_GB2312" w:cs="Times New Roman"/>
                <w:color w:val="auto"/>
                <w:spacing w:val="2"/>
                <w:sz w:val="21"/>
                <w:szCs w:val="21"/>
              </w:rPr>
              <w:t>2</w:t>
            </w:r>
          </w:p>
        </w:tc>
        <w:tc>
          <w:tcPr>
            <w:tcW w:w="83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8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6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val="en-US" w:eastAsia="zh-CN"/>
              </w:rPr>
              <w:t>8.05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6" w:hRule="atLeast"/>
        </w:trPr>
        <w:tc>
          <w:tcPr>
            <w:tcW w:w="2155"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811"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hint="eastAsia" w:ascii="Times New Roman" w:hAnsi="Times New Roman" w:eastAsia="仿宋_GB2312"/>
                <w:color w:val="auto"/>
                <w:sz w:val="21"/>
                <w:szCs w:val="21"/>
                <w:lang w:eastAsia="zh-CN"/>
              </w:rPr>
              <w:t>待建工程区</w:t>
            </w:r>
          </w:p>
        </w:tc>
        <w:tc>
          <w:tcPr>
            <w:tcW w:w="151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3"/>
                <w:sz w:val="21"/>
                <w:szCs w:val="21"/>
              </w:rPr>
              <w:t>10821</w:t>
            </w:r>
          </w:p>
        </w:tc>
        <w:tc>
          <w:tcPr>
            <w:tcW w:w="1370"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.0068</w:t>
            </w:r>
          </w:p>
        </w:tc>
        <w:tc>
          <w:tcPr>
            <w:tcW w:w="11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4"/>
                <w:sz w:val="21"/>
                <w:szCs w:val="21"/>
              </w:rPr>
              <w:t>1.86</w:t>
            </w:r>
          </w:p>
        </w:tc>
        <w:tc>
          <w:tcPr>
            <w:tcW w:w="125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1.47</w:t>
            </w:r>
          </w:p>
        </w:tc>
        <w:tc>
          <w:tcPr>
            <w:tcW w:w="116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0.04</w:t>
            </w:r>
            <w:r>
              <w:rPr>
                <w:rFonts w:ascii="Times New Roman" w:hAnsi="Times New Roman" w:eastAsia="仿宋_GB2312" w:cs="Times New Roman"/>
                <w:color w:val="auto"/>
                <w:spacing w:val="2"/>
                <w:sz w:val="21"/>
                <w:szCs w:val="21"/>
              </w:rPr>
              <w:t>2</w:t>
            </w:r>
          </w:p>
        </w:tc>
        <w:tc>
          <w:tcPr>
            <w:tcW w:w="83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84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6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val="en-US" w:eastAsia="zh-CN"/>
              </w:rPr>
              <w:t>18.17</w:t>
            </w:r>
          </w:p>
        </w:tc>
      </w:tr>
    </w:tbl>
    <w:p>
      <w:pPr>
        <w:spacing w:line="360" w:lineRule="auto"/>
        <w:jc w:val="center"/>
        <w:rPr>
          <w:rFonts w:ascii="Times New Roman" w:hAnsi="Times New Roman" w:eastAsia="仿宋_GB2312" w:cs="Times New Roman"/>
          <w:b/>
          <w:color w:val="auto"/>
          <w:szCs w:val="24"/>
        </w:rPr>
      </w:pPr>
    </w:p>
    <w:p>
      <w:pPr>
        <w:spacing w:line="360" w:lineRule="auto"/>
        <w:jc w:val="center"/>
        <w:rPr>
          <w:rFonts w:ascii="Times New Roman" w:hAnsi="Times New Roman" w:eastAsia="仿宋_GB2312" w:cs="Times New Roman"/>
          <w:b/>
          <w:color w:val="auto"/>
          <w:szCs w:val="24"/>
        </w:rPr>
      </w:pPr>
    </w:p>
    <w:p>
      <w:pPr>
        <w:spacing w:line="360" w:lineRule="auto"/>
        <w:jc w:val="center"/>
        <w:rPr>
          <w:rFonts w:ascii="Times New Roman" w:hAnsi="Times New Roman" w:eastAsia="仿宋_GB2312" w:cs="Times New Roman"/>
          <w:b/>
          <w:color w:val="auto"/>
          <w:szCs w:val="24"/>
        </w:rPr>
      </w:pPr>
    </w:p>
    <w:p>
      <w:pPr>
        <w:spacing w:line="360" w:lineRule="auto"/>
        <w:jc w:val="center"/>
        <w:rPr>
          <w:rFonts w:ascii="Times New Roman" w:hAnsi="Times New Roman" w:eastAsia="仿宋_GB2312" w:cs="Times New Roman"/>
          <w:b/>
          <w:color w:val="auto"/>
          <w:szCs w:val="24"/>
        </w:rPr>
      </w:pPr>
    </w:p>
    <w:p>
      <w:pPr>
        <w:spacing w:line="360" w:lineRule="auto"/>
        <w:jc w:val="center"/>
        <w:rPr>
          <w:rFonts w:ascii="Times New Roman" w:hAnsi="Times New Roman" w:eastAsia="仿宋_GB2312" w:cs="Times New Roman"/>
          <w:b/>
          <w:color w:val="auto"/>
          <w:szCs w:val="24"/>
        </w:rPr>
      </w:pPr>
    </w:p>
    <w:p>
      <w:pPr>
        <w:spacing w:line="360" w:lineRule="auto"/>
        <w:jc w:val="center"/>
        <w:rPr>
          <w:rFonts w:ascii="Times New Roman" w:hAnsi="Times New Roman" w:eastAsia="仿宋_GB2312" w:cs="Times New Roman"/>
          <w:b/>
          <w:color w:val="auto"/>
          <w:szCs w:val="24"/>
        </w:rPr>
      </w:pPr>
    </w:p>
    <w:p>
      <w:pPr>
        <w:spacing w:line="360" w:lineRule="auto"/>
        <w:jc w:val="center"/>
        <w:rPr>
          <w:rFonts w:ascii="Times New Roman" w:hAnsi="Times New Roman" w:eastAsia="仿宋_GB2312" w:cstheme="minorBidi"/>
          <w:b/>
          <w:color w:val="auto"/>
        </w:rPr>
      </w:pPr>
      <w:r>
        <w:rPr>
          <w:rFonts w:ascii="Times New Roman" w:hAnsi="Times New Roman" w:eastAsia="仿宋_GB2312" w:cs="Times New Roman"/>
          <w:b/>
          <w:color w:val="auto"/>
          <w:szCs w:val="24"/>
        </w:rPr>
        <w:t>表4.3-</w:t>
      </w:r>
      <w:r>
        <w:rPr>
          <w:rFonts w:hint="eastAsia" w:ascii="Times New Roman" w:hAnsi="Times New Roman" w:eastAsia="仿宋_GB2312" w:cs="Times New Roman"/>
          <w:b/>
          <w:color w:val="auto"/>
          <w:szCs w:val="24"/>
        </w:rPr>
        <w:t>5</w:t>
      </w:r>
      <w:r>
        <w:rPr>
          <w:rFonts w:ascii="Times New Roman" w:hAnsi="Times New Roman" w:eastAsia="仿宋_GB2312" w:cs="Times New Roman"/>
          <w:b/>
          <w:color w:val="auto"/>
          <w:szCs w:val="24"/>
        </w:rPr>
        <w:t>：</w:t>
      </w:r>
      <w:r>
        <w:rPr>
          <w:rFonts w:hint="eastAsia" w:ascii="Times New Roman" w:hAnsi="Times New Roman" w:eastAsia="仿宋_GB2312" w:cstheme="minorBidi"/>
          <w:b/>
          <w:color w:val="auto"/>
        </w:rPr>
        <w:t>地表翻扰后地表土壤侵蚀模数计算表</w:t>
      </w:r>
    </w:p>
    <w:tbl>
      <w:tblPr>
        <w:tblStyle w:val="183"/>
        <w:tblW w:w="14037"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082"/>
        <w:gridCol w:w="2142"/>
        <w:gridCol w:w="1422"/>
        <w:gridCol w:w="1199"/>
        <w:gridCol w:w="958"/>
        <w:gridCol w:w="928"/>
        <w:gridCol w:w="1018"/>
        <w:gridCol w:w="973"/>
        <w:gridCol w:w="1018"/>
        <w:gridCol w:w="1139"/>
        <w:gridCol w:w="1031"/>
        <w:gridCol w:w="112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51" w:hRule="atLeast"/>
        </w:trPr>
        <w:tc>
          <w:tcPr>
            <w:tcW w:w="108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6"/>
                <w:sz w:val="21"/>
                <w:szCs w:val="21"/>
              </w:rPr>
              <w:t>预</w:t>
            </w:r>
            <w:r>
              <w:rPr>
                <w:rFonts w:ascii="Times New Roman" w:hAnsi="Times New Roman" w:eastAsia="仿宋_GB2312" w:cs="Times New Roman"/>
                <w:color w:val="auto"/>
                <w:spacing w:val="5"/>
                <w:sz w:val="21"/>
                <w:szCs w:val="21"/>
              </w:rPr>
              <w:t>测时段</w:t>
            </w:r>
          </w:p>
        </w:tc>
        <w:tc>
          <w:tcPr>
            <w:tcW w:w="214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6"/>
                <w:sz w:val="21"/>
                <w:szCs w:val="21"/>
              </w:rPr>
              <w:t>预</w:t>
            </w:r>
            <w:r>
              <w:rPr>
                <w:rFonts w:ascii="Times New Roman" w:hAnsi="Times New Roman" w:eastAsia="仿宋_GB2312" w:cs="Times New Roman"/>
                <w:color w:val="auto"/>
                <w:spacing w:val="5"/>
                <w:sz w:val="21"/>
                <w:szCs w:val="21"/>
              </w:rPr>
              <w:t>测单元</w:t>
            </w:r>
          </w:p>
        </w:tc>
        <w:tc>
          <w:tcPr>
            <w:tcW w:w="142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R</w:t>
            </w:r>
          </w:p>
        </w:tc>
        <w:tc>
          <w:tcPr>
            <w:tcW w:w="119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K</w:t>
            </w:r>
          </w:p>
        </w:tc>
        <w:tc>
          <w:tcPr>
            <w:tcW w:w="95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 xml:space="preserve">Ly </w:t>
            </w:r>
          </w:p>
        </w:tc>
        <w:tc>
          <w:tcPr>
            <w:tcW w:w="92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 xml:space="preserve">Sy </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 xml:space="preserve">B </w:t>
            </w:r>
          </w:p>
        </w:tc>
        <w:tc>
          <w:tcPr>
            <w:tcW w:w="97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 xml:space="preserve">E </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 xml:space="preserve">T </w:t>
            </w:r>
          </w:p>
        </w:tc>
        <w:tc>
          <w:tcPr>
            <w:tcW w:w="113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A</w:t>
            </w:r>
          </w:p>
        </w:tc>
        <w:tc>
          <w:tcPr>
            <w:tcW w:w="103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9"/>
                <w:sz w:val="21"/>
                <w:szCs w:val="21"/>
              </w:rPr>
              <w:t>年</w:t>
            </w:r>
            <w:r>
              <w:rPr>
                <w:rFonts w:ascii="Times New Roman" w:hAnsi="Times New Roman" w:eastAsia="仿宋_GB2312" w:cs="Times New Roman"/>
                <w:color w:val="auto"/>
                <w:spacing w:val="6"/>
                <w:sz w:val="21"/>
                <w:szCs w:val="21"/>
              </w:rPr>
              <w:t>水土流</w:t>
            </w:r>
            <w:r>
              <w:rPr>
                <w:rFonts w:ascii="Times New Roman" w:hAnsi="Times New Roman" w:eastAsia="仿宋_GB2312" w:cs="Times New Roman"/>
                <w:color w:val="auto"/>
                <w:spacing w:val="4"/>
                <w:sz w:val="21"/>
                <w:szCs w:val="21"/>
              </w:rPr>
              <w:t>失</w:t>
            </w:r>
            <w:r>
              <w:rPr>
                <w:rFonts w:ascii="Times New Roman" w:hAnsi="Times New Roman" w:eastAsia="仿宋_GB2312" w:cs="Times New Roman"/>
                <w:color w:val="auto"/>
                <w:spacing w:val="3"/>
                <w:sz w:val="21"/>
                <w:szCs w:val="21"/>
              </w:rPr>
              <w:t>量(</w:t>
            </w:r>
            <w:r>
              <w:rPr>
                <w:rFonts w:ascii="Times New Roman" w:hAnsi="Times New Roman" w:eastAsia="仿宋_GB2312" w:cs="Times New Roman"/>
                <w:color w:val="auto"/>
                <w:sz w:val="21"/>
                <w:szCs w:val="21"/>
              </w:rPr>
              <w:t>t</w:t>
            </w:r>
            <w:r>
              <w:rPr>
                <w:rFonts w:ascii="Times New Roman" w:hAnsi="Times New Roman" w:eastAsia="仿宋_GB2312" w:cs="Times New Roman"/>
                <w:color w:val="auto"/>
                <w:spacing w:val="3"/>
                <w:sz w:val="21"/>
                <w:szCs w:val="21"/>
              </w:rPr>
              <w:t>)</w:t>
            </w:r>
          </w:p>
        </w:tc>
        <w:tc>
          <w:tcPr>
            <w:tcW w:w="1127"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6"/>
                <w:sz w:val="21"/>
                <w:szCs w:val="21"/>
              </w:rPr>
              <w:t>土壤</w:t>
            </w:r>
            <w:r>
              <w:rPr>
                <w:rFonts w:ascii="Times New Roman" w:hAnsi="Times New Roman" w:eastAsia="仿宋_GB2312" w:cs="Times New Roman"/>
                <w:color w:val="auto"/>
                <w:spacing w:val="33"/>
                <w:sz w:val="21"/>
                <w:szCs w:val="21"/>
              </w:rPr>
              <w:t>侵</w:t>
            </w:r>
            <w:r>
              <w:rPr>
                <w:rFonts w:ascii="Times New Roman" w:hAnsi="Times New Roman" w:eastAsia="仿宋_GB2312" w:cs="Times New Roman"/>
                <w:color w:val="auto"/>
                <w:spacing w:val="31"/>
                <w:sz w:val="21"/>
                <w:szCs w:val="21"/>
              </w:rPr>
              <w:t>蚀模数</w:t>
            </w:r>
            <w:r>
              <w:rPr>
                <w:rFonts w:ascii="Times New Roman" w:hAnsi="Times New Roman" w:eastAsia="仿宋_GB2312" w:cs="Times New Roman"/>
                <w:color w:val="auto"/>
                <w:spacing w:val="8"/>
                <w:sz w:val="21"/>
                <w:szCs w:val="21"/>
              </w:rPr>
              <w:t>(</w:t>
            </w:r>
            <w:r>
              <w:rPr>
                <w:rFonts w:ascii="Times New Roman" w:hAnsi="Times New Roman" w:eastAsia="仿宋_GB2312" w:cs="Times New Roman"/>
                <w:color w:val="auto"/>
                <w:sz w:val="21"/>
                <w:szCs w:val="21"/>
              </w:rPr>
              <w:t>t</w:t>
            </w:r>
            <w:r>
              <w:rPr>
                <w:rFonts w:ascii="Times New Roman" w:hAnsi="Times New Roman" w:eastAsia="仿宋_GB2312" w:cs="Times New Roman"/>
                <w:color w:val="auto"/>
                <w:spacing w:val="8"/>
                <w:sz w:val="21"/>
                <w:szCs w:val="21"/>
              </w:rPr>
              <w:t>/</w:t>
            </w:r>
            <w:r>
              <w:rPr>
                <w:rFonts w:ascii="Times New Roman" w:hAnsi="Times New Roman" w:eastAsia="仿宋_GB2312" w:cs="Times New Roman"/>
                <w:color w:val="auto"/>
                <w:sz w:val="21"/>
                <w:szCs w:val="21"/>
              </w:rPr>
              <w:t>km</w:t>
            </w:r>
            <w:r>
              <w:rPr>
                <w:rFonts w:hint="eastAsia" w:ascii="Times New Roman" w:hAnsi="Times New Roman" w:eastAsia="仿宋_GB2312" w:cs="Times New Roman"/>
                <w:color w:val="auto"/>
                <w:sz w:val="21"/>
                <w:szCs w:val="21"/>
                <w:vertAlign w:val="superscript"/>
              </w:rPr>
              <w:t>2</w:t>
            </w:r>
            <w:r>
              <w:rPr>
                <w:rFonts w:ascii="Times New Roman" w:hAnsi="Times New Roman" w:eastAsia="仿宋_GB2312" w:cs="Times New Roman"/>
                <w:color w:val="auto"/>
                <w:spacing w:val="8"/>
                <w:sz w:val="21"/>
                <w:szCs w:val="21"/>
              </w:rPr>
              <w:t>•</w:t>
            </w:r>
            <w:r>
              <w:rPr>
                <w:rFonts w:ascii="Times New Roman" w:hAnsi="Times New Roman" w:eastAsia="仿宋_GB2312" w:cs="Times New Roman"/>
                <w:color w:val="auto"/>
                <w:sz w:val="21"/>
                <w:szCs w:val="21"/>
              </w:rPr>
              <w:t>a</w:t>
            </w:r>
            <w:r>
              <w:rPr>
                <w:rFonts w:ascii="Times New Roman" w:hAnsi="Times New Roman" w:eastAsia="仿宋_GB2312" w:cs="Times New Roman"/>
                <w:color w:val="auto"/>
                <w:spacing w:val="7"/>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6" w:hRule="atLeast"/>
        </w:trPr>
        <w:tc>
          <w:tcPr>
            <w:tcW w:w="1082" w:type="dxa"/>
            <w:vMerge w:val="restart"/>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7"/>
                <w:sz w:val="21"/>
                <w:szCs w:val="21"/>
              </w:rPr>
              <w:t>施</w:t>
            </w:r>
            <w:r>
              <w:rPr>
                <w:rFonts w:ascii="Times New Roman" w:hAnsi="Times New Roman" w:eastAsia="仿宋_GB2312" w:cs="Times New Roman"/>
                <w:color w:val="auto"/>
                <w:spacing w:val="6"/>
                <w:sz w:val="21"/>
                <w:szCs w:val="21"/>
              </w:rPr>
              <w:t>工期</w:t>
            </w:r>
          </w:p>
        </w:tc>
        <w:tc>
          <w:tcPr>
            <w:tcW w:w="2142"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道路与交通设施用地区</w:t>
            </w:r>
          </w:p>
        </w:tc>
        <w:tc>
          <w:tcPr>
            <w:tcW w:w="142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10821</w:t>
            </w:r>
          </w:p>
        </w:tc>
        <w:tc>
          <w:tcPr>
            <w:tcW w:w="119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.0068</w:t>
            </w:r>
          </w:p>
        </w:tc>
        <w:tc>
          <w:tcPr>
            <w:tcW w:w="95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ascii="Times New Roman" w:hAnsi="Times New Roman" w:eastAsia="仿宋_GB2312" w:cs="Times New Roman"/>
                <w:color w:val="auto"/>
                <w:spacing w:val="-1"/>
                <w:sz w:val="21"/>
                <w:szCs w:val="21"/>
              </w:rPr>
              <w:t>96</w:t>
            </w:r>
          </w:p>
        </w:tc>
        <w:tc>
          <w:tcPr>
            <w:tcW w:w="92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w:t>
            </w:r>
            <w:r>
              <w:rPr>
                <w:rFonts w:ascii="Times New Roman" w:hAnsi="Times New Roman" w:eastAsia="仿宋_GB2312" w:cs="Times New Roman"/>
                <w:color w:val="auto"/>
                <w:spacing w:val="-2"/>
                <w:sz w:val="21"/>
                <w:szCs w:val="21"/>
              </w:rPr>
              <w:t>.53</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.516</w:t>
            </w:r>
          </w:p>
        </w:tc>
        <w:tc>
          <w:tcPr>
            <w:tcW w:w="97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39"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cs="Times New Roman"/>
                <w:color w:val="auto"/>
                <w:kern w:val="0"/>
                <w:sz w:val="21"/>
                <w:szCs w:val="21"/>
              </w:rPr>
              <w:t>7.73</w:t>
            </w:r>
          </w:p>
        </w:tc>
        <w:tc>
          <w:tcPr>
            <w:tcW w:w="1031"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cs="Times New Roman"/>
                <w:color w:val="auto"/>
                <w:kern w:val="0"/>
                <w:sz w:val="21"/>
                <w:szCs w:val="21"/>
              </w:rPr>
              <w:t>769</w:t>
            </w:r>
          </w:p>
        </w:tc>
        <w:tc>
          <w:tcPr>
            <w:tcW w:w="1127"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cs="Times New Roman"/>
                <w:color w:val="auto"/>
                <w:kern w:val="0"/>
                <w:sz w:val="21"/>
                <w:szCs w:val="21"/>
              </w:rPr>
              <w:t>9951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1082"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142"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公用设施用地区</w:t>
            </w:r>
          </w:p>
        </w:tc>
        <w:tc>
          <w:tcPr>
            <w:tcW w:w="142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10821</w:t>
            </w:r>
          </w:p>
        </w:tc>
        <w:tc>
          <w:tcPr>
            <w:tcW w:w="119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.0068</w:t>
            </w:r>
          </w:p>
        </w:tc>
        <w:tc>
          <w:tcPr>
            <w:tcW w:w="95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ascii="Times New Roman" w:hAnsi="Times New Roman" w:eastAsia="仿宋_GB2312" w:cs="Times New Roman"/>
                <w:color w:val="auto"/>
                <w:spacing w:val="-1"/>
                <w:sz w:val="21"/>
                <w:szCs w:val="21"/>
              </w:rPr>
              <w:t>86</w:t>
            </w:r>
          </w:p>
        </w:tc>
        <w:tc>
          <w:tcPr>
            <w:tcW w:w="92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w:t>
            </w:r>
            <w:r>
              <w:rPr>
                <w:rFonts w:ascii="Times New Roman" w:hAnsi="Times New Roman" w:eastAsia="仿宋_GB2312" w:cs="Times New Roman"/>
                <w:color w:val="auto"/>
                <w:spacing w:val="-2"/>
                <w:sz w:val="21"/>
                <w:szCs w:val="21"/>
              </w:rPr>
              <w:t>.47</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.516</w:t>
            </w:r>
          </w:p>
        </w:tc>
        <w:tc>
          <w:tcPr>
            <w:tcW w:w="97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39"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cs="Times New Roman"/>
                <w:color w:val="auto"/>
                <w:kern w:val="0"/>
                <w:sz w:val="21"/>
                <w:szCs w:val="21"/>
              </w:rPr>
              <w:t>12.87</w:t>
            </w:r>
          </w:p>
        </w:tc>
        <w:tc>
          <w:tcPr>
            <w:tcW w:w="1031"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cs="Times New Roman"/>
                <w:color w:val="auto"/>
                <w:kern w:val="0"/>
                <w:sz w:val="21"/>
                <w:szCs w:val="21"/>
              </w:rPr>
              <w:t>1179</w:t>
            </w:r>
          </w:p>
        </w:tc>
        <w:tc>
          <w:tcPr>
            <w:tcW w:w="1127"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cs="Times New Roman"/>
                <w:color w:val="auto"/>
                <w:kern w:val="0"/>
                <w:sz w:val="21"/>
                <w:szCs w:val="21"/>
              </w:rPr>
              <w:t>9163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1082"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142"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绿地区</w:t>
            </w:r>
          </w:p>
        </w:tc>
        <w:tc>
          <w:tcPr>
            <w:tcW w:w="142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10821</w:t>
            </w:r>
          </w:p>
        </w:tc>
        <w:tc>
          <w:tcPr>
            <w:tcW w:w="119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.0068</w:t>
            </w:r>
          </w:p>
        </w:tc>
        <w:tc>
          <w:tcPr>
            <w:tcW w:w="95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8"/>
                <w:sz w:val="21"/>
                <w:szCs w:val="21"/>
              </w:rPr>
              <w:t>2</w:t>
            </w:r>
            <w:r>
              <w:rPr>
                <w:rFonts w:ascii="Times New Roman" w:hAnsi="Times New Roman" w:eastAsia="仿宋_GB2312" w:cs="Times New Roman"/>
                <w:color w:val="auto"/>
                <w:spacing w:val="-7"/>
                <w:sz w:val="21"/>
                <w:szCs w:val="21"/>
              </w:rPr>
              <w:t>.17</w:t>
            </w:r>
          </w:p>
        </w:tc>
        <w:tc>
          <w:tcPr>
            <w:tcW w:w="92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w:t>
            </w:r>
            <w:r>
              <w:rPr>
                <w:rFonts w:ascii="Times New Roman" w:hAnsi="Times New Roman" w:eastAsia="仿宋_GB2312" w:cs="Times New Roman"/>
                <w:color w:val="auto"/>
                <w:spacing w:val="-2"/>
                <w:sz w:val="21"/>
                <w:szCs w:val="21"/>
              </w:rPr>
              <w:t>.86</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.516</w:t>
            </w:r>
          </w:p>
        </w:tc>
        <w:tc>
          <w:tcPr>
            <w:tcW w:w="97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39"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cs="Times New Roman"/>
                <w:color w:val="auto"/>
                <w:kern w:val="0"/>
                <w:sz w:val="21"/>
                <w:szCs w:val="21"/>
              </w:rPr>
              <w:t>20.01</w:t>
            </w:r>
          </w:p>
        </w:tc>
        <w:tc>
          <w:tcPr>
            <w:tcW w:w="1031"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cs="Times New Roman"/>
                <w:color w:val="auto"/>
                <w:kern w:val="0"/>
                <w:sz w:val="21"/>
                <w:szCs w:val="21"/>
              </w:rPr>
              <w:t>2205</w:t>
            </w:r>
          </w:p>
        </w:tc>
        <w:tc>
          <w:tcPr>
            <w:tcW w:w="1127"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cs="Times New Roman"/>
                <w:color w:val="auto"/>
                <w:kern w:val="0"/>
                <w:sz w:val="21"/>
                <w:szCs w:val="21"/>
              </w:rPr>
              <w:t>11018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6" w:hRule="atLeast"/>
        </w:trPr>
        <w:tc>
          <w:tcPr>
            <w:tcW w:w="1082"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142"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eastAsia="zh-CN"/>
              </w:rPr>
              <w:t>已建工程区</w:t>
            </w:r>
          </w:p>
        </w:tc>
        <w:tc>
          <w:tcPr>
            <w:tcW w:w="142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10821</w:t>
            </w:r>
          </w:p>
        </w:tc>
        <w:tc>
          <w:tcPr>
            <w:tcW w:w="119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.0068</w:t>
            </w:r>
          </w:p>
        </w:tc>
        <w:tc>
          <w:tcPr>
            <w:tcW w:w="95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ascii="Times New Roman" w:hAnsi="Times New Roman" w:eastAsia="仿宋_GB2312" w:cs="Times New Roman"/>
                <w:color w:val="auto"/>
                <w:spacing w:val="-1"/>
                <w:sz w:val="21"/>
                <w:szCs w:val="21"/>
              </w:rPr>
              <w:t>86</w:t>
            </w:r>
          </w:p>
        </w:tc>
        <w:tc>
          <w:tcPr>
            <w:tcW w:w="92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w:t>
            </w:r>
            <w:r>
              <w:rPr>
                <w:rFonts w:ascii="Times New Roman" w:hAnsi="Times New Roman" w:eastAsia="仿宋_GB2312" w:cs="Times New Roman"/>
                <w:color w:val="auto"/>
                <w:spacing w:val="-2"/>
                <w:sz w:val="21"/>
                <w:szCs w:val="21"/>
              </w:rPr>
              <w:t>.47</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.516</w:t>
            </w:r>
          </w:p>
        </w:tc>
        <w:tc>
          <w:tcPr>
            <w:tcW w:w="97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3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val="en-US" w:eastAsia="zh-CN"/>
              </w:rPr>
              <w:t>8.05</w:t>
            </w:r>
          </w:p>
        </w:tc>
        <w:tc>
          <w:tcPr>
            <w:tcW w:w="1031" w:type="dxa"/>
            <w:tcBorders>
              <w:tl2br w:val="nil"/>
              <w:tr2bl w:val="nil"/>
            </w:tcBorders>
            <w:vAlign w:val="center"/>
          </w:tcPr>
          <w:p>
            <w:pPr>
              <w:widowControl/>
              <w:spacing w:line="240" w:lineRule="atLeast"/>
              <w:jc w:val="center"/>
              <w:textAlignment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kern w:val="0"/>
                <w:sz w:val="21"/>
                <w:szCs w:val="21"/>
                <w:lang w:val="en-US" w:eastAsia="zh-CN"/>
              </w:rPr>
              <w:t>836</w:t>
            </w:r>
          </w:p>
        </w:tc>
        <w:tc>
          <w:tcPr>
            <w:tcW w:w="1127" w:type="dxa"/>
            <w:tcBorders>
              <w:tl2br w:val="nil"/>
              <w:tr2bl w:val="nil"/>
            </w:tcBorders>
            <w:vAlign w:val="center"/>
          </w:tcPr>
          <w:p>
            <w:pPr>
              <w:widowControl/>
              <w:spacing w:line="240" w:lineRule="atLeast"/>
              <w:jc w:val="center"/>
              <w:textAlignment w:val="center"/>
              <w:rPr>
                <w:rFonts w:hint="default" w:ascii="Times New Roman" w:hAnsi="Times New Roman" w:eastAsia="宋体" w:cs="Times New Roman"/>
                <w:color w:val="auto"/>
                <w:sz w:val="21"/>
                <w:szCs w:val="21"/>
                <w:lang w:val="en-US" w:eastAsia="zh-CN"/>
              </w:rPr>
            </w:pPr>
            <w:r>
              <w:rPr>
                <w:rFonts w:ascii="Times New Roman" w:hAnsi="Times New Roman" w:cs="Times New Roman"/>
                <w:color w:val="auto"/>
                <w:kern w:val="0"/>
                <w:sz w:val="21"/>
                <w:szCs w:val="21"/>
              </w:rPr>
              <w:t>9</w:t>
            </w:r>
            <w:r>
              <w:rPr>
                <w:rFonts w:hint="eastAsia" w:ascii="Times New Roman" w:hAnsi="Times New Roman" w:cs="Times New Roman"/>
                <w:color w:val="auto"/>
                <w:kern w:val="0"/>
                <w:sz w:val="21"/>
                <w:szCs w:val="21"/>
                <w:lang w:val="en-US" w:eastAsia="zh-CN"/>
              </w:rPr>
              <w:t>433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1082"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142"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hint="eastAsia" w:ascii="Times New Roman" w:hAnsi="Times New Roman" w:eastAsia="仿宋_GB2312"/>
                <w:color w:val="auto"/>
                <w:sz w:val="21"/>
                <w:szCs w:val="21"/>
                <w:lang w:eastAsia="zh-CN"/>
              </w:rPr>
              <w:t>待建工程区</w:t>
            </w:r>
          </w:p>
        </w:tc>
        <w:tc>
          <w:tcPr>
            <w:tcW w:w="142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10821</w:t>
            </w:r>
          </w:p>
        </w:tc>
        <w:tc>
          <w:tcPr>
            <w:tcW w:w="119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.0068</w:t>
            </w:r>
          </w:p>
        </w:tc>
        <w:tc>
          <w:tcPr>
            <w:tcW w:w="95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ascii="Times New Roman" w:hAnsi="Times New Roman" w:eastAsia="仿宋_GB2312" w:cs="Times New Roman"/>
                <w:color w:val="auto"/>
                <w:spacing w:val="-1"/>
                <w:sz w:val="21"/>
                <w:szCs w:val="21"/>
              </w:rPr>
              <w:t>86</w:t>
            </w:r>
          </w:p>
        </w:tc>
        <w:tc>
          <w:tcPr>
            <w:tcW w:w="92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w:t>
            </w:r>
            <w:r>
              <w:rPr>
                <w:rFonts w:ascii="Times New Roman" w:hAnsi="Times New Roman" w:eastAsia="仿宋_GB2312" w:cs="Times New Roman"/>
                <w:color w:val="auto"/>
                <w:spacing w:val="-2"/>
                <w:sz w:val="21"/>
                <w:szCs w:val="21"/>
              </w:rPr>
              <w:t>.47</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.516</w:t>
            </w:r>
          </w:p>
        </w:tc>
        <w:tc>
          <w:tcPr>
            <w:tcW w:w="97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3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val="en-US" w:eastAsia="zh-CN"/>
              </w:rPr>
              <w:t>18.17</w:t>
            </w:r>
          </w:p>
        </w:tc>
        <w:tc>
          <w:tcPr>
            <w:tcW w:w="1031" w:type="dxa"/>
            <w:tcBorders>
              <w:tl2br w:val="nil"/>
              <w:tr2bl w:val="nil"/>
            </w:tcBorders>
            <w:vAlign w:val="center"/>
          </w:tcPr>
          <w:p>
            <w:pPr>
              <w:widowControl/>
              <w:spacing w:line="240" w:lineRule="atLeast"/>
              <w:jc w:val="center"/>
              <w:textAlignment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kern w:val="0"/>
                <w:sz w:val="21"/>
                <w:szCs w:val="21"/>
                <w:lang w:val="en-US" w:eastAsia="zh-CN"/>
              </w:rPr>
              <w:t>1886</w:t>
            </w:r>
          </w:p>
        </w:tc>
        <w:tc>
          <w:tcPr>
            <w:tcW w:w="1127" w:type="dxa"/>
            <w:tcBorders>
              <w:tl2br w:val="nil"/>
              <w:tr2bl w:val="nil"/>
            </w:tcBorders>
            <w:vAlign w:val="center"/>
          </w:tcPr>
          <w:p>
            <w:pPr>
              <w:widowControl/>
              <w:spacing w:line="240" w:lineRule="atLeast"/>
              <w:jc w:val="center"/>
              <w:textAlignment w:val="center"/>
              <w:rPr>
                <w:rFonts w:hint="default" w:ascii="Times New Roman" w:hAnsi="Times New Roman" w:eastAsia="宋体" w:cs="Times New Roman"/>
                <w:color w:val="auto"/>
                <w:sz w:val="21"/>
                <w:szCs w:val="21"/>
                <w:lang w:val="en-US" w:eastAsia="zh-CN"/>
              </w:rPr>
            </w:pPr>
            <w:r>
              <w:rPr>
                <w:rFonts w:ascii="Times New Roman" w:hAnsi="Times New Roman" w:cs="Times New Roman"/>
                <w:color w:val="auto"/>
                <w:kern w:val="0"/>
                <w:sz w:val="21"/>
                <w:szCs w:val="21"/>
              </w:rPr>
              <w:t>9</w:t>
            </w:r>
            <w:r>
              <w:rPr>
                <w:rFonts w:hint="eastAsia" w:ascii="Times New Roman" w:hAnsi="Times New Roman" w:cs="Times New Roman"/>
                <w:color w:val="auto"/>
                <w:kern w:val="0"/>
                <w:sz w:val="21"/>
                <w:szCs w:val="21"/>
                <w:lang w:val="en-US" w:eastAsia="zh-CN"/>
              </w:rPr>
              <w:t>858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1082"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142"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苗木移栽区</w:t>
            </w:r>
          </w:p>
        </w:tc>
        <w:tc>
          <w:tcPr>
            <w:tcW w:w="1422" w:type="dxa"/>
            <w:tcBorders>
              <w:tl2br w:val="nil"/>
              <w:tr2bl w:val="nil"/>
            </w:tcBorders>
            <w:vAlign w:val="center"/>
          </w:tcPr>
          <w:p>
            <w:pPr>
              <w:spacing w:line="240" w:lineRule="atLeast"/>
              <w:jc w:val="center"/>
              <w:rPr>
                <w:rFonts w:ascii="Times New Roman" w:hAnsi="Times New Roman" w:eastAsia="仿宋_GB2312" w:cs="Times New Roman"/>
                <w:color w:val="auto"/>
                <w:spacing w:val="3"/>
                <w:sz w:val="21"/>
                <w:szCs w:val="21"/>
              </w:rPr>
            </w:pPr>
            <w:r>
              <w:rPr>
                <w:rFonts w:hint="eastAsia" w:ascii="Times New Roman" w:hAnsi="Times New Roman" w:eastAsia="仿宋_GB2312" w:cs="Times New Roman"/>
                <w:color w:val="auto"/>
                <w:spacing w:val="3"/>
                <w:sz w:val="21"/>
                <w:szCs w:val="21"/>
              </w:rPr>
              <w:t>10821</w:t>
            </w:r>
          </w:p>
        </w:tc>
        <w:tc>
          <w:tcPr>
            <w:tcW w:w="1199" w:type="dxa"/>
            <w:tcBorders>
              <w:tl2br w:val="nil"/>
              <w:tr2bl w:val="nil"/>
            </w:tcBorders>
            <w:vAlign w:val="center"/>
          </w:tcPr>
          <w:p>
            <w:pPr>
              <w:spacing w:line="240" w:lineRule="atLeast"/>
              <w:jc w:val="center"/>
              <w:rPr>
                <w:rFonts w:ascii="Times New Roman" w:hAnsi="Times New Roman" w:eastAsia="仿宋_GB2312" w:cs="Times New Roman"/>
                <w:color w:val="auto"/>
                <w:spacing w:val="4"/>
                <w:sz w:val="21"/>
                <w:szCs w:val="21"/>
              </w:rPr>
            </w:pPr>
            <w:r>
              <w:rPr>
                <w:rFonts w:hint="eastAsia" w:ascii="Times New Roman" w:hAnsi="Times New Roman" w:eastAsia="仿宋_GB2312" w:cs="Times New Roman"/>
                <w:color w:val="auto"/>
                <w:spacing w:val="4"/>
                <w:sz w:val="21"/>
                <w:szCs w:val="21"/>
              </w:rPr>
              <w:t>0.0068</w:t>
            </w:r>
          </w:p>
        </w:tc>
        <w:tc>
          <w:tcPr>
            <w:tcW w:w="958" w:type="dxa"/>
            <w:tcBorders>
              <w:tl2br w:val="nil"/>
              <w:tr2bl w:val="nil"/>
            </w:tcBorders>
            <w:vAlign w:val="center"/>
          </w:tcPr>
          <w:p>
            <w:pPr>
              <w:spacing w:line="240" w:lineRule="atLeast"/>
              <w:jc w:val="center"/>
              <w:rPr>
                <w:rFonts w:ascii="Times New Roman" w:hAnsi="Times New Roman" w:eastAsia="仿宋_GB2312" w:cs="Times New Roman"/>
                <w:color w:val="auto"/>
                <w:spacing w:val="-2"/>
                <w:sz w:val="21"/>
                <w:szCs w:val="21"/>
              </w:rPr>
            </w:pPr>
            <w:r>
              <w:rPr>
                <w:rFonts w:ascii="Times New Roman" w:hAnsi="Times New Roman" w:eastAsia="仿宋_GB2312" w:cs="Times New Roman"/>
                <w:color w:val="auto"/>
                <w:spacing w:val="-2"/>
                <w:sz w:val="21"/>
                <w:szCs w:val="21"/>
              </w:rPr>
              <w:t>1.</w:t>
            </w:r>
            <w:r>
              <w:rPr>
                <w:rFonts w:ascii="Times New Roman" w:hAnsi="Times New Roman" w:eastAsia="仿宋_GB2312" w:cs="Times New Roman"/>
                <w:color w:val="auto"/>
                <w:spacing w:val="-1"/>
                <w:sz w:val="21"/>
                <w:szCs w:val="21"/>
              </w:rPr>
              <w:t>86</w:t>
            </w:r>
          </w:p>
        </w:tc>
        <w:tc>
          <w:tcPr>
            <w:tcW w:w="928" w:type="dxa"/>
            <w:tcBorders>
              <w:tl2br w:val="nil"/>
              <w:tr2bl w:val="nil"/>
            </w:tcBorders>
            <w:vAlign w:val="center"/>
          </w:tcPr>
          <w:p>
            <w:pPr>
              <w:spacing w:line="240" w:lineRule="atLeast"/>
              <w:jc w:val="center"/>
              <w:rPr>
                <w:rFonts w:ascii="Times New Roman" w:hAnsi="Times New Roman" w:eastAsia="仿宋_GB2312" w:cs="Times New Roman"/>
                <w:color w:val="auto"/>
                <w:spacing w:val="-3"/>
                <w:sz w:val="21"/>
                <w:szCs w:val="21"/>
              </w:rPr>
            </w:pPr>
            <w:r>
              <w:rPr>
                <w:rFonts w:ascii="Times New Roman" w:hAnsi="Times New Roman" w:eastAsia="仿宋_GB2312" w:cs="Times New Roman"/>
                <w:color w:val="auto"/>
                <w:spacing w:val="-2"/>
                <w:sz w:val="21"/>
                <w:szCs w:val="21"/>
              </w:rPr>
              <w:t>1.</w:t>
            </w:r>
            <w:r>
              <w:rPr>
                <w:rFonts w:ascii="Times New Roman" w:hAnsi="Times New Roman" w:eastAsia="仿宋_GB2312" w:cs="Times New Roman"/>
                <w:color w:val="auto"/>
                <w:spacing w:val="-1"/>
                <w:sz w:val="21"/>
                <w:szCs w:val="21"/>
              </w:rPr>
              <w:t>47</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pacing w:val="4"/>
                <w:sz w:val="21"/>
                <w:szCs w:val="21"/>
              </w:rPr>
            </w:pPr>
            <w:r>
              <w:rPr>
                <w:rFonts w:ascii="Times New Roman" w:hAnsi="Times New Roman" w:eastAsia="仿宋_GB2312" w:cs="Times New Roman"/>
                <w:color w:val="auto"/>
                <w:spacing w:val="3"/>
                <w:sz w:val="21"/>
                <w:szCs w:val="21"/>
              </w:rPr>
              <w:t>0.51</w:t>
            </w:r>
            <w:r>
              <w:rPr>
                <w:rFonts w:ascii="Times New Roman" w:hAnsi="Times New Roman" w:eastAsia="仿宋_GB2312" w:cs="Times New Roman"/>
                <w:color w:val="auto"/>
                <w:spacing w:val="2"/>
                <w:sz w:val="21"/>
                <w:szCs w:val="21"/>
              </w:rPr>
              <w:t>6</w:t>
            </w:r>
          </w:p>
        </w:tc>
        <w:tc>
          <w:tcPr>
            <w:tcW w:w="97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39"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cs="Times New Roman"/>
                <w:color w:val="auto"/>
                <w:kern w:val="0"/>
                <w:sz w:val="21"/>
                <w:szCs w:val="21"/>
              </w:rPr>
              <w:t>0.14</w:t>
            </w:r>
          </w:p>
        </w:tc>
        <w:tc>
          <w:tcPr>
            <w:tcW w:w="1031"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cs="Times New Roman"/>
                <w:color w:val="auto"/>
                <w:kern w:val="0"/>
                <w:sz w:val="21"/>
                <w:szCs w:val="21"/>
              </w:rPr>
              <w:t>14</w:t>
            </w:r>
          </w:p>
        </w:tc>
        <w:tc>
          <w:tcPr>
            <w:tcW w:w="1127"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cs="Times New Roman"/>
                <w:color w:val="auto"/>
                <w:kern w:val="0"/>
                <w:sz w:val="21"/>
                <w:szCs w:val="21"/>
              </w:rPr>
              <w:t>9943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1082" w:type="dxa"/>
            <w:vMerge w:val="restart"/>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1"/>
                <w:sz w:val="21"/>
                <w:szCs w:val="21"/>
              </w:rPr>
              <w:t>自然恢</w:t>
            </w:r>
            <w:r>
              <w:rPr>
                <w:rFonts w:ascii="Times New Roman" w:hAnsi="Times New Roman" w:eastAsia="仿宋_GB2312" w:cs="Times New Roman"/>
                <w:color w:val="auto"/>
                <w:sz w:val="21"/>
                <w:szCs w:val="21"/>
              </w:rPr>
              <w:t>复期</w:t>
            </w:r>
          </w:p>
        </w:tc>
        <w:tc>
          <w:tcPr>
            <w:tcW w:w="2142"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道路与交通设施用地区</w:t>
            </w:r>
          </w:p>
        </w:tc>
        <w:tc>
          <w:tcPr>
            <w:tcW w:w="142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10821</w:t>
            </w:r>
          </w:p>
        </w:tc>
        <w:tc>
          <w:tcPr>
            <w:tcW w:w="119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.0068</w:t>
            </w:r>
          </w:p>
        </w:tc>
        <w:tc>
          <w:tcPr>
            <w:tcW w:w="95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ascii="Times New Roman" w:hAnsi="Times New Roman" w:eastAsia="仿宋_GB2312" w:cs="Times New Roman"/>
                <w:color w:val="auto"/>
                <w:spacing w:val="-1"/>
                <w:sz w:val="21"/>
                <w:szCs w:val="21"/>
              </w:rPr>
              <w:t>96</w:t>
            </w:r>
          </w:p>
        </w:tc>
        <w:tc>
          <w:tcPr>
            <w:tcW w:w="92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w:t>
            </w:r>
            <w:r>
              <w:rPr>
                <w:rFonts w:ascii="Times New Roman" w:hAnsi="Times New Roman" w:eastAsia="仿宋_GB2312" w:cs="Times New Roman"/>
                <w:color w:val="auto"/>
                <w:spacing w:val="-2"/>
                <w:sz w:val="21"/>
                <w:szCs w:val="21"/>
              </w:rPr>
              <w:t>.53</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.042</w:t>
            </w:r>
          </w:p>
        </w:tc>
        <w:tc>
          <w:tcPr>
            <w:tcW w:w="97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39" w:type="dxa"/>
            <w:tcBorders>
              <w:tl2br w:val="nil"/>
              <w:tr2bl w:val="nil"/>
            </w:tcBorders>
            <w:vAlign w:val="center"/>
          </w:tcPr>
          <w:p>
            <w:pPr>
              <w:widowControl/>
              <w:spacing w:line="240" w:lineRule="atLeast"/>
              <w:jc w:val="center"/>
              <w:textAlignment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kern w:val="0"/>
                <w:sz w:val="21"/>
                <w:szCs w:val="21"/>
                <w:lang w:val="en-US" w:eastAsia="zh-CN"/>
              </w:rPr>
              <w:t>2.56</w:t>
            </w:r>
          </w:p>
        </w:tc>
        <w:tc>
          <w:tcPr>
            <w:tcW w:w="1031" w:type="dxa"/>
            <w:tcBorders>
              <w:tl2br w:val="nil"/>
              <w:tr2bl w:val="nil"/>
            </w:tcBorders>
            <w:vAlign w:val="center"/>
          </w:tcPr>
          <w:p>
            <w:pPr>
              <w:widowControl/>
              <w:spacing w:line="240" w:lineRule="atLeast"/>
              <w:jc w:val="center"/>
              <w:textAlignment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kern w:val="0"/>
                <w:sz w:val="21"/>
                <w:szCs w:val="21"/>
                <w:lang w:val="en-US" w:eastAsia="zh-CN"/>
              </w:rPr>
              <w:t>10</w:t>
            </w:r>
          </w:p>
        </w:tc>
        <w:tc>
          <w:tcPr>
            <w:tcW w:w="1127"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cs="Times New Roman"/>
                <w:color w:val="auto"/>
                <w:kern w:val="0"/>
                <w:sz w:val="21"/>
                <w:szCs w:val="21"/>
              </w:rPr>
              <w:t>353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6" w:hRule="atLeast"/>
        </w:trPr>
        <w:tc>
          <w:tcPr>
            <w:tcW w:w="1082"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142"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公用设施用地区</w:t>
            </w:r>
          </w:p>
        </w:tc>
        <w:tc>
          <w:tcPr>
            <w:tcW w:w="142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10821</w:t>
            </w:r>
          </w:p>
        </w:tc>
        <w:tc>
          <w:tcPr>
            <w:tcW w:w="119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.0068</w:t>
            </w:r>
          </w:p>
        </w:tc>
        <w:tc>
          <w:tcPr>
            <w:tcW w:w="95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8"/>
                <w:sz w:val="21"/>
                <w:szCs w:val="21"/>
              </w:rPr>
              <w:t>2</w:t>
            </w:r>
            <w:r>
              <w:rPr>
                <w:rFonts w:ascii="Times New Roman" w:hAnsi="Times New Roman" w:eastAsia="仿宋_GB2312" w:cs="Times New Roman"/>
                <w:color w:val="auto"/>
                <w:spacing w:val="-7"/>
                <w:sz w:val="21"/>
                <w:szCs w:val="21"/>
              </w:rPr>
              <w:t>.17</w:t>
            </w:r>
          </w:p>
        </w:tc>
        <w:tc>
          <w:tcPr>
            <w:tcW w:w="92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w:t>
            </w:r>
            <w:r>
              <w:rPr>
                <w:rFonts w:ascii="Times New Roman" w:hAnsi="Times New Roman" w:eastAsia="仿宋_GB2312" w:cs="Times New Roman"/>
                <w:color w:val="auto"/>
                <w:spacing w:val="-2"/>
                <w:sz w:val="21"/>
                <w:szCs w:val="21"/>
              </w:rPr>
              <w:t>.86</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.042</w:t>
            </w:r>
          </w:p>
        </w:tc>
        <w:tc>
          <w:tcPr>
            <w:tcW w:w="97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39"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cs="Times New Roman"/>
                <w:color w:val="auto"/>
                <w:kern w:val="0"/>
                <w:sz w:val="21"/>
                <w:szCs w:val="21"/>
              </w:rPr>
              <w:t>12.87</w:t>
            </w:r>
          </w:p>
        </w:tc>
        <w:tc>
          <w:tcPr>
            <w:tcW w:w="1031"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cs="Times New Roman"/>
                <w:color w:val="auto"/>
                <w:kern w:val="0"/>
                <w:sz w:val="21"/>
                <w:szCs w:val="21"/>
              </w:rPr>
              <w:t>61</w:t>
            </w:r>
          </w:p>
        </w:tc>
        <w:tc>
          <w:tcPr>
            <w:tcW w:w="1127"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cs="Times New Roman"/>
                <w:color w:val="auto"/>
                <w:kern w:val="0"/>
                <w:sz w:val="21"/>
                <w:szCs w:val="21"/>
              </w:rPr>
              <w:t>475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1082"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142"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绿地区</w:t>
            </w:r>
          </w:p>
        </w:tc>
        <w:tc>
          <w:tcPr>
            <w:tcW w:w="142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10821</w:t>
            </w:r>
          </w:p>
        </w:tc>
        <w:tc>
          <w:tcPr>
            <w:tcW w:w="119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.0068</w:t>
            </w:r>
          </w:p>
        </w:tc>
        <w:tc>
          <w:tcPr>
            <w:tcW w:w="95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ascii="Times New Roman" w:hAnsi="Times New Roman" w:eastAsia="仿宋_GB2312" w:cs="Times New Roman"/>
                <w:color w:val="auto"/>
                <w:spacing w:val="-1"/>
                <w:sz w:val="21"/>
                <w:szCs w:val="21"/>
              </w:rPr>
              <w:t>62</w:t>
            </w:r>
          </w:p>
        </w:tc>
        <w:tc>
          <w:tcPr>
            <w:tcW w:w="92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0.56</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.042</w:t>
            </w:r>
          </w:p>
        </w:tc>
        <w:tc>
          <w:tcPr>
            <w:tcW w:w="97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39"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cs="Times New Roman"/>
                <w:color w:val="auto"/>
                <w:kern w:val="0"/>
                <w:sz w:val="21"/>
                <w:szCs w:val="21"/>
              </w:rPr>
              <w:t>18.81</w:t>
            </w:r>
          </w:p>
        </w:tc>
        <w:tc>
          <w:tcPr>
            <w:tcW w:w="1031"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cs="Times New Roman"/>
                <w:color w:val="auto"/>
                <w:kern w:val="0"/>
                <w:sz w:val="21"/>
                <w:szCs w:val="21"/>
              </w:rPr>
              <w:t>84</w:t>
            </w:r>
          </w:p>
        </w:tc>
        <w:tc>
          <w:tcPr>
            <w:tcW w:w="1127"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cs="Times New Roman"/>
                <w:color w:val="auto"/>
                <w:kern w:val="0"/>
                <w:sz w:val="21"/>
                <w:szCs w:val="21"/>
              </w:rPr>
              <w:t>449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1082"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142"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eastAsia="zh-CN"/>
              </w:rPr>
              <w:t>已建工程区</w:t>
            </w:r>
          </w:p>
        </w:tc>
        <w:tc>
          <w:tcPr>
            <w:tcW w:w="142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10821</w:t>
            </w:r>
          </w:p>
        </w:tc>
        <w:tc>
          <w:tcPr>
            <w:tcW w:w="119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.0068</w:t>
            </w:r>
          </w:p>
        </w:tc>
        <w:tc>
          <w:tcPr>
            <w:tcW w:w="95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ascii="Times New Roman" w:hAnsi="Times New Roman" w:eastAsia="仿宋_GB2312" w:cs="Times New Roman"/>
                <w:color w:val="auto"/>
                <w:spacing w:val="-1"/>
                <w:sz w:val="21"/>
                <w:szCs w:val="21"/>
              </w:rPr>
              <w:t>62</w:t>
            </w:r>
          </w:p>
        </w:tc>
        <w:tc>
          <w:tcPr>
            <w:tcW w:w="92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0.56</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.042</w:t>
            </w:r>
          </w:p>
        </w:tc>
        <w:tc>
          <w:tcPr>
            <w:tcW w:w="97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3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val="en-US" w:eastAsia="zh-CN"/>
              </w:rPr>
              <w:t>8.05</w:t>
            </w:r>
          </w:p>
        </w:tc>
        <w:tc>
          <w:tcPr>
            <w:tcW w:w="1031" w:type="dxa"/>
            <w:tcBorders>
              <w:tl2br w:val="nil"/>
              <w:tr2bl w:val="nil"/>
            </w:tcBorders>
            <w:vAlign w:val="center"/>
          </w:tcPr>
          <w:p>
            <w:pPr>
              <w:widowControl/>
              <w:spacing w:line="240" w:lineRule="atLeast"/>
              <w:jc w:val="center"/>
              <w:textAlignment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kern w:val="0"/>
                <w:sz w:val="21"/>
                <w:szCs w:val="21"/>
                <w:lang w:val="en-US" w:eastAsia="zh-CN"/>
              </w:rPr>
              <w:t>23</w:t>
            </w:r>
          </w:p>
        </w:tc>
        <w:tc>
          <w:tcPr>
            <w:tcW w:w="1127"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cs="Times New Roman"/>
                <w:color w:val="auto"/>
                <w:kern w:val="0"/>
                <w:sz w:val="21"/>
                <w:szCs w:val="21"/>
              </w:rPr>
              <w:t>449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1082"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142"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hint="eastAsia" w:ascii="Times New Roman" w:hAnsi="Times New Roman" w:eastAsia="仿宋_GB2312"/>
                <w:color w:val="auto"/>
                <w:sz w:val="21"/>
                <w:szCs w:val="21"/>
                <w:lang w:eastAsia="zh-CN"/>
              </w:rPr>
              <w:t>待建工程区</w:t>
            </w:r>
          </w:p>
        </w:tc>
        <w:tc>
          <w:tcPr>
            <w:tcW w:w="1422"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3"/>
                <w:sz w:val="21"/>
                <w:szCs w:val="21"/>
              </w:rPr>
              <w:t>10821</w:t>
            </w:r>
          </w:p>
        </w:tc>
        <w:tc>
          <w:tcPr>
            <w:tcW w:w="119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.0068</w:t>
            </w:r>
          </w:p>
        </w:tc>
        <w:tc>
          <w:tcPr>
            <w:tcW w:w="95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w:t>
            </w:r>
            <w:r>
              <w:rPr>
                <w:rFonts w:ascii="Times New Roman" w:hAnsi="Times New Roman" w:eastAsia="仿宋_GB2312" w:cs="Times New Roman"/>
                <w:color w:val="auto"/>
                <w:spacing w:val="-1"/>
                <w:sz w:val="21"/>
                <w:szCs w:val="21"/>
              </w:rPr>
              <w:t>62</w:t>
            </w:r>
          </w:p>
        </w:tc>
        <w:tc>
          <w:tcPr>
            <w:tcW w:w="92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0.56</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0</w:t>
            </w:r>
            <w:r>
              <w:rPr>
                <w:rFonts w:ascii="Times New Roman" w:hAnsi="Times New Roman" w:eastAsia="仿宋_GB2312" w:cs="Times New Roman"/>
                <w:color w:val="auto"/>
                <w:spacing w:val="3"/>
                <w:sz w:val="21"/>
                <w:szCs w:val="21"/>
              </w:rPr>
              <w:t>.042</w:t>
            </w:r>
          </w:p>
        </w:tc>
        <w:tc>
          <w:tcPr>
            <w:tcW w:w="973"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18"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3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val="en-US" w:eastAsia="zh-CN"/>
              </w:rPr>
              <w:t>18.17</w:t>
            </w:r>
          </w:p>
        </w:tc>
        <w:tc>
          <w:tcPr>
            <w:tcW w:w="1031" w:type="dxa"/>
            <w:tcBorders>
              <w:tl2br w:val="nil"/>
              <w:tr2bl w:val="nil"/>
            </w:tcBorders>
            <w:vAlign w:val="center"/>
          </w:tcPr>
          <w:p>
            <w:pPr>
              <w:widowControl/>
              <w:spacing w:line="240" w:lineRule="atLeast"/>
              <w:jc w:val="center"/>
              <w:textAlignment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kern w:val="0"/>
                <w:sz w:val="21"/>
                <w:szCs w:val="21"/>
                <w:lang w:val="en-US" w:eastAsia="zh-CN"/>
              </w:rPr>
              <w:t>51</w:t>
            </w:r>
          </w:p>
        </w:tc>
        <w:tc>
          <w:tcPr>
            <w:tcW w:w="1127"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cs="Times New Roman"/>
                <w:color w:val="auto"/>
                <w:kern w:val="0"/>
                <w:sz w:val="21"/>
                <w:szCs w:val="21"/>
              </w:rPr>
              <w:t>449</w:t>
            </w:r>
          </w:p>
        </w:tc>
      </w:tr>
    </w:tbl>
    <w:p>
      <w:pPr>
        <w:spacing w:before="75" w:afterLines="31" w:line="220" w:lineRule="auto"/>
        <w:rPr>
          <w:rFonts w:ascii="Times New Roman" w:hAnsi="Times New Roman" w:eastAsia="仿宋_GB2312" w:cs="Times New Roman"/>
          <w:b/>
          <w:color w:val="auto"/>
          <w:szCs w:val="24"/>
        </w:rPr>
      </w:pPr>
    </w:p>
    <w:p>
      <w:pPr>
        <w:spacing w:before="75" w:afterLines="31" w:line="220" w:lineRule="auto"/>
        <w:ind w:left="4124" w:hanging="70"/>
        <w:rPr>
          <w:rFonts w:ascii="仿宋" w:hAnsi="仿宋" w:eastAsia="仿宋" w:cs="仿宋"/>
          <w:color w:val="auto"/>
          <w:sz w:val="23"/>
          <w:szCs w:val="23"/>
        </w:rPr>
      </w:pPr>
      <w:r>
        <w:rPr>
          <w:rFonts w:ascii="Times New Roman" w:hAnsi="Times New Roman" w:eastAsia="仿宋_GB2312" w:cs="Times New Roman"/>
          <w:b/>
          <w:color w:val="auto"/>
          <w:szCs w:val="24"/>
        </w:rPr>
        <w:t>表4.3-</w:t>
      </w:r>
      <w:r>
        <w:rPr>
          <w:rFonts w:hint="eastAsia" w:ascii="Times New Roman" w:hAnsi="Times New Roman" w:eastAsia="仿宋_GB2312" w:cs="Times New Roman"/>
          <w:b/>
          <w:color w:val="auto"/>
          <w:szCs w:val="24"/>
        </w:rPr>
        <w:t>5</w:t>
      </w:r>
      <w:r>
        <w:rPr>
          <w:rFonts w:ascii="Times New Roman" w:hAnsi="Times New Roman" w:eastAsia="仿宋_GB2312" w:cs="Times New Roman"/>
          <w:b/>
          <w:color w:val="auto"/>
          <w:szCs w:val="24"/>
        </w:rPr>
        <w:t>：临时堆土区地表翻扰后土壤侵蚀模数计算表</w:t>
      </w:r>
    </w:p>
    <w:tbl>
      <w:tblPr>
        <w:tblStyle w:val="183"/>
        <w:tblW w:w="501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49"/>
        <w:gridCol w:w="983"/>
        <w:gridCol w:w="1916"/>
        <w:gridCol w:w="1877"/>
        <w:gridCol w:w="1340"/>
        <w:gridCol w:w="1618"/>
        <w:gridCol w:w="1618"/>
        <w:gridCol w:w="1399"/>
        <w:gridCol w:w="1316"/>
        <w:gridCol w:w="132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117" w:hRule="atLeast"/>
        </w:trPr>
        <w:tc>
          <w:tcPr>
            <w:tcW w:w="231" w:type="pct"/>
            <w:tcBorders>
              <w:tl2br w:val="nil"/>
              <w:tr2bl w:val="nil"/>
            </w:tcBorders>
            <w:vAlign w:val="center"/>
          </w:tcPr>
          <w:p>
            <w:pPr>
              <w:spacing w:line="240" w:lineRule="atLeast"/>
              <w:jc w:val="center"/>
              <w:rPr>
                <w:rFonts w:ascii="Times New Roman" w:hAnsi="Times New Roman" w:eastAsia="仿宋_GB2312" w:cs="Times New Roman"/>
                <w:color w:val="auto"/>
                <w:spacing w:val="38"/>
                <w:position w:val="2"/>
                <w:sz w:val="21"/>
                <w:szCs w:val="21"/>
              </w:rPr>
            </w:pPr>
            <w:r>
              <w:rPr>
                <w:rFonts w:ascii="Times New Roman" w:hAnsi="Times New Roman" w:eastAsia="仿宋_GB2312" w:cs="Times New Roman"/>
                <w:color w:val="auto"/>
                <w:spacing w:val="38"/>
                <w:position w:val="2"/>
                <w:sz w:val="21"/>
                <w:szCs w:val="21"/>
              </w:rPr>
              <w:t>序号</w:t>
            </w:r>
          </w:p>
        </w:tc>
        <w:tc>
          <w:tcPr>
            <w:tcW w:w="350" w:type="pct"/>
            <w:tcBorders>
              <w:tl2br w:val="nil"/>
              <w:tr2bl w:val="nil"/>
            </w:tcBorders>
            <w:vAlign w:val="center"/>
          </w:tcPr>
          <w:p>
            <w:pPr>
              <w:spacing w:line="240" w:lineRule="atLeast"/>
              <w:jc w:val="center"/>
              <w:rPr>
                <w:rFonts w:ascii="Times New Roman" w:hAnsi="Times New Roman" w:eastAsia="仿宋_GB2312" w:cs="Times New Roman"/>
                <w:color w:val="auto"/>
                <w:spacing w:val="38"/>
                <w:position w:val="2"/>
                <w:sz w:val="21"/>
                <w:szCs w:val="21"/>
              </w:rPr>
            </w:pPr>
            <w:r>
              <w:rPr>
                <w:rFonts w:ascii="Times New Roman" w:hAnsi="Times New Roman" w:eastAsia="仿宋_GB2312" w:cs="Times New Roman"/>
                <w:color w:val="auto"/>
                <w:spacing w:val="6"/>
                <w:sz w:val="21"/>
                <w:szCs w:val="21"/>
              </w:rPr>
              <w:t>预</w:t>
            </w:r>
            <w:r>
              <w:rPr>
                <w:rFonts w:ascii="Times New Roman" w:hAnsi="Times New Roman" w:eastAsia="仿宋_GB2312" w:cs="Times New Roman"/>
                <w:color w:val="auto"/>
                <w:spacing w:val="5"/>
                <w:sz w:val="21"/>
                <w:szCs w:val="21"/>
              </w:rPr>
              <w:t>测时段</w:t>
            </w:r>
          </w:p>
        </w:tc>
        <w:tc>
          <w:tcPr>
            <w:tcW w:w="682" w:type="pct"/>
            <w:tcBorders>
              <w:tl2br w:val="nil"/>
              <w:tr2bl w:val="nil"/>
            </w:tcBorders>
            <w:vAlign w:val="center"/>
          </w:tcPr>
          <w:p>
            <w:pPr>
              <w:spacing w:line="240" w:lineRule="atLeast"/>
              <w:jc w:val="center"/>
              <w:rPr>
                <w:rFonts w:ascii="Times New Roman" w:hAnsi="Times New Roman" w:eastAsia="仿宋_GB2312" w:cs="Times New Roman"/>
                <w:color w:val="auto"/>
                <w:spacing w:val="38"/>
                <w:position w:val="2"/>
                <w:sz w:val="21"/>
                <w:szCs w:val="21"/>
              </w:rPr>
            </w:pPr>
            <w:r>
              <w:rPr>
                <w:rFonts w:ascii="Times New Roman" w:hAnsi="Times New Roman" w:eastAsia="仿宋_GB2312" w:cs="Times New Roman"/>
                <w:color w:val="auto"/>
                <w:spacing w:val="6"/>
                <w:sz w:val="21"/>
                <w:szCs w:val="21"/>
              </w:rPr>
              <w:t>预</w:t>
            </w:r>
            <w:r>
              <w:rPr>
                <w:rFonts w:ascii="Times New Roman" w:hAnsi="Times New Roman" w:eastAsia="仿宋_GB2312" w:cs="Times New Roman"/>
                <w:color w:val="auto"/>
                <w:spacing w:val="5"/>
                <w:sz w:val="21"/>
                <w:szCs w:val="21"/>
              </w:rPr>
              <w:t>测单元</w:t>
            </w:r>
          </w:p>
        </w:tc>
        <w:tc>
          <w:tcPr>
            <w:tcW w:w="668" w:type="pct"/>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b/>
                <w:color w:val="auto"/>
                <w:kern w:val="0"/>
                <w:sz w:val="21"/>
                <w:szCs w:val="21"/>
              </w:rPr>
              <w:t>X</w:t>
            </w:r>
          </w:p>
        </w:tc>
        <w:tc>
          <w:tcPr>
            <w:tcW w:w="477" w:type="pct"/>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b/>
                <w:color w:val="auto"/>
                <w:kern w:val="0"/>
                <w:sz w:val="21"/>
                <w:szCs w:val="21"/>
              </w:rPr>
              <w:t>R</w:t>
            </w:r>
          </w:p>
        </w:tc>
        <w:tc>
          <w:tcPr>
            <w:tcW w:w="576" w:type="pct"/>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1"/>
                <w:sz w:val="21"/>
                <w:szCs w:val="21"/>
              </w:rPr>
              <w:t>G</w:t>
            </w:r>
            <w:r>
              <w:rPr>
                <w:rFonts w:ascii="Times New Roman" w:hAnsi="Times New Roman" w:eastAsia="仿宋_GB2312" w:cs="Times New Roman"/>
                <w:color w:val="auto"/>
                <w:spacing w:val="-1"/>
                <w:sz w:val="21"/>
                <w:szCs w:val="21"/>
                <w:vertAlign w:val="subscript"/>
              </w:rPr>
              <w:t>dw</w:t>
            </w:r>
          </w:p>
        </w:tc>
        <w:tc>
          <w:tcPr>
            <w:tcW w:w="576" w:type="pct"/>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1"/>
                <w:sz w:val="21"/>
                <w:szCs w:val="21"/>
              </w:rPr>
              <w:t>S</w:t>
            </w:r>
            <w:r>
              <w:rPr>
                <w:rFonts w:ascii="Times New Roman" w:hAnsi="Times New Roman" w:eastAsia="仿宋_GB2312" w:cs="Times New Roman"/>
                <w:color w:val="auto"/>
                <w:spacing w:val="-1"/>
                <w:sz w:val="21"/>
                <w:szCs w:val="21"/>
                <w:vertAlign w:val="subscript"/>
              </w:rPr>
              <w:t>dw</w:t>
            </w:r>
          </w:p>
        </w:tc>
        <w:tc>
          <w:tcPr>
            <w:tcW w:w="498" w:type="pct"/>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1"/>
                <w:sz w:val="21"/>
                <w:szCs w:val="21"/>
              </w:rPr>
              <w:t>L</w:t>
            </w:r>
            <w:r>
              <w:rPr>
                <w:rFonts w:ascii="Times New Roman" w:hAnsi="Times New Roman" w:eastAsia="仿宋_GB2312" w:cs="Times New Roman"/>
                <w:color w:val="auto"/>
                <w:spacing w:val="-1"/>
                <w:sz w:val="21"/>
                <w:szCs w:val="21"/>
                <w:vertAlign w:val="subscript"/>
              </w:rPr>
              <w:t>dw</w:t>
            </w:r>
          </w:p>
        </w:tc>
        <w:tc>
          <w:tcPr>
            <w:tcW w:w="468"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bCs/>
                <w:color w:val="auto"/>
                <w:sz w:val="21"/>
                <w:szCs w:val="21"/>
              </w:rPr>
            </w:pPr>
            <w:r>
              <w:rPr>
                <w:rFonts w:ascii="Times New Roman" w:hAnsi="Times New Roman" w:eastAsia="仿宋_GB2312" w:cs="Times New Roman"/>
                <w:bCs/>
                <w:color w:val="auto"/>
                <w:kern w:val="0"/>
                <w:sz w:val="21"/>
                <w:szCs w:val="21"/>
              </w:rPr>
              <w:t>年水土流失量</w:t>
            </w:r>
            <w:r>
              <w:rPr>
                <w:rFonts w:ascii="Times New Roman" w:hAnsi="Times New Roman" w:eastAsia="仿宋_GB2312" w:cs="Times New Roman"/>
                <w:color w:val="auto"/>
                <w:spacing w:val="3"/>
                <w:sz w:val="21"/>
                <w:szCs w:val="21"/>
              </w:rPr>
              <w:t>(</w:t>
            </w:r>
            <w:r>
              <w:rPr>
                <w:rFonts w:ascii="Times New Roman" w:hAnsi="Times New Roman" w:eastAsia="仿宋_GB2312" w:cs="Times New Roman"/>
                <w:color w:val="auto"/>
                <w:sz w:val="21"/>
                <w:szCs w:val="21"/>
              </w:rPr>
              <w:t>t</w:t>
            </w:r>
            <w:r>
              <w:rPr>
                <w:rFonts w:ascii="Times New Roman" w:hAnsi="Times New Roman" w:eastAsia="仿宋_GB2312" w:cs="Times New Roman"/>
                <w:color w:val="auto"/>
                <w:spacing w:val="3"/>
                <w:sz w:val="21"/>
                <w:szCs w:val="21"/>
              </w:rPr>
              <w:t>)</w:t>
            </w:r>
          </w:p>
        </w:tc>
        <w:tc>
          <w:tcPr>
            <w:tcW w:w="470"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bCs/>
                <w:color w:val="auto"/>
                <w:sz w:val="21"/>
                <w:szCs w:val="21"/>
              </w:rPr>
            </w:pPr>
            <w:r>
              <w:rPr>
                <w:rFonts w:ascii="Times New Roman" w:hAnsi="Times New Roman" w:eastAsia="仿宋_GB2312" w:cs="Times New Roman"/>
                <w:bCs/>
                <w:color w:val="auto"/>
                <w:sz w:val="21"/>
                <w:szCs w:val="21"/>
              </w:rPr>
              <w:t>土壤侵蚀模数</w:t>
            </w:r>
            <w:r>
              <w:rPr>
                <w:rFonts w:ascii="Times New Roman" w:hAnsi="Times New Roman" w:eastAsia="仿宋_GB2312" w:cs="Times New Roman"/>
                <w:color w:val="auto"/>
                <w:spacing w:val="8"/>
                <w:sz w:val="21"/>
                <w:szCs w:val="21"/>
              </w:rPr>
              <w:t>(</w:t>
            </w:r>
            <w:r>
              <w:rPr>
                <w:rFonts w:ascii="Times New Roman" w:hAnsi="Times New Roman" w:eastAsia="仿宋_GB2312" w:cs="Times New Roman"/>
                <w:color w:val="auto"/>
                <w:sz w:val="21"/>
                <w:szCs w:val="21"/>
              </w:rPr>
              <w:t>t</w:t>
            </w:r>
            <w:r>
              <w:rPr>
                <w:rFonts w:ascii="Times New Roman" w:hAnsi="Times New Roman" w:eastAsia="仿宋_GB2312" w:cs="Times New Roman"/>
                <w:color w:val="auto"/>
                <w:spacing w:val="8"/>
                <w:sz w:val="21"/>
                <w:szCs w:val="21"/>
              </w:rPr>
              <w:t>/</w:t>
            </w:r>
            <w:r>
              <w:rPr>
                <w:rFonts w:ascii="Times New Roman" w:hAnsi="Times New Roman" w:eastAsia="仿宋_GB2312" w:cs="Times New Roman"/>
                <w:color w:val="auto"/>
                <w:sz w:val="21"/>
                <w:szCs w:val="21"/>
              </w:rPr>
              <w:t>km</w:t>
            </w:r>
            <w:r>
              <w:rPr>
                <w:rFonts w:hint="eastAsia" w:ascii="Times New Roman" w:hAnsi="Times New Roman" w:eastAsia="仿宋_GB2312" w:cs="Times New Roman"/>
                <w:color w:val="auto"/>
                <w:sz w:val="21"/>
                <w:szCs w:val="21"/>
                <w:vertAlign w:val="superscript"/>
              </w:rPr>
              <w:t>2</w:t>
            </w:r>
            <w:r>
              <w:rPr>
                <w:rFonts w:ascii="Times New Roman" w:hAnsi="Times New Roman" w:eastAsia="仿宋_GB2312" w:cs="Times New Roman"/>
                <w:color w:val="auto"/>
                <w:spacing w:val="8"/>
                <w:sz w:val="21"/>
                <w:szCs w:val="21"/>
              </w:rPr>
              <w:t>•</w:t>
            </w:r>
            <w:r>
              <w:rPr>
                <w:rFonts w:ascii="Times New Roman" w:hAnsi="Times New Roman" w:eastAsia="仿宋_GB2312" w:cs="Times New Roman"/>
                <w:color w:val="auto"/>
                <w:sz w:val="21"/>
                <w:szCs w:val="21"/>
              </w:rPr>
              <w:t>a</w:t>
            </w:r>
            <w:r>
              <w:rPr>
                <w:rFonts w:ascii="Times New Roman" w:hAnsi="Times New Roman" w:eastAsia="仿宋_GB2312" w:cs="Times New Roman"/>
                <w:color w:val="auto"/>
                <w:spacing w:val="7"/>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231" w:type="pct"/>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350" w:type="pct"/>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施工期</w:t>
            </w:r>
          </w:p>
        </w:tc>
        <w:tc>
          <w:tcPr>
            <w:tcW w:w="682"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临时</w:t>
            </w:r>
            <w:r>
              <w:rPr>
                <w:rFonts w:hint="eastAsia" w:ascii="Times New Roman" w:hAnsi="Times New Roman" w:eastAsia="仿宋_GB2312" w:cs="Times New Roman"/>
                <w:color w:val="auto"/>
                <w:kern w:val="0"/>
                <w:sz w:val="21"/>
                <w:szCs w:val="21"/>
                <w:lang w:eastAsia="zh-CN"/>
              </w:rPr>
              <w:t>堆土场</w:t>
            </w:r>
            <w:r>
              <w:rPr>
                <w:rFonts w:ascii="Times New Roman" w:hAnsi="Times New Roman" w:eastAsia="仿宋_GB2312" w:cs="Times New Roman"/>
                <w:color w:val="auto"/>
                <w:kern w:val="0"/>
                <w:sz w:val="21"/>
                <w:szCs w:val="21"/>
              </w:rPr>
              <w:t>区</w:t>
            </w:r>
          </w:p>
        </w:tc>
        <w:tc>
          <w:tcPr>
            <w:tcW w:w="668"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0.92</w:t>
            </w:r>
          </w:p>
        </w:tc>
        <w:tc>
          <w:tcPr>
            <w:tcW w:w="477"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10821</w:t>
            </w:r>
          </w:p>
        </w:tc>
        <w:tc>
          <w:tcPr>
            <w:tcW w:w="576"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0.038</w:t>
            </w:r>
          </w:p>
        </w:tc>
        <w:tc>
          <w:tcPr>
            <w:tcW w:w="576"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1.23</w:t>
            </w:r>
          </w:p>
        </w:tc>
        <w:tc>
          <w:tcPr>
            <w:tcW w:w="498"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0.69</w:t>
            </w:r>
          </w:p>
        </w:tc>
        <w:tc>
          <w:tcPr>
            <w:tcW w:w="468" w:type="pct"/>
            <w:tcBorders>
              <w:tl2br w:val="nil"/>
              <w:tr2bl w:val="nil"/>
            </w:tcBorders>
            <w:vAlign w:val="center"/>
          </w:tcPr>
          <w:p>
            <w:pPr>
              <w:widowControl/>
              <w:spacing w:line="240" w:lineRule="atLeast"/>
              <w:jc w:val="center"/>
              <w:textAlignment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kern w:val="0"/>
                <w:sz w:val="21"/>
                <w:szCs w:val="21"/>
                <w:lang w:val="en-US" w:eastAsia="zh-CN"/>
              </w:rPr>
              <w:t>605</w:t>
            </w:r>
          </w:p>
        </w:tc>
        <w:tc>
          <w:tcPr>
            <w:tcW w:w="470" w:type="pct"/>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13</w:t>
            </w:r>
            <w:r>
              <w:rPr>
                <w:rFonts w:hint="eastAsia" w:ascii="Times New Roman" w:hAnsi="Times New Roman" w:eastAsia="仿宋_GB2312" w:cs="Times New Roman"/>
                <w:color w:val="auto"/>
                <w:kern w:val="0"/>
                <w:sz w:val="21"/>
                <w:szCs w:val="21"/>
                <w:lang w:val="en-US" w:eastAsia="zh-CN"/>
              </w:rPr>
              <w:t>5</w:t>
            </w:r>
            <w:r>
              <w:rPr>
                <w:rFonts w:ascii="Times New Roman" w:hAnsi="Times New Roman" w:eastAsia="仿宋_GB2312" w:cs="Times New Roman"/>
                <w:color w:val="auto"/>
                <w:kern w:val="0"/>
                <w:sz w:val="21"/>
                <w:szCs w:val="21"/>
              </w:rPr>
              <w:t>54</w:t>
            </w:r>
          </w:p>
        </w:tc>
      </w:tr>
    </w:tbl>
    <w:p>
      <w:pPr>
        <w:snapToGrid w:val="0"/>
        <w:spacing w:line="360" w:lineRule="auto"/>
        <w:rPr>
          <w:rFonts w:ascii="Times New Roman" w:hAnsi="Times New Roman" w:eastAsia="仿宋_GB2312" w:cs="Times New Roman"/>
          <w:color w:val="auto"/>
          <w:szCs w:val="24"/>
        </w:rPr>
      </w:pPr>
    </w:p>
    <w:p>
      <w:pPr>
        <w:snapToGrid w:val="0"/>
        <w:spacing w:line="360" w:lineRule="auto"/>
        <w:ind w:firstLine="720" w:firstLineChars="300"/>
        <w:rPr>
          <w:rFonts w:ascii="Times New Roman" w:hAnsi="Times New Roman" w:eastAsia="仿宋_GB2312" w:cs="Times New Roman"/>
          <w:color w:val="auto"/>
          <w:szCs w:val="24"/>
        </w:rPr>
        <w:sectPr>
          <w:headerReference r:id="rId26" w:type="default"/>
          <w:footerReference r:id="rId27" w:type="default"/>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32" w:charSpace="0"/>
        </w:sectPr>
      </w:pPr>
    </w:p>
    <w:p>
      <w:pPr>
        <w:pStyle w:val="6"/>
        <w:rPr>
          <w:rFonts w:eastAsia="仿宋_GB2312"/>
          <w:bCs w:val="0"/>
          <w:color w:val="auto"/>
        </w:rPr>
      </w:pPr>
      <w:r>
        <w:rPr>
          <w:bCs w:val="0"/>
          <w:color w:val="auto"/>
        </w:rPr>
        <w:t>4.3.4</w:t>
      </w:r>
      <w:r>
        <w:rPr>
          <w:rFonts w:eastAsia="仿宋_GB2312"/>
          <w:bCs w:val="0"/>
          <w:color w:val="auto"/>
        </w:rPr>
        <w:t>预测结果</w:t>
      </w:r>
    </w:p>
    <w:p>
      <w:pPr>
        <w:pStyle w:val="7"/>
        <w:spacing w:line="360" w:lineRule="auto"/>
        <w:rPr>
          <w:rFonts w:eastAsia="仿宋_GB2312"/>
          <w:color w:val="auto"/>
          <w:sz w:val="28"/>
          <w:szCs w:val="28"/>
        </w:rPr>
      </w:pPr>
      <w:r>
        <w:rPr>
          <w:rFonts w:eastAsia="仿宋_GB2312"/>
          <w:color w:val="auto"/>
          <w:sz w:val="28"/>
          <w:szCs w:val="28"/>
        </w:rPr>
        <w:t>4.3.4.1土壤流失量预测方法</w:t>
      </w:r>
    </w:p>
    <w:p>
      <w:pPr>
        <w:snapToGrid w:val="0"/>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rPr>
        <w:t>土壤流失量预测按下式计算</w:t>
      </w:r>
      <w:r>
        <w:rPr>
          <w:rFonts w:hint="eastAsia" w:ascii="Times New Roman" w:hAnsi="Times New Roman" w:eastAsia="仿宋_GB2312" w:cs="Times New Roman"/>
          <w:color w:val="auto"/>
        </w:rPr>
        <w:t>，</w:t>
      </w:r>
      <w:r>
        <w:rPr>
          <w:rFonts w:ascii="Times New Roman" w:hAnsi="Times New Roman" w:eastAsia="仿宋_GB2312" w:cs="Times New Roman"/>
          <w:color w:val="auto"/>
        </w:rPr>
        <w:t>当预测单元土壤侵蚀强度恢复到原地貌土壤侵蚀模数容许量以下时，不再计算。</w:t>
      </w:r>
    </w:p>
    <w:p>
      <w:pPr>
        <w:snapToGrid w:val="0"/>
        <w:spacing w:line="360" w:lineRule="auto"/>
        <w:ind w:firstLine="960" w:firstLineChars="400"/>
        <w:jc w:val="center"/>
        <w:rPr>
          <w:rFonts w:ascii="Times New Roman" w:hAnsi="Times New Roman" w:eastAsia="仿宋_GB2312" w:cs="Times New Roman"/>
          <w:color w:val="auto"/>
        </w:rPr>
      </w:pPr>
      <w:r>
        <w:rPr>
          <w:rFonts w:ascii="Times New Roman" w:hAnsi="Times New Roman" w:eastAsia="仿宋_GB2312" w:cs="Times New Roman"/>
          <w:color w:val="auto"/>
          <w:position w:val="-30"/>
        </w:rPr>
        <w:object>
          <v:shape id="_x0000_i1026" o:spt="75" type="#_x0000_t75" style="height:34.45pt;width:133.3pt;" o:ole="t" filled="f" o:preferrelative="t" stroked="f" coordsize="21600,21600">
            <v:path/>
            <v:fill on="f" focussize="0,0"/>
            <v:stroke on="f" joinstyle="miter"/>
            <v:imagedata r:id="rId91" o:title=""/>
            <o:lock v:ext="edit" aspectratio="t"/>
            <w10:wrap type="none"/>
            <w10:anchorlock/>
          </v:shape>
          <o:OLEObject Type="Embed" ProgID="Equation.3" ShapeID="_x0000_i1026" DrawAspect="Content" ObjectID="_1468075726" r:id="rId90">
            <o:LockedField>false</o:LockedField>
          </o:OLEObject>
        </w:object>
      </w:r>
    </w:p>
    <w:p>
      <w:pPr>
        <w:snapToGrid w:val="0"/>
        <w:spacing w:line="360" w:lineRule="auto"/>
        <w:ind w:firstLine="960" w:firstLineChars="400"/>
        <w:jc w:val="center"/>
        <w:rPr>
          <w:rFonts w:ascii="Times New Roman" w:hAnsi="Times New Roman" w:eastAsia="仿宋_GB2312" w:cs="Times New Roman"/>
          <w:color w:val="auto"/>
        </w:rPr>
      </w:pPr>
      <w:r>
        <w:rPr>
          <w:rFonts w:ascii="Times New Roman" w:hAnsi="Times New Roman" w:eastAsia="仿宋_GB2312" w:cs="Times New Roman"/>
          <w:color w:val="auto"/>
          <w:position w:val="-30"/>
        </w:rPr>
        <w:object>
          <v:shape id="_x0000_i1027" o:spt="75" type="#_x0000_t75" style="height:29.85pt;width:136.35pt;" o:ole="t" filled="f" o:preferrelative="t" stroked="f" coordsize="21600,21600">
            <v:path/>
            <v:fill on="f" focussize="0,0"/>
            <v:stroke on="f" joinstyle="miter"/>
            <v:imagedata r:id="rId93" o:title=""/>
            <o:lock v:ext="edit" aspectratio="t"/>
            <w10:wrap type="none"/>
            <w10:anchorlock/>
          </v:shape>
          <o:OLEObject Type="Embed" ProgID="Equation.3" ShapeID="_x0000_i1027" DrawAspect="Content" ObjectID="_1468075727" r:id="rId92">
            <o:LockedField>false</o:LockedField>
          </o:OLEObject>
        </w:object>
      </w:r>
    </w:p>
    <w:p>
      <w:pPr>
        <w:snapToGrid w:val="0"/>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rPr>
        <w:t>式中：</w:t>
      </w:r>
      <w:r>
        <w:rPr>
          <w:rFonts w:ascii="Times New Roman" w:hAnsi="Times New Roman" w:eastAsia="仿宋_GB2312" w:cs="Times New Roman"/>
          <w:i/>
          <w:color w:val="auto"/>
        </w:rPr>
        <w:t>W</w:t>
      </w:r>
      <w:r>
        <w:rPr>
          <w:rFonts w:ascii="Times New Roman" w:hAnsi="Times New Roman" w:eastAsia="仿宋_GB2312" w:cs="Times New Roman"/>
          <w:color w:val="auto"/>
        </w:rPr>
        <w:t>—土壤流失量，t</w:t>
      </w:r>
    </w:p>
    <w:p>
      <w:pPr>
        <w:snapToGrid w:val="0"/>
        <w:spacing w:line="360" w:lineRule="auto"/>
        <w:ind w:left="720" w:leftChars="300" w:firstLine="480" w:firstLineChars="200"/>
        <w:rPr>
          <w:rFonts w:ascii="Times New Roman" w:hAnsi="Times New Roman" w:eastAsia="仿宋_GB2312" w:cs="Times New Roman"/>
          <w:color w:val="auto"/>
        </w:rPr>
      </w:pPr>
      <w:r>
        <w:rPr>
          <w:rFonts w:ascii="Cambria Math" w:hAnsi="Cambria Math" w:eastAsia="仿宋_GB2312" w:cs="Cambria Math"/>
          <w:color w:val="auto"/>
        </w:rPr>
        <w:t>△</w:t>
      </w:r>
      <w:r>
        <w:rPr>
          <w:rFonts w:ascii="Times New Roman" w:hAnsi="Times New Roman" w:eastAsia="仿宋_GB2312" w:cs="Times New Roman"/>
          <w:i/>
          <w:color w:val="auto"/>
        </w:rPr>
        <w:t>W</w:t>
      </w:r>
      <w:r>
        <w:rPr>
          <w:rFonts w:ascii="Times New Roman" w:hAnsi="Times New Roman" w:eastAsia="仿宋_GB2312" w:cs="Times New Roman"/>
          <w:color w:val="auto"/>
        </w:rPr>
        <w:t>—新增土壤流失量，t；</w:t>
      </w:r>
    </w:p>
    <w:p>
      <w:pPr>
        <w:snapToGrid w:val="0"/>
        <w:spacing w:line="360" w:lineRule="auto"/>
        <w:ind w:left="720" w:leftChars="300" w:firstLine="480" w:firstLineChars="200"/>
        <w:rPr>
          <w:rFonts w:ascii="Times New Roman" w:hAnsi="Times New Roman" w:eastAsia="仿宋_GB2312" w:cs="Times New Roman"/>
          <w:color w:val="auto"/>
        </w:rPr>
      </w:pPr>
      <w:r>
        <w:rPr>
          <w:rFonts w:ascii="Times New Roman" w:hAnsi="Times New Roman" w:eastAsia="仿宋_GB2312" w:cs="Times New Roman"/>
          <w:i/>
          <w:color w:val="auto"/>
        </w:rPr>
        <w:t>F</w:t>
      </w:r>
      <w:r>
        <w:rPr>
          <w:rFonts w:ascii="Times New Roman" w:hAnsi="Times New Roman" w:eastAsia="仿宋_GB2312" w:cs="Times New Roman"/>
          <w:i/>
          <w:color w:val="auto"/>
          <w:vertAlign w:val="subscript"/>
        </w:rPr>
        <w:t>μ</w:t>
      </w:r>
      <w:r>
        <w:rPr>
          <w:rFonts w:ascii="Times New Roman" w:hAnsi="Times New Roman" w:eastAsia="仿宋_GB2312" w:cs="Times New Roman"/>
          <w:color w:val="auto"/>
        </w:rPr>
        <w:t>—某时段某单元的预测面积，km</w:t>
      </w:r>
      <w:r>
        <w:rPr>
          <w:rFonts w:ascii="Times New Roman" w:hAnsi="Times New Roman" w:eastAsia="仿宋_GB2312" w:cs="Times New Roman"/>
          <w:color w:val="auto"/>
          <w:vertAlign w:val="superscript"/>
        </w:rPr>
        <w:t>2</w:t>
      </w:r>
      <w:r>
        <w:rPr>
          <w:rFonts w:ascii="Times New Roman" w:hAnsi="Times New Roman" w:eastAsia="仿宋_GB2312" w:cs="Times New Roman"/>
          <w:color w:val="auto"/>
        </w:rPr>
        <w:t>；</w:t>
      </w:r>
    </w:p>
    <w:p>
      <w:pPr>
        <w:snapToGrid w:val="0"/>
        <w:spacing w:line="360" w:lineRule="auto"/>
        <w:ind w:left="720" w:leftChars="300" w:firstLine="480" w:firstLineChars="200"/>
        <w:rPr>
          <w:rFonts w:ascii="Times New Roman" w:hAnsi="Times New Roman" w:eastAsia="仿宋_GB2312" w:cs="Times New Roman"/>
          <w:color w:val="auto"/>
        </w:rPr>
      </w:pPr>
      <w:r>
        <w:rPr>
          <w:rFonts w:ascii="Times New Roman" w:hAnsi="Times New Roman" w:eastAsia="仿宋_GB2312" w:cs="Times New Roman"/>
          <w:i/>
          <w:color w:val="auto"/>
        </w:rPr>
        <w:t>M</w:t>
      </w:r>
      <w:r>
        <w:rPr>
          <w:rFonts w:ascii="Times New Roman" w:hAnsi="Times New Roman" w:eastAsia="仿宋_GB2312" w:cs="Times New Roman"/>
          <w:i/>
          <w:color w:val="auto"/>
          <w:vertAlign w:val="subscript"/>
        </w:rPr>
        <w:t>μ</w:t>
      </w:r>
      <w:r>
        <w:rPr>
          <w:rFonts w:ascii="Times New Roman" w:hAnsi="Times New Roman" w:eastAsia="仿宋_GB2312" w:cs="Times New Roman"/>
          <w:color w:val="auto"/>
        </w:rPr>
        <w:t>—某时段某单元的土壤侵蚀模数，t/km</w:t>
      </w:r>
      <w:r>
        <w:rPr>
          <w:rFonts w:ascii="Times New Roman" w:hAnsi="Times New Roman" w:eastAsia="仿宋_GB2312" w:cs="Times New Roman"/>
          <w:color w:val="auto"/>
          <w:vertAlign w:val="superscript"/>
        </w:rPr>
        <w:t>2</w:t>
      </w:r>
      <w:r>
        <w:rPr>
          <w:rFonts w:ascii="Times New Roman" w:hAnsi="Times New Roman" w:eastAsia="仿宋_GB2312" w:cs="Times New Roman"/>
          <w:color w:val="auto"/>
        </w:rPr>
        <w:t>·a；</w:t>
      </w:r>
    </w:p>
    <w:p>
      <w:pPr>
        <w:snapToGrid w:val="0"/>
        <w:spacing w:line="360" w:lineRule="auto"/>
        <w:ind w:left="720" w:leftChars="300" w:firstLine="480" w:firstLineChars="200"/>
        <w:rPr>
          <w:rFonts w:ascii="Times New Roman" w:hAnsi="Times New Roman" w:eastAsia="仿宋_GB2312" w:cs="Times New Roman"/>
          <w:color w:val="auto"/>
        </w:rPr>
      </w:pPr>
      <w:r>
        <w:rPr>
          <w:rFonts w:ascii="Cambria Math" w:hAnsi="Cambria Math" w:eastAsia="仿宋_GB2312" w:cs="Cambria Math"/>
          <w:color w:val="auto"/>
        </w:rPr>
        <w:t>△</w:t>
      </w:r>
      <w:r>
        <w:rPr>
          <w:rFonts w:ascii="Times New Roman" w:hAnsi="Times New Roman" w:eastAsia="仿宋_GB2312" w:cs="Times New Roman"/>
          <w:i/>
          <w:color w:val="auto"/>
        </w:rPr>
        <w:t>M</w:t>
      </w:r>
      <w:r>
        <w:rPr>
          <w:rFonts w:ascii="Times New Roman" w:hAnsi="Times New Roman" w:eastAsia="仿宋_GB2312" w:cs="Times New Roman"/>
          <w:i/>
          <w:color w:val="auto"/>
          <w:vertAlign w:val="subscript"/>
        </w:rPr>
        <w:t>μ</w:t>
      </w:r>
      <w:r>
        <w:rPr>
          <w:rFonts w:ascii="Times New Roman" w:hAnsi="Times New Roman" w:eastAsia="仿宋_GB2312" w:cs="Times New Roman"/>
          <w:color w:val="auto"/>
        </w:rPr>
        <w:t>—某时段某单元的新增土壤侵蚀模数，t/km</w:t>
      </w:r>
      <w:r>
        <w:rPr>
          <w:rFonts w:ascii="Times New Roman" w:hAnsi="Times New Roman" w:eastAsia="仿宋_GB2312" w:cs="Times New Roman"/>
          <w:color w:val="auto"/>
          <w:vertAlign w:val="superscript"/>
        </w:rPr>
        <w:t>2</w:t>
      </w:r>
      <w:r>
        <w:rPr>
          <w:rFonts w:ascii="Times New Roman" w:hAnsi="Times New Roman" w:eastAsia="仿宋_GB2312" w:cs="Times New Roman"/>
          <w:color w:val="auto"/>
        </w:rPr>
        <w:t>·a；</w:t>
      </w:r>
    </w:p>
    <w:p>
      <w:pPr>
        <w:snapToGrid w:val="0"/>
        <w:spacing w:line="360" w:lineRule="auto"/>
        <w:ind w:left="720" w:leftChars="300" w:firstLine="480" w:firstLineChars="200"/>
        <w:rPr>
          <w:rFonts w:ascii="Times New Roman" w:hAnsi="Times New Roman" w:eastAsia="仿宋_GB2312" w:cs="Times New Roman"/>
          <w:color w:val="auto"/>
        </w:rPr>
      </w:pPr>
      <w:r>
        <w:rPr>
          <w:rFonts w:ascii="Times New Roman" w:hAnsi="Times New Roman" w:eastAsia="仿宋_GB2312" w:cs="Times New Roman"/>
          <w:i/>
          <w:color w:val="auto"/>
        </w:rPr>
        <w:t>T</w:t>
      </w:r>
      <w:r>
        <w:rPr>
          <w:rFonts w:ascii="Times New Roman" w:hAnsi="Times New Roman" w:eastAsia="仿宋_GB2312" w:cs="Times New Roman"/>
          <w:i/>
          <w:color w:val="auto"/>
          <w:vertAlign w:val="subscript"/>
        </w:rPr>
        <w:t>μ</w:t>
      </w:r>
      <w:r>
        <w:rPr>
          <w:rFonts w:ascii="Times New Roman" w:hAnsi="Times New Roman" w:eastAsia="仿宋_GB2312" w:cs="Times New Roman"/>
          <w:color w:val="auto"/>
        </w:rPr>
        <w:t>—某时段某单元的预测时间，a；</w:t>
      </w:r>
    </w:p>
    <w:p>
      <w:pPr>
        <w:snapToGrid w:val="0"/>
        <w:spacing w:line="360" w:lineRule="auto"/>
        <w:ind w:left="720" w:leftChars="300" w:firstLine="480" w:firstLineChars="200"/>
        <w:rPr>
          <w:rFonts w:ascii="Times New Roman" w:hAnsi="Times New Roman" w:eastAsia="仿宋_GB2312" w:cs="Times New Roman"/>
          <w:color w:val="auto"/>
        </w:rPr>
      </w:pPr>
      <w:r>
        <w:rPr>
          <w:rFonts w:ascii="Times New Roman" w:hAnsi="Times New Roman" w:eastAsia="仿宋_GB2312" w:cs="Times New Roman"/>
          <w:i/>
          <w:color w:val="auto"/>
        </w:rPr>
        <w:t>i</w:t>
      </w:r>
      <w:r>
        <w:rPr>
          <w:rFonts w:ascii="Times New Roman" w:hAnsi="Times New Roman" w:eastAsia="仿宋_GB2312" w:cs="Times New Roman"/>
          <w:color w:val="auto"/>
        </w:rPr>
        <w:t>—预测单元，i=1、2……、n；</w:t>
      </w:r>
    </w:p>
    <w:p>
      <w:pPr>
        <w:snapToGrid w:val="0"/>
        <w:spacing w:line="360" w:lineRule="auto"/>
        <w:ind w:left="720" w:leftChars="300" w:firstLine="480" w:firstLineChars="200"/>
        <w:rPr>
          <w:rFonts w:ascii="Times New Roman" w:hAnsi="Times New Roman" w:eastAsia="仿宋_GB2312" w:cs="Times New Roman"/>
          <w:color w:val="auto"/>
        </w:rPr>
      </w:pPr>
      <w:r>
        <w:rPr>
          <w:rFonts w:ascii="Times New Roman" w:hAnsi="Times New Roman" w:eastAsia="仿宋_GB2312" w:cs="Times New Roman"/>
          <w:i/>
          <w:color w:val="auto"/>
        </w:rPr>
        <w:t>j</w:t>
      </w:r>
      <w:r>
        <w:rPr>
          <w:rFonts w:ascii="Times New Roman" w:hAnsi="Times New Roman" w:eastAsia="仿宋_GB2312" w:cs="Times New Roman"/>
          <w:color w:val="auto"/>
        </w:rPr>
        <w:t>—预测时段，j=1、2，指施工期和自然恢复期等。</w:t>
      </w:r>
    </w:p>
    <w:p>
      <w:pPr>
        <w:pStyle w:val="7"/>
        <w:snapToGrid w:val="0"/>
        <w:spacing w:line="360" w:lineRule="auto"/>
        <w:rPr>
          <w:rFonts w:eastAsia="仿宋_GB2312"/>
          <w:color w:val="auto"/>
          <w:sz w:val="28"/>
          <w:szCs w:val="28"/>
        </w:rPr>
      </w:pPr>
      <w:r>
        <w:rPr>
          <w:color w:val="auto"/>
          <w:sz w:val="28"/>
          <w:szCs w:val="28"/>
        </w:rPr>
        <w:t>4.3.4.2</w:t>
      </w:r>
      <w:r>
        <w:rPr>
          <w:rFonts w:eastAsia="仿宋_GB2312"/>
          <w:color w:val="auto"/>
          <w:sz w:val="28"/>
          <w:szCs w:val="28"/>
        </w:rPr>
        <w:t>水土流失量的估算及预测</w:t>
      </w:r>
    </w:p>
    <w:p>
      <w:pPr>
        <w:snapToGrid w:val="0"/>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snapToGrid w:val="0"/>
          <w:color w:val="auto"/>
          <w:szCs w:val="24"/>
        </w:rPr>
        <w:t>本项目建设过程中造成的水土流失量主要由两部分组成，一是因项目建设扰动原地貌、损坏土地和植被，造成现有水土保持功能降低甚至丧失，导致土壤侵蚀加剧而增加的水土流失量；二是裸露地表造成的水土流失。在不采取任何水土保持措施情况下，产生新增的水土流失量，新增的水土流失量以水力侵蚀为主。可能造成的水土流失量预测表及水土流失量详见表4.3-6，表4.3-7。</w:t>
      </w:r>
    </w:p>
    <w:p>
      <w:pPr>
        <w:snapToGrid w:val="0"/>
        <w:spacing w:line="360" w:lineRule="auto"/>
        <w:ind w:firstLine="560"/>
        <w:rPr>
          <w:rFonts w:ascii="Times New Roman" w:hAnsi="Times New Roman" w:eastAsia="仿宋_GB2312" w:cs="Times New Roman"/>
          <w:color w:val="auto"/>
        </w:rPr>
      </w:pPr>
    </w:p>
    <w:p>
      <w:pPr>
        <w:snapToGrid w:val="0"/>
        <w:spacing w:line="360" w:lineRule="auto"/>
        <w:ind w:firstLine="560"/>
        <w:rPr>
          <w:rFonts w:ascii="Times New Roman" w:hAnsi="Times New Roman" w:eastAsia="仿宋_GB2312" w:cs="Times New Roman"/>
          <w:color w:val="auto"/>
        </w:rPr>
      </w:pPr>
    </w:p>
    <w:p>
      <w:pPr>
        <w:snapToGrid w:val="0"/>
        <w:spacing w:line="360" w:lineRule="auto"/>
        <w:ind w:firstLine="560"/>
        <w:rPr>
          <w:rFonts w:ascii="Times New Roman" w:hAnsi="Times New Roman" w:eastAsia="仿宋_GB2312" w:cs="Times New Roman"/>
          <w:color w:val="auto"/>
        </w:rPr>
        <w:sectPr>
          <w:headerReference r:id="rId28" w:type="default"/>
          <w:footerReference r:id="rId29" w:type="default"/>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32" w:charSpace="0"/>
        </w:sectPr>
      </w:pPr>
    </w:p>
    <w:p>
      <w:pPr>
        <w:spacing w:line="360" w:lineRule="auto"/>
        <w:ind w:firstLine="482" w:firstLineChars="200"/>
        <w:jc w:val="center"/>
        <w:rPr>
          <w:rFonts w:ascii="Times New Roman" w:hAnsi="Times New Roman" w:eastAsia="仿宋_GB2312" w:cs="Times New Roman"/>
          <w:b/>
          <w:color w:val="auto"/>
          <w:szCs w:val="24"/>
        </w:rPr>
      </w:pPr>
      <w:r>
        <w:rPr>
          <w:rFonts w:ascii="Times New Roman" w:hAnsi="Times New Roman" w:eastAsia="仿宋_GB2312" w:cs="Times New Roman"/>
          <w:b/>
          <w:color w:val="auto"/>
          <w:szCs w:val="24"/>
        </w:rPr>
        <w:t>表4</w:t>
      </w:r>
      <w:r>
        <w:rPr>
          <w:rFonts w:hint="eastAsia" w:ascii="Times New Roman" w:hAnsi="Times New Roman" w:eastAsia="仿宋_GB2312" w:cs="Times New Roman"/>
          <w:b/>
          <w:color w:val="auto"/>
          <w:szCs w:val="24"/>
        </w:rPr>
        <w:t>.</w:t>
      </w:r>
      <w:r>
        <w:rPr>
          <w:rFonts w:ascii="Times New Roman" w:hAnsi="Times New Roman" w:eastAsia="仿宋_GB2312" w:cs="Times New Roman"/>
          <w:b/>
          <w:color w:val="auto"/>
          <w:szCs w:val="24"/>
        </w:rPr>
        <w:t>3-</w:t>
      </w:r>
      <w:r>
        <w:rPr>
          <w:rFonts w:hint="eastAsia" w:ascii="Times New Roman" w:hAnsi="Times New Roman" w:eastAsia="仿宋_GB2312" w:cs="Times New Roman"/>
          <w:b/>
          <w:color w:val="auto"/>
          <w:szCs w:val="24"/>
        </w:rPr>
        <w:t>6：</w:t>
      </w:r>
      <w:r>
        <w:rPr>
          <w:rFonts w:ascii="Times New Roman" w:hAnsi="Times New Roman" w:eastAsia="仿宋_GB2312" w:cs="Times New Roman"/>
          <w:b/>
          <w:color w:val="auto"/>
          <w:szCs w:val="24"/>
        </w:rPr>
        <w:t>可能造成的水土流失量预测表</w:t>
      </w:r>
    </w:p>
    <w:tbl>
      <w:tblPr>
        <w:tblStyle w:val="183"/>
        <w:tblW w:w="13985" w:type="dxa"/>
        <w:tblInd w:w="13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174"/>
        <w:gridCol w:w="2256"/>
        <w:gridCol w:w="1414"/>
        <w:gridCol w:w="1701"/>
        <w:gridCol w:w="1709"/>
        <w:gridCol w:w="1334"/>
        <w:gridCol w:w="1259"/>
        <w:gridCol w:w="1513"/>
        <w:gridCol w:w="162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84" w:hRule="atLeast"/>
        </w:trPr>
        <w:tc>
          <w:tcPr>
            <w:tcW w:w="1174" w:type="dxa"/>
            <w:tcBorders>
              <w:tl2br w:val="nil"/>
              <w:tr2bl w:val="nil"/>
            </w:tcBorders>
            <w:vAlign w:val="center"/>
          </w:tcPr>
          <w:p>
            <w:pPr>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pacing w:val="7"/>
                <w:sz w:val="21"/>
                <w:szCs w:val="21"/>
              </w:rPr>
              <w:t>测算时</w:t>
            </w:r>
            <w:r>
              <w:rPr>
                <w:rFonts w:ascii="Times New Roman" w:hAnsi="Times New Roman" w:eastAsia="仿宋_GB2312" w:cs="Times New Roman"/>
                <w:b/>
                <w:color w:val="auto"/>
                <w:spacing w:val="6"/>
                <w:sz w:val="21"/>
                <w:szCs w:val="21"/>
              </w:rPr>
              <w:t>段</w:t>
            </w:r>
          </w:p>
        </w:tc>
        <w:tc>
          <w:tcPr>
            <w:tcW w:w="2256" w:type="dxa"/>
            <w:tcBorders>
              <w:tl2br w:val="nil"/>
              <w:tr2bl w:val="nil"/>
            </w:tcBorders>
            <w:vAlign w:val="center"/>
          </w:tcPr>
          <w:p>
            <w:pPr>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pacing w:val="8"/>
                <w:sz w:val="21"/>
                <w:szCs w:val="21"/>
              </w:rPr>
              <w:t>预</w:t>
            </w:r>
            <w:r>
              <w:rPr>
                <w:rFonts w:ascii="Times New Roman" w:hAnsi="Times New Roman" w:eastAsia="仿宋_GB2312" w:cs="Times New Roman"/>
                <w:b/>
                <w:color w:val="auto"/>
                <w:spacing w:val="6"/>
                <w:sz w:val="21"/>
                <w:szCs w:val="21"/>
              </w:rPr>
              <w:t>测分区</w:t>
            </w:r>
          </w:p>
        </w:tc>
        <w:tc>
          <w:tcPr>
            <w:tcW w:w="1414" w:type="dxa"/>
            <w:tcBorders>
              <w:tl2br w:val="nil"/>
              <w:tr2bl w:val="nil"/>
            </w:tcBorders>
            <w:vAlign w:val="center"/>
          </w:tcPr>
          <w:p>
            <w:pPr>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pacing w:val="-6"/>
                <w:sz w:val="21"/>
                <w:szCs w:val="21"/>
              </w:rPr>
              <w:t>预</w:t>
            </w:r>
            <w:r>
              <w:rPr>
                <w:rFonts w:ascii="Times New Roman" w:hAnsi="Times New Roman" w:eastAsia="仿宋_GB2312" w:cs="Times New Roman"/>
                <w:b/>
                <w:color w:val="auto"/>
                <w:spacing w:val="-5"/>
                <w:sz w:val="21"/>
                <w:szCs w:val="21"/>
              </w:rPr>
              <w:t>测时段(</w:t>
            </w:r>
            <w:r>
              <w:rPr>
                <w:rFonts w:ascii="Times New Roman" w:hAnsi="Times New Roman" w:eastAsia="仿宋_GB2312" w:cs="Times New Roman"/>
                <w:b/>
                <w:bCs/>
                <w:color w:val="auto"/>
                <w:spacing w:val="-5"/>
                <w:sz w:val="21"/>
                <w:szCs w:val="21"/>
              </w:rPr>
              <w:t>a</w:t>
            </w:r>
            <w:r>
              <w:rPr>
                <w:rFonts w:ascii="Times New Roman" w:hAnsi="Times New Roman" w:eastAsia="仿宋_GB2312" w:cs="Times New Roman"/>
                <w:b/>
                <w:color w:val="auto"/>
                <w:spacing w:val="-5"/>
                <w:sz w:val="21"/>
                <w:szCs w:val="21"/>
              </w:rPr>
              <w:t>)</w:t>
            </w:r>
          </w:p>
        </w:tc>
        <w:tc>
          <w:tcPr>
            <w:tcW w:w="1701" w:type="dxa"/>
            <w:tcBorders>
              <w:tl2br w:val="nil"/>
              <w:tr2bl w:val="nil"/>
            </w:tcBorders>
            <w:vAlign w:val="center"/>
          </w:tcPr>
          <w:p>
            <w:pPr>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pacing w:val="9"/>
                <w:sz w:val="21"/>
                <w:szCs w:val="21"/>
              </w:rPr>
              <w:t>土壤侵蚀背景值</w:t>
            </w:r>
          </w:p>
          <w:p>
            <w:pPr>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bCs/>
                <w:color w:val="auto"/>
                <w:position w:val="3"/>
                <w:sz w:val="21"/>
                <w:szCs w:val="21"/>
              </w:rPr>
              <w:t>t</w:t>
            </w:r>
            <w:r>
              <w:rPr>
                <w:rFonts w:ascii="Times New Roman" w:hAnsi="Times New Roman" w:eastAsia="仿宋_GB2312" w:cs="Times New Roman"/>
                <w:b/>
                <w:bCs/>
                <w:color w:val="auto"/>
                <w:spacing w:val="7"/>
                <w:position w:val="3"/>
                <w:sz w:val="21"/>
                <w:szCs w:val="21"/>
              </w:rPr>
              <w:t>/</w:t>
            </w:r>
            <w:r>
              <w:rPr>
                <w:rFonts w:ascii="Times New Roman" w:hAnsi="Times New Roman" w:eastAsia="仿宋_GB2312" w:cs="Times New Roman"/>
                <w:b/>
                <w:bCs/>
                <w:color w:val="auto"/>
                <w:spacing w:val="6"/>
                <w:position w:val="3"/>
                <w:sz w:val="21"/>
                <w:szCs w:val="21"/>
              </w:rPr>
              <w:t>(</w:t>
            </w:r>
            <w:r>
              <w:rPr>
                <w:rFonts w:ascii="Times New Roman" w:hAnsi="Times New Roman" w:eastAsia="仿宋_GB2312" w:cs="Times New Roman"/>
                <w:b/>
                <w:bCs/>
                <w:color w:val="auto"/>
                <w:position w:val="3"/>
                <w:sz w:val="21"/>
                <w:szCs w:val="21"/>
              </w:rPr>
              <w:t>km</w:t>
            </w:r>
            <w:r>
              <w:rPr>
                <w:rFonts w:ascii="Times New Roman" w:hAnsi="Times New Roman" w:eastAsia="仿宋_GB2312" w:cs="Times New Roman"/>
                <w:b/>
                <w:bCs/>
                <w:color w:val="auto"/>
                <w:position w:val="3"/>
                <w:sz w:val="21"/>
                <w:szCs w:val="21"/>
                <w:vertAlign w:val="superscript"/>
              </w:rPr>
              <w:t>2</w:t>
            </w:r>
            <w:r>
              <w:rPr>
                <w:rFonts w:ascii="Times New Roman" w:hAnsi="Times New Roman" w:eastAsia="仿宋_GB2312" w:cs="Times New Roman"/>
                <w:b/>
                <w:bCs/>
                <w:color w:val="auto"/>
                <w:spacing w:val="6"/>
                <w:position w:val="3"/>
                <w:sz w:val="21"/>
                <w:szCs w:val="21"/>
              </w:rPr>
              <w:t>•</w:t>
            </w:r>
            <w:r>
              <w:rPr>
                <w:rFonts w:ascii="Times New Roman" w:hAnsi="Times New Roman" w:eastAsia="仿宋_GB2312" w:cs="Times New Roman"/>
                <w:b/>
                <w:bCs/>
                <w:color w:val="auto"/>
                <w:position w:val="3"/>
                <w:sz w:val="21"/>
                <w:szCs w:val="21"/>
              </w:rPr>
              <w:t>a</w:t>
            </w:r>
            <w:r>
              <w:rPr>
                <w:rFonts w:ascii="Times New Roman" w:hAnsi="Times New Roman" w:eastAsia="仿宋_GB2312" w:cs="Times New Roman"/>
                <w:b/>
                <w:bCs/>
                <w:color w:val="auto"/>
                <w:spacing w:val="6"/>
                <w:position w:val="3"/>
                <w:sz w:val="21"/>
                <w:szCs w:val="21"/>
              </w:rPr>
              <w:t>)</w:t>
            </w:r>
          </w:p>
        </w:tc>
        <w:tc>
          <w:tcPr>
            <w:tcW w:w="1709" w:type="dxa"/>
            <w:tcBorders>
              <w:tl2br w:val="nil"/>
              <w:tr2bl w:val="nil"/>
            </w:tcBorders>
            <w:vAlign w:val="center"/>
          </w:tcPr>
          <w:p>
            <w:pPr>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pacing w:val="9"/>
                <w:sz w:val="21"/>
                <w:szCs w:val="21"/>
              </w:rPr>
              <w:t>扰动后侵蚀模数</w:t>
            </w:r>
          </w:p>
          <w:p>
            <w:pPr>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bCs/>
                <w:color w:val="auto"/>
                <w:position w:val="3"/>
                <w:sz w:val="21"/>
                <w:szCs w:val="21"/>
              </w:rPr>
              <w:t>t</w:t>
            </w:r>
            <w:r>
              <w:rPr>
                <w:rFonts w:ascii="Times New Roman" w:hAnsi="Times New Roman" w:eastAsia="仿宋_GB2312" w:cs="Times New Roman"/>
                <w:b/>
                <w:bCs/>
                <w:color w:val="auto"/>
                <w:spacing w:val="7"/>
                <w:position w:val="3"/>
                <w:sz w:val="21"/>
                <w:szCs w:val="21"/>
              </w:rPr>
              <w:t>/(</w:t>
            </w:r>
            <w:r>
              <w:rPr>
                <w:rFonts w:ascii="Times New Roman" w:hAnsi="Times New Roman" w:eastAsia="仿宋_GB2312" w:cs="Times New Roman"/>
                <w:b/>
                <w:bCs/>
                <w:color w:val="auto"/>
                <w:position w:val="3"/>
                <w:sz w:val="21"/>
                <w:szCs w:val="21"/>
              </w:rPr>
              <w:t>km</w:t>
            </w:r>
            <w:r>
              <w:rPr>
                <w:rFonts w:ascii="Times New Roman" w:hAnsi="Times New Roman" w:eastAsia="仿宋_GB2312" w:cs="Times New Roman"/>
                <w:b/>
                <w:bCs/>
                <w:color w:val="auto"/>
                <w:position w:val="3"/>
                <w:sz w:val="21"/>
                <w:szCs w:val="21"/>
                <w:vertAlign w:val="superscript"/>
              </w:rPr>
              <w:t>2</w:t>
            </w:r>
            <w:r>
              <w:rPr>
                <w:rFonts w:ascii="Times New Roman" w:hAnsi="Times New Roman" w:eastAsia="仿宋_GB2312" w:cs="Times New Roman"/>
                <w:b/>
                <w:bCs/>
                <w:color w:val="auto"/>
                <w:spacing w:val="7"/>
                <w:position w:val="3"/>
                <w:sz w:val="21"/>
                <w:szCs w:val="21"/>
              </w:rPr>
              <w:t>•</w:t>
            </w:r>
            <w:r>
              <w:rPr>
                <w:rFonts w:ascii="Times New Roman" w:hAnsi="Times New Roman" w:eastAsia="仿宋_GB2312" w:cs="Times New Roman"/>
                <w:b/>
                <w:bCs/>
                <w:color w:val="auto"/>
                <w:position w:val="3"/>
                <w:sz w:val="21"/>
                <w:szCs w:val="21"/>
              </w:rPr>
              <w:t>a</w:t>
            </w:r>
            <w:r>
              <w:rPr>
                <w:rFonts w:ascii="Times New Roman" w:hAnsi="Times New Roman" w:eastAsia="仿宋_GB2312" w:cs="Times New Roman"/>
                <w:b/>
                <w:bCs/>
                <w:color w:val="auto"/>
                <w:spacing w:val="6"/>
                <w:position w:val="3"/>
                <w:sz w:val="21"/>
                <w:szCs w:val="21"/>
              </w:rPr>
              <w:t>)</w:t>
            </w:r>
          </w:p>
        </w:tc>
        <w:tc>
          <w:tcPr>
            <w:tcW w:w="1334" w:type="dxa"/>
            <w:tcBorders>
              <w:tl2br w:val="nil"/>
              <w:tr2bl w:val="nil"/>
            </w:tcBorders>
            <w:vAlign w:val="center"/>
          </w:tcPr>
          <w:p>
            <w:pPr>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pacing w:val="10"/>
                <w:sz w:val="21"/>
                <w:szCs w:val="21"/>
              </w:rPr>
              <w:t>侵蚀面积</w:t>
            </w:r>
            <w:r>
              <w:rPr>
                <w:rFonts w:ascii="Times New Roman" w:hAnsi="Times New Roman" w:eastAsia="仿宋_GB2312" w:cs="Times New Roman"/>
                <w:b/>
                <w:color w:val="auto"/>
                <w:spacing w:val="24"/>
                <w:sz w:val="21"/>
                <w:szCs w:val="21"/>
              </w:rPr>
              <w:t>(</w:t>
            </w:r>
            <w:r>
              <w:rPr>
                <w:rFonts w:ascii="Times New Roman" w:hAnsi="Times New Roman" w:eastAsia="仿宋_GB2312" w:cs="Times New Roman"/>
                <w:b/>
                <w:bCs/>
                <w:color w:val="auto"/>
                <w:sz w:val="21"/>
                <w:szCs w:val="21"/>
              </w:rPr>
              <w:t>hm</w:t>
            </w:r>
            <w:r>
              <w:rPr>
                <w:rFonts w:ascii="Times New Roman" w:hAnsi="Times New Roman" w:eastAsia="仿宋_GB2312" w:cs="Times New Roman"/>
                <w:b/>
                <w:bCs/>
                <w:color w:val="auto"/>
                <w:sz w:val="21"/>
                <w:szCs w:val="21"/>
                <w:vertAlign w:val="superscript"/>
              </w:rPr>
              <w:t>2</w:t>
            </w:r>
            <w:r>
              <w:rPr>
                <w:rFonts w:ascii="Times New Roman" w:hAnsi="Times New Roman" w:eastAsia="仿宋_GB2312" w:cs="Times New Roman"/>
                <w:b/>
                <w:color w:val="auto"/>
                <w:spacing w:val="23"/>
                <w:sz w:val="21"/>
                <w:szCs w:val="21"/>
              </w:rPr>
              <w:t>)</w:t>
            </w:r>
          </w:p>
        </w:tc>
        <w:tc>
          <w:tcPr>
            <w:tcW w:w="1259" w:type="dxa"/>
            <w:tcBorders>
              <w:tl2br w:val="nil"/>
              <w:tr2bl w:val="nil"/>
            </w:tcBorders>
            <w:vAlign w:val="center"/>
          </w:tcPr>
          <w:p>
            <w:pPr>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pacing w:val="7"/>
                <w:sz w:val="21"/>
                <w:szCs w:val="21"/>
              </w:rPr>
              <w:t>背景侵蚀</w:t>
            </w:r>
            <w:r>
              <w:rPr>
                <w:rFonts w:ascii="Times New Roman" w:hAnsi="Times New Roman" w:eastAsia="仿宋_GB2312" w:cs="Times New Roman"/>
                <w:b/>
                <w:color w:val="auto"/>
                <w:spacing w:val="6"/>
                <w:sz w:val="21"/>
                <w:szCs w:val="21"/>
              </w:rPr>
              <w:t>量</w:t>
            </w:r>
          </w:p>
          <w:p>
            <w:pPr>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pacing w:val="57"/>
                <w:position w:val="2"/>
                <w:sz w:val="21"/>
                <w:szCs w:val="21"/>
              </w:rPr>
              <w:t>(</w:t>
            </w:r>
            <w:r>
              <w:rPr>
                <w:rFonts w:ascii="Times New Roman" w:hAnsi="Times New Roman" w:eastAsia="仿宋_GB2312" w:cs="Times New Roman"/>
                <w:b/>
                <w:bCs/>
                <w:color w:val="auto"/>
                <w:position w:val="2"/>
                <w:sz w:val="21"/>
                <w:szCs w:val="21"/>
              </w:rPr>
              <w:t>t</w:t>
            </w:r>
            <w:r>
              <w:rPr>
                <w:rFonts w:ascii="Times New Roman" w:hAnsi="Times New Roman" w:eastAsia="仿宋_GB2312" w:cs="Times New Roman"/>
                <w:b/>
                <w:color w:val="auto"/>
                <w:spacing w:val="57"/>
                <w:position w:val="2"/>
                <w:sz w:val="21"/>
                <w:szCs w:val="21"/>
              </w:rPr>
              <w:t>)</w:t>
            </w:r>
          </w:p>
        </w:tc>
        <w:tc>
          <w:tcPr>
            <w:tcW w:w="1513" w:type="dxa"/>
            <w:tcBorders>
              <w:tl2br w:val="nil"/>
              <w:tr2bl w:val="nil"/>
            </w:tcBorders>
            <w:vAlign w:val="center"/>
          </w:tcPr>
          <w:p>
            <w:pPr>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pacing w:val="10"/>
                <w:sz w:val="21"/>
                <w:szCs w:val="21"/>
              </w:rPr>
              <w:t>水</w:t>
            </w:r>
            <w:r>
              <w:rPr>
                <w:rFonts w:ascii="Times New Roman" w:hAnsi="Times New Roman" w:eastAsia="仿宋_GB2312" w:cs="Times New Roman"/>
                <w:b/>
                <w:color w:val="auto"/>
                <w:spacing w:val="9"/>
                <w:sz w:val="21"/>
                <w:szCs w:val="21"/>
              </w:rPr>
              <w:t>土流失总量</w:t>
            </w:r>
          </w:p>
          <w:p>
            <w:pPr>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pacing w:val="56"/>
                <w:position w:val="2"/>
                <w:sz w:val="21"/>
                <w:szCs w:val="21"/>
              </w:rPr>
              <w:t>(</w:t>
            </w:r>
            <w:r>
              <w:rPr>
                <w:rFonts w:ascii="Times New Roman" w:hAnsi="Times New Roman" w:eastAsia="仿宋_GB2312" w:cs="Times New Roman"/>
                <w:b/>
                <w:bCs/>
                <w:color w:val="auto"/>
                <w:position w:val="2"/>
                <w:sz w:val="21"/>
                <w:szCs w:val="21"/>
              </w:rPr>
              <w:t>t</w:t>
            </w:r>
            <w:r>
              <w:rPr>
                <w:rFonts w:ascii="Times New Roman" w:hAnsi="Times New Roman" w:eastAsia="仿宋_GB2312" w:cs="Times New Roman"/>
                <w:b/>
                <w:color w:val="auto"/>
                <w:spacing w:val="55"/>
                <w:position w:val="2"/>
                <w:sz w:val="21"/>
                <w:szCs w:val="21"/>
              </w:rPr>
              <w:t>)</w:t>
            </w:r>
          </w:p>
        </w:tc>
        <w:tc>
          <w:tcPr>
            <w:tcW w:w="1625" w:type="dxa"/>
            <w:tcBorders>
              <w:tl2br w:val="nil"/>
              <w:tr2bl w:val="nil"/>
            </w:tcBorders>
            <w:vAlign w:val="center"/>
          </w:tcPr>
          <w:p>
            <w:pPr>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pacing w:val="9"/>
                <w:sz w:val="21"/>
                <w:szCs w:val="21"/>
              </w:rPr>
              <w:t>新增水土流失</w:t>
            </w:r>
            <w:r>
              <w:rPr>
                <w:rFonts w:ascii="Times New Roman" w:hAnsi="Times New Roman" w:eastAsia="仿宋_GB2312" w:cs="Times New Roman"/>
                <w:b/>
                <w:color w:val="auto"/>
                <w:spacing w:val="8"/>
                <w:sz w:val="21"/>
                <w:szCs w:val="21"/>
              </w:rPr>
              <w:t>量</w:t>
            </w:r>
          </w:p>
          <w:p>
            <w:pPr>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pacing w:val="57"/>
                <w:position w:val="2"/>
                <w:sz w:val="21"/>
                <w:szCs w:val="21"/>
              </w:rPr>
              <w:t>(</w:t>
            </w:r>
            <w:r>
              <w:rPr>
                <w:rFonts w:ascii="Times New Roman" w:hAnsi="Times New Roman" w:eastAsia="仿宋_GB2312" w:cs="Times New Roman"/>
                <w:b/>
                <w:bCs/>
                <w:color w:val="auto"/>
                <w:position w:val="2"/>
                <w:sz w:val="21"/>
                <w:szCs w:val="21"/>
              </w:rPr>
              <w:t>t</w:t>
            </w:r>
            <w:r>
              <w:rPr>
                <w:rFonts w:ascii="Times New Roman" w:hAnsi="Times New Roman" w:eastAsia="仿宋_GB2312" w:cs="Times New Roman"/>
                <w:b/>
                <w:color w:val="auto"/>
                <w:spacing w:val="57"/>
                <w:position w:val="2"/>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0" w:hRule="atLeast"/>
        </w:trPr>
        <w:tc>
          <w:tcPr>
            <w:tcW w:w="13985" w:type="dxa"/>
            <w:gridSpan w:val="9"/>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6"/>
                <w:sz w:val="21"/>
                <w:szCs w:val="21"/>
              </w:rPr>
              <w:t>已产生的水土流失</w:t>
            </w:r>
            <w:r>
              <w:rPr>
                <w:rFonts w:ascii="Times New Roman" w:hAnsi="Times New Roman" w:eastAsia="仿宋_GB2312" w:cs="Times New Roman"/>
                <w:color w:val="auto"/>
                <w:spacing w:val="4"/>
                <w:sz w:val="21"/>
                <w:szCs w:val="21"/>
              </w:rPr>
              <w:t>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5" w:hRule="atLeast"/>
        </w:trPr>
        <w:tc>
          <w:tcPr>
            <w:tcW w:w="117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7"/>
                <w:sz w:val="21"/>
                <w:szCs w:val="21"/>
              </w:rPr>
              <w:t>施</w:t>
            </w:r>
            <w:r>
              <w:rPr>
                <w:rFonts w:ascii="Times New Roman" w:hAnsi="Times New Roman" w:eastAsia="仿宋_GB2312" w:cs="Times New Roman"/>
                <w:color w:val="auto"/>
                <w:spacing w:val="6"/>
                <w:sz w:val="21"/>
                <w:szCs w:val="21"/>
              </w:rPr>
              <w:t>工期</w:t>
            </w:r>
          </w:p>
        </w:tc>
        <w:tc>
          <w:tcPr>
            <w:tcW w:w="2256"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E11</w:t>
            </w:r>
          </w:p>
        </w:tc>
        <w:tc>
          <w:tcPr>
            <w:tcW w:w="141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2"/>
                <w:sz w:val="21"/>
                <w:szCs w:val="21"/>
              </w:rPr>
              <w:t>1.5</w:t>
            </w:r>
          </w:p>
        </w:tc>
        <w:tc>
          <w:tcPr>
            <w:tcW w:w="1701" w:type="dxa"/>
            <w:tcBorders>
              <w:tl2br w:val="nil"/>
              <w:tr2bl w:val="nil"/>
            </w:tcBorders>
            <w:vAlign w:val="center"/>
          </w:tcPr>
          <w:p>
            <w:pPr>
              <w:spacing w:line="240" w:lineRule="atLeast"/>
              <w:jc w:val="center"/>
              <w:rPr>
                <w:rFonts w:hint="default" w:ascii="Times New Roman" w:hAnsi="Times New Roman" w:eastAsia="仿宋_GB2312" w:cs="Times New Roman"/>
                <w:color w:val="auto"/>
                <w:sz w:val="21"/>
                <w:szCs w:val="21"/>
                <w:lang w:val="en-US" w:eastAsia="zh-CN"/>
              </w:rPr>
            </w:pPr>
            <w:r>
              <w:rPr>
                <w:rFonts w:ascii="Times New Roman" w:hAnsi="Times New Roman" w:eastAsia="仿宋_GB2312" w:cs="Times New Roman"/>
                <w:color w:val="auto"/>
                <w:spacing w:val="4"/>
                <w:sz w:val="21"/>
                <w:szCs w:val="21"/>
              </w:rPr>
              <w:t>3</w:t>
            </w:r>
            <w:r>
              <w:rPr>
                <w:rFonts w:hint="eastAsia" w:ascii="Times New Roman" w:hAnsi="Times New Roman" w:eastAsia="仿宋_GB2312" w:cs="Times New Roman"/>
                <w:color w:val="auto"/>
                <w:spacing w:val="4"/>
                <w:sz w:val="21"/>
                <w:szCs w:val="21"/>
                <w:lang w:val="en-US" w:eastAsia="zh-CN"/>
              </w:rPr>
              <w:t>89</w:t>
            </w:r>
          </w:p>
        </w:tc>
        <w:tc>
          <w:tcPr>
            <w:tcW w:w="170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6"/>
                <w:sz w:val="21"/>
                <w:szCs w:val="21"/>
              </w:rPr>
              <w:t>9258</w:t>
            </w:r>
          </w:p>
        </w:tc>
        <w:tc>
          <w:tcPr>
            <w:tcW w:w="133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1"/>
                <w:sz w:val="21"/>
                <w:szCs w:val="21"/>
              </w:rPr>
              <w:t>2.90</w:t>
            </w:r>
          </w:p>
        </w:tc>
        <w:tc>
          <w:tcPr>
            <w:tcW w:w="1259" w:type="dxa"/>
            <w:tcBorders>
              <w:tl2br w:val="nil"/>
              <w:tr2bl w:val="nil"/>
            </w:tcBorders>
            <w:vAlign w:val="center"/>
          </w:tcPr>
          <w:p>
            <w:pPr>
              <w:keepNext w:val="0"/>
              <w:keepLines w:val="0"/>
              <w:widowControl/>
              <w:suppressLineNumbers w:val="0"/>
              <w:jc w:val="center"/>
              <w:textAlignment w:val="center"/>
              <w:rPr>
                <w:rFonts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17</w:t>
            </w:r>
          </w:p>
        </w:tc>
        <w:tc>
          <w:tcPr>
            <w:tcW w:w="1513" w:type="dxa"/>
            <w:tcBorders>
              <w:tl2br w:val="nil"/>
              <w:tr2bl w:val="nil"/>
            </w:tcBorders>
            <w:vAlign w:val="center"/>
          </w:tcPr>
          <w:p>
            <w:pPr>
              <w:keepNext w:val="0"/>
              <w:keepLines w:val="0"/>
              <w:widowControl/>
              <w:suppressLineNumbers w:val="0"/>
              <w:jc w:val="center"/>
              <w:textAlignment w:val="center"/>
              <w:rPr>
                <w:rFonts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403</w:t>
            </w:r>
          </w:p>
        </w:tc>
        <w:tc>
          <w:tcPr>
            <w:tcW w:w="1625" w:type="dxa"/>
            <w:tcBorders>
              <w:tl2br w:val="nil"/>
              <w:tr2bl w:val="nil"/>
            </w:tcBorders>
            <w:vAlign w:val="center"/>
          </w:tcPr>
          <w:p>
            <w:pPr>
              <w:keepNext w:val="0"/>
              <w:keepLines w:val="0"/>
              <w:widowControl/>
              <w:suppressLineNumbers w:val="0"/>
              <w:jc w:val="center"/>
              <w:textAlignment w:val="center"/>
              <w:rPr>
                <w:rFonts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386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5" w:hRule="atLeast"/>
        </w:trPr>
        <w:tc>
          <w:tcPr>
            <w:tcW w:w="1174" w:type="dxa"/>
            <w:tcBorders>
              <w:tl2br w:val="nil"/>
              <w:tr2bl w:val="nil"/>
            </w:tcBorders>
            <w:vAlign w:val="center"/>
          </w:tcPr>
          <w:p>
            <w:pPr>
              <w:spacing w:line="240" w:lineRule="atLeast"/>
              <w:jc w:val="center"/>
              <w:rPr>
                <w:rFonts w:hint="eastAsia" w:ascii="Times New Roman" w:hAnsi="Times New Roman" w:eastAsia="仿宋_GB2312" w:cs="Times New Roman"/>
                <w:color w:val="auto"/>
                <w:spacing w:val="7"/>
                <w:sz w:val="21"/>
                <w:szCs w:val="21"/>
                <w:lang w:eastAsia="zh-CN"/>
              </w:rPr>
            </w:pPr>
            <w:r>
              <w:rPr>
                <w:rFonts w:hint="eastAsia" w:ascii="Times New Roman" w:hAnsi="Times New Roman" w:eastAsia="仿宋_GB2312" w:cs="Times New Roman"/>
                <w:color w:val="auto"/>
                <w:spacing w:val="7"/>
                <w:sz w:val="21"/>
                <w:szCs w:val="21"/>
                <w:lang w:eastAsia="zh-CN"/>
              </w:rPr>
              <w:t>施工期</w:t>
            </w:r>
          </w:p>
        </w:tc>
        <w:tc>
          <w:tcPr>
            <w:tcW w:w="2256" w:type="dxa"/>
            <w:tcBorders>
              <w:tl2br w:val="nil"/>
              <w:tr2bl w:val="nil"/>
            </w:tcBorders>
            <w:vAlign w:val="center"/>
          </w:tcPr>
          <w:p>
            <w:pPr>
              <w:spacing w:line="240" w:lineRule="atLeast"/>
              <w:jc w:val="center"/>
              <w:rPr>
                <w:rFonts w:hint="eastAsia" w:ascii="Times New Roman" w:hAnsi="Times New Roman" w:eastAsia="仿宋_GB2312" w:cs="Times New Roman"/>
                <w:color w:val="auto"/>
                <w:sz w:val="21"/>
                <w:szCs w:val="21"/>
                <w:lang w:eastAsia="zh-CN"/>
              </w:rPr>
            </w:pPr>
            <w:r>
              <w:rPr>
                <w:rFonts w:hint="eastAsia" w:ascii="Times New Roman" w:hAnsi="Times New Roman" w:eastAsia="仿宋_GB2312" w:cs="Times New Roman"/>
                <w:color w:val="auto"/>
                <w:sz w:val="21"/>
                <w:szCs w:val="21"/>
                <w:lang w:eastAsia="zh-CN"/>
              </w:rPr>
              <w:t>杨家山路和经十八路</w:t>
            </w:r>
          </w:p>
        </w:tc>
        <w:tc>
          <w:tcPr>
            <w:tcW w:w="1414" w:type="dxa"/>
            <w:tcBorders>
              <w:tl2br w:val="nil"/>
              <w:tr2bl w:val="nil"/>
            </w:tcBorders>
            <w:vAlign w:val="center"/>
          </w:tcPr>
          <w:p>
            <w:pPr>
              <w:spacing w:line="240" w:lineRule="atLeast"/>
              <w:jc w:val="center"/>
              <w:rPr>
                <w:rFonts w:hint="default" w:ascii="Times New Roman" w:hAnsi="Times New Roman" w:eastAsia="仿宋_GB2312" w:cs="Times New Roman"/>
                <w:color w:val="auto"/>
                <w:spacing w:val="-2"/>
                <w:sz w:val="21"/>
                <w:szCs w:val="21"/>
                <w:lang w:val="en-US" w:eastAsia="zh-CN"/>
              </w:rPr>
            </w:pPr>
            <w:r>
              <w:rPr>
                <w:rFonts w:hint="eastAsia" w:ascii="Times New Roman" w:hAnsi="Times New Roman" w:eastAsia="仿宋_GB2312" w:cs="Times New Roman"/>
                <w:color w:val="auto"/>
                <w:spacing w:val="-2"/>
                <w:sz w:val="21"/>
                <w:szCs w:val="21"/>
                <w:lang w:val="en-US" w:eastAsia="zh-CN"/>
              </w:rPr>
              <w:t>1.5</w:t>
            </w:r>
          </w:p>
        </w:tc>
        <w:tc>
          <w:tcPr>
            <w:tcW w:w="1701" w:type="dxa"/>
            <w:tcBorders>
              <w:tl2br w:val="nil"/>
              <w:tr2bl w:val="nil"/>
            </w:tcBorders>
            <w:vAlign w:val="center"/>
          </w:tcPr>
          <w:p>
            <w:pPr>
              <w:spacing w:line="240" w:lineRule="atLeast"/>
              <w:jc w:val="center"/>
              <w:rPr>
                <w:rFonts w:hint="default" w:ascii="Times New Roman" w:hAnsi="Times New Roman" w:eastAsia="仿宋_GB2312" w:cs="Times New Roman"/>
                <w:color w:val="auto"/>
                <w:spacing w:val="4"/>
                <w:sz w:val="21"/>
                <w:szCs w:val="21"/>
                <w:lang w:val="en-US" w:eastAsia="zh-CN"/>
              </w:rPr>
            </w:pPr>
            <w:r>
              <w:rPr>
                <w:rFonts w:hint="eastAsia" w:ascii="Times New Roman" w:hAnsi="Times New Roman" w:eastAsia="仿宋_GB2312" w:cs="Times New Roman"/>
                <w:color w:val="auto"/>
                <w:spacing w:val="4"/>
                <w:sz w:val="21"/>
                <w:szCs w:val="21"/>
                <w:lang w:val="en-US" w:eastAsia="zh-CN"/>
              </w:rPr>
              <w:t>389</w:t>
            </w:r>
          </w:p>
        </w:tc>
        <w:tc>
          <w:tcPr>
            <w:tcW w:w="1709" w:type="dxa"/>
            <w:tcBorders>
              <w:tl2br w:val="nil"/>
              <w:tr2bl w:val="nil"/>
            </w:tcBorders>
            <w:vAlign w:val="center"/>
          </w:tcPr>
          <w:p>
            <w:pPr>
              <w:spacing w:line="240" w:lineRule="atLeast"/>
              <w:jc w:val="center"/>
              <w:rPr>
                <w:rFonts w:hint="default" w:ascii="Times New Roman" w:hAnsi="Times New Roman" w:eastAsia="仿宋_GB2312" w:cs="Times New Roman"/>
                <w:color w:val="auto"/>
                <w:spacing w:val="6"/>
                <w:sz w:val="21"/>
                <w:szCs w:val="21"/>
                <w:lang w:val="en-US" w:eastAsia="zh-CN"/>
              </w:rPr>
            </w:pPr>
            <w:r>
              <w:rPr>
                <w:rFonts w:hint="eastAsia" w:ascii="Times New Roman" w:hAnsi="Times New Roman" w:eastAsia="仿宋_GB2312" w:cs="Times New Roman"/>
                <w:color w:val="auto"/>
                <w:spacing w:val="6"/>
                <w:sz w:val="21"/>
                <w:szCs w:val="21"/>
                <w:lang w:val="en-US" w:eastAsia="zh-CN"/>
              </w:rPr>
              <w:t>9951</w:t>
            </w:r>
          </w:p>
        </w:tc>
        <w:tc>
          <w:tcPr>
            <w:tcW w:w="1334" w:type="dxa"/>
            <w:tcBorders>
              <w:tl2br w:val="nil"/>
              <w:tr2bl w:val="nil"/>
            </w:tcBorders>
            <w:vAlign w:val="center"/>
          </w:tcPr>
          <w:p>
            <w:pPr>
              <w:spacing w:line="240" w:lineRule="atLeast"/>
              <w:jc w:val="center"/>
              <w:rPr>
                <w:rFonts w:hint="default" w:ascii="Times New Roman" w:hAnsi="Times New Roman" w:eastAsia="仿宋_GB2312" w:cs="Times New Roman"/>
                <w:color w:val="auto"/>
                <w:spacing w:val="-1"/>
                <w:sz w:val="21"/>
                <w:szCs w:val="21"/>
                <w:lang w:val="en-US" w:eastAsia="zh-CN"/>
              </w:rPr>
            </w:pPr>
            <w:r>
              <w:rPr>
                <w:rFonts w:hint="eastAsia" w:ascii="Times New Roman" w:hAnsi="Times New Roman" w:eastAsia="仿宋_GB2312" w:cs="Times New Roman"/>
                <w:color w:val="auto"/>
                <w:spacing w:val="-1"/>
                <w:sz w:val="21"/>
                <w:szCs w:val="21"/>
                <w:lang w:val="en-US" w:eastAsia="zh-CN"/>
              </w:rPr>
              <w:t>3.93</w:t>
            </w:r>
          </w:p>
        </w:tc>
        <w:tc>
          <w:tcPr>
            <w:tcW w:w="1259" w:type="dxa"/>
            <w:tcBorders>
              <w:tl2br w:val="nil"/>
              <w:tr2bl w:val="nil"/>
            </w:tcBorders>
            <w:vAlign w:val="center"/>
          </w:tcPr>
          <w:p>
            <w:pPr>
              <w:keepNext w:val="0"/>
              <w:keepLines w:val="0"/>
              <w:widowControl/>
              <w:suppressLineNumbers w:val="0"/>
              <w:jc w:val="center"/>
              <w:textAlignment w:val="center"/>
              <w:rPr>
                <w:rFonts w:ascii="Times New Roman" w:hAnsi="Times New Roman" w:eastAsia="仿宋_GB2312"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23</w:t>
            </w:r>
          </w:p>
        </w:tc>
        <w:tc>
          <w:tcPr>
            <w:tcW w:w="1513" w:type="dxa"/>
            <w:tcBorders>
              <w:tl2br w:val="nil"/>
              <w:tr2bl w:val="nil"/>
            </w:tcBorders>
            <w:vAlign w:val="center"/>
          </w:tcPr>
          <w:p>
            <w:pPr>
              <w:keepNext w:val="0"/>
              <w:keepLines w:val="0"/>
              <w:widowControl/>
              <w:suppressLineNumbers w:val="0"/>
              <w:jc w:val="center"/>
              <w:textAlignment w:val="center"/>
              <w:rPr>
                <w:rFonts w:ascii="Times New Roman" w:hAnsi="Times New Roman" w:eastAsia="仿宋_GB2312"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587</w:t>
            </w:r>
          </w:p>
        </w:tc>
        <w:tc>
          <w:tcPr>
            <w:tcW w:w="1625" w:type="dxa"/>
            <w:tcBorders>
              <w:tl2br w:val="nil"/>
              <w:tr2bl w:val="nil"/>
            </w:tcBorders>
            <w:vAlign w:val="center"/>
          </w:tcPr>
          <w:p>
            <w:pPr>
              <w:keepNext w:val="0"/>
              <w:keepLines w:val="0"/>
              <w:widowControl/>
              <w:suppressLineNumbers w:val="0"/>
              <w:jc w:val="center"/>
              <w:textAlignment w:val="center"/>
              <w:rPr>
                <w:rFonts w:ascii="Times New Roman" w:hAnsi="Times New Roman" w:eastAsia="仿宋_GB2312"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564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35" w:hRule="atLeast"/>
        </w:trPr>
        <w:tc>
          <w:tcPr>
            <w:tcW w:w="13985" w:type="dxa"/>
            <w:gridSpan w:val="9"/>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10"/>
                <w:sz w:val="21"/>
                <w:szCs w:val="21"/>
              </w:rPr>
              <w:t>后续施工将产生的水土流失</w:t>
            </w:r>
            <w:r>
              <w:rPr>
                <w:rFonts w:ascii="Times New Roman" w:hAnsi="Times New Roman" w:eastAsia="仿宋_GB2312" w:cs="Times New Roman"/>
                <w:color w:val="auto"/>
                <w:spacing w:val="7"/>
                <w:sz w:val="21"/>
                <w:szCs w:val="21"/>
              </w:rPr>
              <w:t>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4" w:hRule="atLeast"/>
        </w:trPr>
        <w:tc>
          <w:tcPr>
            <w:tcW w:w="1174" w:type="dxa"/>
            <w:vMerge w:val="restart"/>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7"/>
                <w:sz w:val="21"/>
                <w:szCs w:val="21"/>
              </w:rPr>
              <w:t>施</w:t>
            </w:r>
            <w:r>
              <w:rPr>
                <w:rFonts w:ascii="Times New Roman" w:hAnsi="Times New Roman" w:eastAsia="仿宋_GB2312" w:cs="Times New Roman"/>
                <w:color w:val="auto"/>
                <w:spacing w:val="6"/>
                <w:sz w:val="21"/>
                <w:szCs w:val="21"/>
              </w:rPr>
              <w:t>工期</w:t>
            </w:r>
          </w:p>
        </w:tc>
        <w:tc>
          <w:tcPr>
            <w:tcW w:w="2256"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道路与交通设施用地区</w:t>
            </w:r>
          </w:p>
        </w:tc>
        <w:tc>
          <w:tcPr>
            <w:tcW w:w="141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1.5</w:t>
            </w:r>
          </w:p>
        </w:tc>
        <w:tc>
          <w:tcPr>
            <w:tcW w:w="170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4"/>
                <w:sz w:val="21"/>
                <w:szCs w:val="21"/>
                <w:lang w:val="en-US" w:eastAsia="zh-CN"/>
              </w:rPr>
              <w:t>389</w:t>
            </w:r>
          </w:p>
        </w:tc>
        <w:tc>
          <w:tcPr>
            <w:tcW w:w="1709"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9951</w:t>
            </w:r>
          </w:p>
        </w:tc>
        <w:tc>
          <w:tcPr>
            <w:tcW w:w="1334" w:type="dxa"/>
            <w:tcBorders>
              <w:tl2br w:val="nil"/>
              <w:tr2bl w:val="nil"/>
            </w:tcBorders>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7.73</w:t>
            </w:r>
          </w:p>
        </w:tc>
        <w:tc>
          <w:tcPr>
            <w:tcW w:w="1259" w:type="dxa"/>
            <w:tcBorders>
              <w:tl2br w:val="nil"/>
              <w:tr2bl w:val="nil"/>
            </w:tcBorders>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45</w:t>
            </w:r>
          </w:p>
        </w:tc>
        <w:tc>
          <w:tcPr>
            <w:tcW w:w="1513" w:type="dxa"/>
            <w:tcBorders>
              <w:tl2br w:val="nil"/>
              <w:tr2bl w:val="nil"/>
            </w:tcBorders>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1154</w:t>
            </w:r>
          </w:p>
        </w:tc>
        <w:tc>
          <w:tcPr>
            <w:tcW w:w="1625" w:type="dxa"/>
            <w:tcBorders>
              <w:tl2br w:val="nil"/>
              <w:tr2bl w:val="nil"/>
            </w:tcBorders>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1109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5" w:hRule="atLeast"/>
        </w:trPr>
        <w:tc>
          <w:tcPr>
            <w:tcW w:w="1174"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256"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公用设施用地区</w:t>
            </w:r>
          </w:p>
        </w:tc>
        <w:tc>
          <w:tcPr>
            <w:tcW w:w="141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c>
          <w:tcPr>
            <w:tcW w:w="170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4"/>
                <w:sz w:val="21"/>
                <w:szCs w:val="21"/>
                <w:lang w:val="en-US" w:eastAsia="zh-CN"/>
              </w:rPr>
              <w:t>389</w:t>
            </w:r>
          </w:p>
        </w:tc>
        <w:tc>
          <w:tcPr>
            <w:tcW w:w="1709"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9163</w:t>
            </w:r>
          </w:p>
        </w:tc>
        <w:tc>
          <w:tcPr>
            <w:tcW w:w="1334" w:type="dxa"/>
            <w:tcBorders>
              <w:tl2br w:val="nil"/>
              <w:tr2bl w:val="nil"/>
            </w:tcBorders>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12.87</w:t>
            </w:r>
          </w:p>
        </w:tc>
        <w:tc>
          <w:tcPr>
            <w:tcW w:w="1259" w:type="dxa"/>
            <w:tcBorders>
              <w:tl2br w:val="nil"/>
              <w:tr2bl w:val="nil"/>
            </w:tcBorders>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50</w:t>
            </w:r>
          </w:p>
        </w:tc>
        <w:tc>
          <w:tcPr>
            <w:tcW w:w="1513" w:type="dxa"/>
            <w:tcBorders>
              <w:tl2br w:val="nil"/>
              <w:tr2bl w:val="nil"/>
            </w:tcBorders>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1179</w:t>
            </w:r>
          </w:p>
        </w:tc>
        <w:tc>
          <w:tcPr>
            <w:tcW w:w="1625" w:type="dxa"/>
            <w:tcBorders>
              <w:tl2br w:val="nil"/>
              <w:tr2bl w:val="nil"/>
            </w:tcBorders>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1129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5" w:hRule="atLeast"/>
        </w:trPr>
        <w:tc>
          <w:tcPr>
            <w:tcW w:w="1174"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256"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绿地区</w:t>
            </w:r>
          </w:p>
        </w:tc>
        <w:tc>
          <w:tcPr>
            <w:tcW w:w="141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w:t>
            </w:r>
          </w:p>
        </w:tc>
        <w:tc>
          <w:tcPr>
            <w:tcW w:w="170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4"/>
                <w:sz w:val="21"/>
                <w:szCs w:val="21"/>
                <w:lang w:val="en-US" w:eastAsia="zh-CN"/>
              </w:rPr>
              <w:t>389</w:t>
            </w:r>
          </w:p>
        </w:tc>
        <w:tc>
          <w:tcPr>
            <w:tcW w:w="1709"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11018</w:t>
            </w:r>
          </w:p>
        </w:tc>
        <w:tc>
          <w:tcPr>
            <w:tcW w:w="1334" w:type="dxa"/>
            <w:tcBorders>
              <w:tl2br w:val="nil"/>
              <w:tr2bl w:val="nil"/>
            </w:tcBorders>
            <w:vAlign w:val="center"/>
          </w:tcPr>
          <w:p>
            <w:pPr>
              <w:widowControl/>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20.01</w:t>
            </w:r>
          </w:p>
        </w:tc>
        <w:tc>
          <w:tcPr>
            <w:tcW w:w="1259" w:type="dxa"/>
            <w:tcBorders>
              <w:tl2br w:val="nil"/>
              <w:tr2bl w:val="nil"/>
            </w:tcBorders>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156</w:t>
            </w:r>
          </w:p>
        </w:tc>
        <w:tc>
          <w:tcPr>
            <w:tcW w:w="1513" w:type="dxa"/>
            <w:tcBorders>
              <w:tl2br w:val="nil"/>
              <w:tr2bl w:val="nil"/>
            </w:tcBorders>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4409</w:t>
            </w:r>
          </w:p>
        </w:tc>
        <w:tc>
          <w:tcPr>
            <w:tcW w:w="1625" w:type="dxa"/>
            <w:tcBorders>
              <w:tl2br w:val="nil"/>
              <w:tr2bl w:val="nil"/>
            </w:tcBorders>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4253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35" w:hRule="atLeast"/>
        </w:trPr>
        <w:tc>
          <w:tcPr>
            <w:tcW w:w="1174"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256" w:type="dxa"/>
            <w:tcBorders>
              <w:tl2br w:val="nil"/>
              <w:tr2bl w:val="nil"/>
            </w:tcBorders>
            <w:vAlign w:val="center"/>
          </w:tcPr>
          <w:p>
            <w:pPr>
              <w:widowControl/>
              <w:spacing w:line="240" w:lineRule="atLeast"/>
              <w:jc w:val="center"/>
              <w:textAlignment w:val="center"/>
              <w:rPr>
                <w:rFonts w:hint="eastAsia" w:ascii="Times New Roman" w:hAnsi="Times New Roman" w:eastAsia="仿宋_GB2312" w:cs="Times New Roman"/>
                <w:color w:val="auto"/>
                <w:sz w:val="21"/>
                <w:szCs w:val="21"/>
                <w:lang w:eastAsia="zh-CN"/>
              </w:rPr>
            </w:pPr>
            <w:r>
              <w:rPr>
                <w:rFonts w:hint="eastAsia" w:ascii="Times New Roman" w:hAnsi="Times New Roman" w:eastAsia="仿宋_GB2312" w:cs="Times New Roman"/>
                <w:color w:val="auto"/>
                <w:sz w:val="21"/>
                <w:szCs w:val="21"/>
                <w:lang w:eastAsia="zh-CN"/>
              </w:rPr>
              <w:t>已建工程区</w:t>
            </w:r>
          </w:p>
        </w:tc>
        <w:tc>
          <w:tcPr>
            <w:tcW w:w="141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olor w:val="auto"/>
                <w:sz w:val="21"/>
                <w:szCs w:val="21"/>
              </w:rPr>
              <w:t>1</w:t>
            </w:r>
          </w:p>
        </w:tc>
        <w:tc>
          <w:tcPr>
            <w:tcW w:w="170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4"/>
                <w:sz w:val="21"/>
                <w:szCs w:val="21"/>
                <w:lang w:val="en-US" w:eastAsia="zh-CN"/>
              </w:rPr>
              <w:t>389</w:t>
            </w:r>
          </w:p>
        </w:tc>
        <w:tc>
          <w:tcPr>
            <w:tcW w:w="1709"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cs="Times New Roman"/>
                <w:color w:val="auto"/>
                <w:kern w:val="0"/>
                <w:sz w:val="21"/>
                <w:szCs w:val="21"/>
              </w:rPr>
              <w:t>9</w:t>
            </w:r>
            <w:r>
              <w:rPr>
                <w:rFonts w:hint="eastAsia" w:ascii="Times New Roman" w:hAnsi="Times New Roman" w:cs="Times New Roman"/>
                <w:color w:val="auto"/>
                <w:kern w:val="0"/>
                <w:sz w:val="21"/>
                <w:szCs w:val="21"/>
                <w:lang w:val="en-US" w:eastAsia="zh-CN"/>
              </w:rPr>
              <w:t>433</w:t>
            </w:r>
          </w:p>
        </w:tc>
        <w:tc>
          <w:tcPr>
            <w:tcW w:w="1334" w:type="dxa"/>
            <w:tcBorders>
              <w:tl2br w:val="nil"/>
              <w:tr2bl w:val="nil"/>
            </w:tcBorders>
            <w:vAlign w:val="center"/>
          </w:tcPr>
          <w:p>
            <w:pPr>
              <w:spacing w:line="240" w:lineRule="atLeast"/>
              <w:jc w:val="center"/>
              <w:rPr>
                <w:rFonts w:ascii="Times New Roman" w:hAnsi="Times New Roman" w:cs="Times New Roman"/>
                <w:color w:val="auto"/>
                <w:sz w:val="21"/>
                <w:szCs w:val="21"/>
              </w:rPr>
            </w:pPr>
            <w:r>
              <w:rPr>
                <w:rFonts w:hint="eastAsia" w:ascii="Times New Roman" w:hAnsi="Times New Roman" w:eastAsia="仿宋_GB2312" w:cs="Times New Roman"/>
                <w:color w:val="auto"/>
                <w:sz w:val="21"/>
                <w:szCs w:val="21"/>
                <w:lang w:val="en-US" w:eastAsia="zh-CN"/>
              </w:rPr>
              <w:t>8.05</w:t>
            </w:r>
          </w:p>
        </w:tc>
        <w:tc>
          <w:tcPr>
            <w:tcW w:w="1259" w:type="dxa"/>
            <w:tcBorders>
              <w:tl2br w:val="nil"/>
              <w:tr2bl w:val="nil"/>
            </w:tcBorders>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31</w:t>
            </w:r>
          </w:p>
        </w:tc>
        <w:tc>
          <w:tcPr>
            <w:tcW w:w="1513" w:type="dxa"/>
            <w:tcBorders>
              <w:tl2br w:val="nil"/>
              <w:tr2bl w:val="nil"/>
            </w:tcBorders>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759</w:t>
            </w:r>
          </w:p>
        </w:tc>
        <w:tc>
          <w:tcPr>
            <w:tcW w:w="1625" w:type="dxa"/>
            <w:tcBorders>
              <w:tl2br w:val="nil"/>
              <w:tr2bl w:val="nil"/>
            </w:tcBorders>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5" w:hRule="atLeast"/>
        </w:trPr>
        <w:tc>
          <w:tcPr>
            <w:tcW w:w="1174"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256" w:type="dxa"/>
            <w:tcBorders>
              <w:tl2br w:val="nil"/>
              <w:tr2bl w:val="nil"/>
            </w:tcBorders>
            <w:vAlign w:val="center"/>
          </w:tcPr>
          <w:p>
            <w:pPr>
              <w:widowControl/>
              <w:spacing w:line="240" w:lineRule="atLeast"/>
              <w:jc w:val="center"/>
              <w:textAlignment w:val="center"/>
              <w:rPr>
                <w:rFonts w:hint="eastAsia" w:ascii="Times New Roman" w:hAnsi="Times New Roman" w:eastAsia="仿宋_GB2312" w:cs="Times New Roman"/>
                <w:color w:val="auto"/>
                <w:sz w:val="21"/>
                <w:szCs w:val="21"/>
                <w:lang w:eastAsia="zh-CN"/>
              </w:rPr>
            </w:pPr>
            <w:r>
              <w:rPr>
                <w:rFonts w:hint="eastAsia" w:ascii="Times New Roman" w:hAnsi="Times New Roman" w:eastAsia="仿宋_GB2312" w:cs="Times New Roman"/>
                <w:color w:val="auto"/>
                <w:sz w:val="21"/>
                <w:szCs w:val="21"/>
                <w:lang w:eastAsia="zh-CN"/>
              </w:rPr>
              <w:t>待建工程区</w:t>
            </w:r>
          </w:p>
        </w:tc>
        <w:tc>
          <w:tcPr>
            <w:tcW w:w="141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olor w:val="auto"/>
                <w:sz w:val="21"/>
                <w:szCs w:val="21"/>
              </w:rPr>
              <w:t>1</w:t>
            </w:r>
          </w:p>
        </w:tc>
        <w:tc>
          <w:tcPr>
            <w:tcW w:w="170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4"/>
                <w:sz w:val="21"/>
                <w:szCs w:val="21"/>
                <w:lang w:val="en-US" w:eastAsia="zh-CN"/>
              </w:rPr>
              <w:t>389</w:t>
            </w:r>
          </w:p>
        </w:tc>
        <w:tc>
          <w:tcPr>
            <w:tcW w:w="1709"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cs="Times New Roman"/>
                <w:color w:val="auto"/>
                <w:kern w:val="0"/>
                <w:sz w:val="21"/>
                <w:szCs w:val="21"/>
              </w:rPr>
              <w:t>9</w:t>
            </w:r>
            <w:r>
              <w:rPr>
                <w:rFonts w:hint="eastAsia" w:ascii="Times New Roman" w:hAnsi="Times New Roman" w:cs="Times New Roman"/>
                <w:color w:val="auto"/>
                <w:kern w:val="0"/>
                <w:sz w:val="21"/>
                <w:szCs w:val="21"/>
                <w:lang w:val="en-US" w:eastAsia="zh-CN"/>
              </w:rPr>
              <w:t>858</w:t>
            </w:r>
          </w:p>
        </w:tc>
        <w:tc>
          <w:tcPr>
            <w:tcW w:w="1334" w:type="dxa"/>
            <w:tcBorders>
              <w:tl2br w:val="nil"/>
              <w:tr2bl w:val="nil"/>
            </w:tcBorders>
            <w:vAlign w:val="center"/>
          </w:tcPr>
          <w:p>
            <w:pPr>
              <w:spacing w:line="240" w:lineRule="atLeast"/>
              <w:jc w:val="center"/>
              <w:rPr>
                <w:rFonts w:ascii="Times New Roman" w:hAnsi="Times New Roman" w:cs="Times New Roman"/>
                <w:color w:val="auto"/>
                <w:sz w:val="21"/>
                <w:szCs w:val="21"/>
              </w:rPr>
            </w:pPr>
            <w:r>
              <w:rPr>
                <w:rFonts w:hint="eastAsia" w:ascii="Times New Roman" w:hAnsi="Times New Roman" w:eastAsia="仿宋_GB2312" w:cs="Times New Roman"/>
                <w:color w:val="auto"/>
                <w:sz w:val="21"/>
                <w:szCs w:val="21"/>
                <w:lang w:val="en-US" w:eastAsia="zh-CN"/>
              </w:rPr>
              <w:t>18.17</w:t>
            </w:r>
          </w:p>
        </w:tc>
        <w:tc>
          <w:tcPr>
            <w:tcW w:w="1259" w:type="dxa"/>
            <w:tcBorders>
              <w:tl2br w:val="nil"/>
              <w:tr2bl w:val="nil"/>
            </w:tcBorders>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71</w:t>
            </w:r>
          </w:p>
        </w:tc>
        <w:tc>
          <w:tcPr>
            <w:tcW w:w="1513" w:type="dxa"/>
            <w:tcBorders>
              <w:tl2br w:val="nil"/>
              <w:tr2bl w:val="nil"/>
            </w:tcBorders>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1791</w:t>
            </w:r>
          </w:p>
        </w:tc>
        <w:tc>
          <w:tcPr>
            <w:tcW w:w="1625" w:type="dxa"/>
            <w:tcBorders>
              <w:tl2br w:val="nil"/>
              <w:tr2bl w:val="nil"/>
            </w:tcBorders>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1720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5" w:hRule="atLeast"/>
        </w:trPr>
        <w:tc>
          <w:tcPr>
            <w:tcW w:w="1174"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256"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临时</w:t>
            </w:r>
            <w:r>
              <w:rPr>
                <w:rFonts w:hint="eastAsia" w:ascii="Times New Roman" w:hAnsi="Times New Roman" w:eastAsia="仿宋_GB2312" w:cs="Times New Roman"/>
                <w:color w:val="auto"/>
                <w:kern w:val="0"/>
                <w:sz w:val="21"/>
                <w:szCs w:val="21"/>
                <w:lang w:eastAsia="zh-CN"/>
              </w:rPr>
              <w:t>堆土场</w:t>
            </w:r>
            <w:r>
              <w:rPr>
                <w:rFonts w:ascii="Times New Roman" w:hAnsi="Times New Roman" w:eastAsia="仿宋_GB2312" w:cs="Times New Roman"/>
                <w:color w:val="auto"/>
                <w:kern w:val="0"/>
                <w:sz w:val="21"/>
                <w:szCs w:val="21"/>
              </w:rPr>
              <w:t>区</w:t>
            </w:r>
          </w:p>
        </w:tc>
        <w:tc>
          <w:tcPr>
            <w:tcW w:w="1414" w:type="dxa"/>
            <w:tcBorders>
              <w:tl2br w:val="nil"/>
              <w:tr2bl w:val="nil"/>
            </w:tcBorders>
            <w:vAlign w:val="center"/>
          </w:tcPr>
          <w:p>
            <w:pPr>
              <w:spacing w:line="240" w:lineRule="atLeast"/>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olor w:val="auto"/>
                <w:sz w:val="21"/>
                <w:szCs w:val="21"/>
              </w:rPr>
              <w:t>2</w:t>
            </w:r>
            <w:r>
              <w:rPr>
                <w:rFonts w:hint="eastAsia" w:ascii="Times New Roman" w:hAnsi="Times New Roman" w:eastAsia="仿宋_GB2312"/>
                <w:color w:val="auto"/>
                <w:sz w:val="21"/>
                <w:szCs w:val="21"/>
                <w:lang w:val="en-US" w:eastAsia="zh-CN"/>
              </w:rPr>
              <w:t>.5</w:t>
            </w:r>
          </w:p>
        </w:tc>
        <w:tc>
          <w:tcPr>
            <w:tcW w:w="170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4"/>
                <w:sz w:val="21"/>
                <w:szCs w:val="21"/>
                <w:lang w:val="en-US" w:eastAsia="zh-CN"/>
              </w:rPr>
              <w:t>389</w:t>
            </w:r>
          </w:p>
        </w:tc>
        <w:tc>
          <w:tcPr>
            <w:tcW w:w="1709"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13</w:t>
            </w:r>
            <w:r>
              <w:rPr>
                <w:rFonts w:hint="eastAsia" w:ascii="Times New Roman" w:hAnsi="Times New Roman" w:eastAsia="仿宋_GB2312" w:cs="Times New Roman"/>
                <w:color w:val="auto"/>
                <w:kern w:val="0"/>
                <w:sz w:val="21"/>
                <w:szCs w:val="21"/>
                <w:lang w:val="en-US" w:eastAsia="zh-CN"/>
              </w:rPr>
              <w:t>5</w:t>
            </w:r>
            <w:r>
              <w:rPr>
                <w:rFonts w:ascii="Times New Roman" w:hAnsi="Times New Roman" w:eastAsia="仿宋_GB2312" w:cs="Times New Roman"/>
                <w:color w:val="auto"/>
                <w:kern w:val="0"/>
                <w:sz w:val="21"/>
                <w:szCs w:val="21"/>
              </w:rPr>
              <w:t>54</w:t>
            </w:r>
          </w:p>
        </w:tc>
        <w:tc>
          <w:tcPr>
            <w:tcW w:w="1334" w:type="dxa"/>
            <w:tcBorders>
              <w:tl2br w:val="nil"/>
              <w:tr2bl w:val="nil"/>
            </w:tcBorders>
            <w:vAlign w:val="center"/>
          </w:tcPr>
          <w:p>
            <w:pPr>
              <w:spacing w:line="240" w:lineRule="atLeast"/>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4.49</w:t>
            </w:r>
          </w:p>
        </w:tc>
        <w:tc>
          <w:tcPr>
            <w:tcW w:w="1259" w:type="dxa"/>
            <w:tcBorders>
              <w:tl2br w:val="nil"/>
              <w:tr2bl w:val="nil"/>
            </w:tcBorders>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44</w:t>
            </w:r>
          </w:p>
        </w:tc>
        <w:tc>
          <w:tcPr>
            <w:tcW w:w="1513" w:type="dxa"/>
            <w:tcBorders>
              <w:tl2br w:val="nil"/>
              <w:tr2bl w:val="nil"/>
            </w:tcBorders>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1521</w:t>
            </w:r>
          </w:p>
        </w:tc>
        <w:tc>
          <w:tcPr>
            <w:tcW w:w="1625" w:type="dxa"/>
            <w:tcBorders>
              <w:tl2br w:val="nil"/>
              <w:tr2bl w:val="nil"/>
            </w:tcBorders>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1477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5" w:hRule="atLeast"/>
        </w:trPr>
        <w:tc>
          <w:tcPr>
            <w:tcW w:w="1174"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256"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苗木移栽区</w:t>
            </w:r>
          </w:p>
        </w:tc>
        <w:tc>
          <w:tcPr>
            <w:tcW w:w="1414" w:type="dxa"/>
            <w:tcBorders>
              <w:tl2br w:val="nil"/>
              <w:tr2bl w:val="nil"/>
            </w:tcBorders>
            <w:vAlign w:val="center"/>
          </w:tcPr>
          <w:p>
            <w:pPr>
              <w:spacing w:line="240" w:lineRule="atLeast"/>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1.5</w:t>
            </w:r>
          </w:p>
        </w:tc>
        <w:tc>
          <w:tcPr>
            <w:tcW w:w="170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4"/>
                <w:sz w:val="21"/>
                <w:szCs w:val="21"/>
                <w:lang w:val="en-US" w:eastAsia="zh-CN"/>
              </w:rPr>
              <w:t>389</w:t>
            </w:r>
          </w:p>
        </w:tc>
        <w:tc>
          <w:tcPr>
            <w:tcW w:w="170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9943</w:t>
            </w:r>
          </w:p>
        </w:tc>
        <w:tc>
          <w:tcPr>
            <w:tcW w:w="1334" w:type="dxa"/>
            <w:tcBorders>
              <w:tl2br w:val="nil"/>
              <w:tr2bl w:val="nil"/>
            </w:tcBorders>
            <w:vAlign w:val="center"/>
          </w:tcPr>
          <w:p>
            <w:pPr>
              <w:spacing w:line="240" w:lineRule="atLeast"/>
              <w:jc w:val="center"/>
              <w:rPr>
                <w:rFonts w:cs="Times New Roman"/>
                <w:color w:val="auto"/>
                <w:sz w:val="21"/>
                <w:szCs w:val="21"/>
              </w:rPr>
            </w:pPr>
            <w:r>
              <w:rPr>
                <w:rFonts w:ascii="Times New Roman" w:hAnsi="Times New Roman" w:eastAsia="仿宋_GB2312" w:cs="Times New Roman"/>
                <w:color w:val="auto"/>
                <w:sz w:val="21"/>
                <w:szCs w:val="21"/>
              </w:rPr>
              <w:t>0.14</w:t>
            </w:r>
          </w:p>
        </w:tc>
        <w:tc>
          <w:tcPr>
            <w:tcW w:w="1259"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w:t>
            </w:r>
          </w:p>
        </w:tc>
        <w:tc>
          <w:tcPr>
            <w:tcW w:w="1513"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21</w:t>
            </w:r>
          </w:p>
        </w:tc>
        <w:tc>
          <w:tcPr>
            <w:tcW w:w="1625"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5" w:hRule="atLeast"/>
        </w:trPr>
        <w:tc>
          <w:tcPr>
            <w:tcW w:w="1174"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256"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小</w:t>
            </w:r>
            <w:r>
              <w:rPr>
                <w:rFonts w:ascii="Times New Roman" w:hAnsi="Times New Roman" w:eastAsia="仿宋_GB2312" w:cs="Times New Roman"/>
                <w:color w:val="auto"/>
                <w:spacing w:val="3"/>
                <w:sz w:val="21"/>
                <w:szCs w:val="21"/>
              </w:rPr>
              <w:t>计</w:t>
            </w:r>
          </w:p>
        </w:tc>
        <w:tc>
          <w:tcPr>
            <w:tcW w:w="141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170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170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1334" w:type="dxa"/>
            <w:tcBorders>
              <w:tl2br w:val="nil"/>
              <w:tr2bl w:val="nil"/>
            </w:tcBorders>
            <w:vAlign w:val="center"/>
          </w:tcPr>
          <w:p>
            <w:pPr>
              <w:spacing w:line="240" w:lineRule="atLeast"/>
              <w:jc w:val="center"/>
              <w:rPr>
                <w:rFonts w:cs="Times New Roman"/>
                <w:color w:val="auto"/>
                <w:sz w:val="21"/>
                <w:szCs w:val="21"/>
              </w:rPr>
            </w:pPr>
          </w:p>
        </w:tc>
        <w:tc>
          <w:tcPr>
            <w:tcW w:w="1259"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398</w:t>
            </w:r>
          </w:p>
        </w:tc>
        <w:tc>
          <w:tcPr>
            <w:tcW w:w="1513"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10833</w:t>
            </w:r>
          </w:p>
        </w:tc>
        <w:tc>
          <w:tcPr>
            <w:tcW w:w="1625"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10435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4" w:hRule="atLeast"/>
        </w:trPr>
        <w:tc>
          <w:tcPr>
            <w:tcW w:w="1174" w:type="dxa"/>
            <w:vMerge w:val="restart"/>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1"/>
                <w:sz w:val="21"/>
                <w:szCs w:val="21"/>
              </w:rPr>
              <w:t>自然恢</w:t>
            </w:r>
            <w:r>
              <w:rPr>
                <w:rFonts w:ascii="Times New Roman" w:hAnsi="Times New Roman" w:eastAsia="仿宋_GB2312" w:cs="Times New Roman"/>
                <w:color w:val="auto"/>
                <w:sz w:val="21"/>
                <w:szCs w:val="21"/>
              </w:rPr>
              <w:t>复期</w:t>
            </w:r>
          </w:p>
        </w:tc>
        <w:tc>
          <w:tcPr>
            <w:tcW w:w="2256"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道路与交通设施用地区</w:t>
            </w:r>
          </w:p>
        </w:tc>
        <w:tc>
          <w:tcPr>
            <w:tcW w:w="141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5"/>
                <w:sz w:val="21"/>
                <w:szCs w:val="21"/>
              </w:rPr>
              <w:t>2</w:t>
            </w:r>
          </w:p>
        </w:tc>
        <w:tc>
          <w:tcPr>
            <w:tcW w:w="170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4"/>
                <w:sz w:val="21"/>
                <w:szCs w:val="21"/>
                <w:lang w:val="en-US" w:eastAsia="zh-CN"/>
              </w:rPr>
              <w:t>389</w:t>
            </w:r>
          </w:p>
        </w:tc>
        <w:tc>
          <w:tcPr>
            <w:tcW w:w="1709"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353</w:t>
            </w:r>
          </w:p>
        </w:tc>
        <w:tc>
          <w:tcPr>
            <w:tcW w:w="1334" w:type="dxa"/>
            <w:tcBorders>
              <w:tl2br w:val="nil"/>
              <w:tr2bl w:val="nil"/>
            </w:tcBorders>
            <w:vAlign w:val="center"/>
          </w:tcPr>
          <w:p>
            <w:pPr>
              <w:spacing w:line="24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2.</w:t>
            </w:r>
            <w:r>
              <w:rPr>
                <w:rFonts w:hint="eastAsia" w:ascii="Times New Roman" w:hAnsi="Times New Roman" w:cs="Times New Roman"/>
                <w:color w:val="auto"/>
                <w:sz w:val="21"/>
                <w:szCs w:val="21"/>
                <w:lang w:val="en-US" w:eastAsia="zh-CN"/>
              </w:rPr>
              <w:t>56</w:t>
            </w:r>
          </w:p>
        </w:tc>
        <w:tc>
          <w:tcPr>
            <w:tcW w:w="1259"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513"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18</w:t>
            </w:r>
          </w:p>
        </w:tc>
        <w:tc>
          <w:tcPr>
            <w:tcW w:w="1625"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5" w:hRule="atLeast"/>
        </w:trPr>
        <w:tc>
          <w:tcPr>
            <w:tcW w:w="1174"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256"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公用设施用地区</w:t>
            </w:r>
          </w:p>
        </w:tc>
        <w:tc>
          <w:tcPr>
            <w:tcW w:w="141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5"/>
                <w:sz w:val="21"/>
                <w:szCs w:val="21"/>
              </w:rPr>
              <w:t>2</w:t>
            </w:r>
          </w:p>
        </w:tc>
        <w:tc>
          <w:tcPr>
            <w:tcW w:w="170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4"/>
                <w:sz w:val="21"/>
                <w:szCs w:val="21"/>
                <w:lang w:val="en-US" w:eastAsia="zh-CN"/>
              </w:rPr>
              <w:t>389</w:t>
            </w:r>
          </w:p>
        </w:tc>
        <w:tc>
          <w:tcPr>
            <w:tcW w:w="1709"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475</w:t>
            </w:r>
          </w:p>
        </w:tc>
        <w:tc>
          <w:tcPr>
            <w:tcW w:w="1334" w:type="dxa"/>
            <w:tcBorders>
              <w:tl2br w:val="nil"/>
              <w:tr2bl w:val="nil"/>
            </w:tcBorders>
            <w:vAlign w:val="center"/>
          </w:tcPr>
          <w:p>
            <w:pPr>
              <w:spacing w:line="240" w:lineRule="atLeas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12.87</w:t>
            </w:r>
          </w:p>
        </w:tc>
        <w:tc>
          <w:tcPr>
            <w:tcW w:w="1259"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100</w:t>
            </w:r>
          </w:p>
        </w:tc>
        <w:tc>
          <w:tcPr>
            <w:tcW w:w="1513"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122</w:t>
            </w:r>
          </w:p>
        </w:tc>
        <w:tc>
          <w:tcPr>
            <w:tcW w:w="1625"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4" w:hRule="atLeast"/>
        </w:trPr>
        <w:tc>
          <w:tcPr>
            <w:tcW w:w="1174"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256"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绿地区</w:t>
            </w:r>
          </w:p>
        </w:tc>
        <w:tc>
          <w:tcPr>
            <w:tcW w:w="141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5"/>
                <w:sz w:val="21"/>
                <w:szCs w:val="21"/>
              </w:rPr>
              <w:t>2</w:t>
            </w:r>
          </w:p>
        </w:tc>
        <w:tc>
          <w:tcPr>
            <w:tcW w:w="170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4"/>
                <w:sz w:val="21"/>
                <w:szCs w:val="21"/>
                <w:lang w:val="en-US" w:eastAsia="zh-CN"/>
              </w:rPr>
              <w:t>389</w:t>
            </w:r>
          </w:p>
        </w:tc>
        <w:tc>
          <w:tcPr>
            <w:tcW w:w="1709"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449</w:t>
            </w:r>
          </w:p>
        </w:tc>
        <w:tc>
          <w:tcPr>
            <w:tcW w:w="1334" w:type="dxa"/>
            <w:tcBorders>
              <w:tl2br w:val="nil"/>
              <w:tr2bl w:val="nil"/>
            </w:tcBorders>
            <w:vAlign w:val="center"/>
          </w:tcPr>
          <w:p>
            <w:pPr>
              <w:widowControl/>
              <w:spacing w:line="240" w:lineRule="atLeas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18.81</w:t>
            </w:r>
          </w:p>
        </w:tc>
        <w:tc>
          <w:tcPr>
            <w:tcW w:w="1259"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146</w:t>
            </w:r>
          </w:p>
        </w:tc>
        <w:tc>
          <w:tcPr>
            <w:tcW w:w="1513"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169</w:t>
            </w:r>
          </w:p>
        </w:tc>
        <w:tc>
          <w:tcPr>
            <w:tcW w:w="1625"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174"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256"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eastAsia="zh-CN"/>
              </w:rPr>
              <w:t>已建工程区</w:t>
            </w:r>
          </w:p>
        </w:tc>
        <w:tc>
          <w:tcPr>
            <w:tcW w:w="141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5"/>
                <w:sz w:val="21"/>
                <w:szCs w:val="21"/>
              </w:rPr>
              <w:t>2</w:t>
            </w:r>
          </w:p>
        </w:tc>
        <w:tc>
          <w:tcPr>
            <w:tcW w:w="170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4"/>
                <w:sz w:val="21"/>
                <w:szCs w:val="21"/>
                <w:lang w:val="en-US" w:eastAsia="zh-CN"/>
              </w:rPr>
              <w:t>389</w:t>
            </w:r>
          </w:p>
        </w:tc>
        <w:tc>
          <w:tcPr>
            <w:tcW w:w="1709"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449</w:t>
            </w:r>
          </w:p>
        </w:tc>
        <w:tc>
          <w:tcPr>
            <w:tcW w:w="1334" w:type="dxa"/>
            <w:tcBorders>
              <w:tl2br w:val="nil"/>
              <w:tr2bl w:val="nil"/>
            </w:tcBorders>
            <w:vAlign w:val="center"/>
          </w:tcPr>
          <w:p>
            <w:pPr>
              <w:spacing w:line="240" w:lineRule="atLeast"/>
              <w:jc w:val="center"/>
              <w:rPr>
                <w:rFonts w:hint="default" w:ascii="Times New Roman" w:hAnsi="Times New Roman" w:cs="Times New Roman"/>
                <w:color w:val="auto"/>
                <w:sz w:val="21"/>
                <w:szCs w:val="21"/>
              </w:rPr>
            </w:pPr>
            <w:r>
              <w:rPr>
                <w:rFonts w:hint="eastAsia" w:ascii="Times New Roman" w:hAnsi="Times New Roman" w:eastAsia="仿宋_GB2312" w:cs="Times New Roman"/>
                <w:color w:val="auto"/>
                <w:sz w:val="21"/>
                <w:szCs w:val="21"/>
                <w:lang w:val="en-US" w:eastAsia="zh-CN"/>
              </w:rPr>
              <w:t>8.05</w:t>
            </w:r>
          </w:p>
        </w:tc>
        <w:tc>
          <w:tcPr>
            <w:tcW w:w="1259"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63</w:t>
            </w:r>
          </w:p>
        </w:tc>
        <w:tc>
          <w:tcPr>
            <w:tcW w:w="1513"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w:t>
            </w:r>
          </w:p>
        </w:tc>
        <w:tc>
          <w:tcPr>
            <w:tcW w:w="1625"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174"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256"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eastAsia="zh-CN"/>
              </w:rPr>
              <w:t>待建工程区</w:t>
            </w:r>
          </w:p>
        </w:tc>
        <w:tc>
          <w:tcPr>
            <w:tcW w:w="141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5"/>
                <w:sz w:val="21"/>
                <w:szCs w:val="21"/>
              </w:rPr>
              <w:t>2</w:t>
            </w:r>
          </w:p>
        </w:tc>
        <w:tc>
          <w:tcPr>
            <w:tcW w:w="170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pacing w:val="4"/>
                <w:sz w:val="21"/>
                <w:szCs w:val="21"/>
                <w:lang w:val="en-US" w:eastAsia="zh-CN"/>
              </w:rPr>
              <w:t>389</w:t>
            </w:r>
          </w:p>
        </w:tc>
        <w:tc>
          <w:tcPr>
            <w:tcW w:w="1709" w:type="dxa"/>
            <w:tcBorders>
              <w:tl2br w:val="nil"/>
              <w:tr2bl w:val="nil"/>
            </w:tcBorders>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449</w:t>
            </w:r>
          </w:p>
        </w:tc>
        <w:tc>
          <w:tcPr>
            <w:tcW w:w="1334" w:type="dxa"/>
            <w:tcBorders>
              <w:tl2br w:val="nil"/>
              <w:tr2bl w:val="nil"/>
            </w:tcBorders>
            <w:vAlign w:val="center"/>
          </w:tcPr>
          <w:p>
            <w:pPr>
              <w:spacing w:line="240" w:lineRule="atLeast"/>
              <w:jc w:val="center"/>
              <w:rPr>
                <w:rFonts w:hint="default" w:ascii="Times New Roman" w:hAnsi="Times New Roman" w:cs="Times New Roman"/>
                <w:color w:val="auto"/>
                <w:sz w:val="21"/>
                <w:szCs w:val="21"/>
              </w:rPr>
            </w:pPr>
            <w:r>
              <w:rPr>
                <w:rFonts w:hint="eastAsia" w:ascii="Times New Roman" w:hAnsi="Times New Roman" w:eastAsia="仿宋_GB2312" w:cs="Times New Roman"/>
                <w:color w:val="auto"/>
                <w:sz w:val="21"/>
                <w:szCs w:val="21"/>
                <w:lang w:val="en-US" w:eastAsia="zh-CN"/>
              </w:rPr>
              <w:t>18.17</w:t>
            </w:r>
          </w:p>
        </w:tc>
        <w:tc>
          <w:tcPr>
            <w:tcW w:w="1259"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141</w:t>
            </w:r>
          </w:p>
        </w:tc>
        <w:tc>
          <w:tcPr>
            <w:tcW w:w="1513"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163</w:t>
            </w:r>
          </w:p>
        </w:tc>
        <w:tc>
          <w:tcPr>
            <w:tcW w:w="1625"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35" w:hRule="atLeast"/>
        </w:trPr>
        <w:tc>
          <w:tcPr>
            <w:tcW w:w="1174" w:type="dxa"/>
            <w:vMerge w:val="continue"/>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2256"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小</w:t>
            </w:r>
            <w:r>
              <w:rPr>
                <w:rFonts w:ascii="Times New Roman" w:hAnsi="Times New Roman" w:eastAsia="仿宋_GB2312" w:cs="Times New Roman"/>
                <w:color w:val="auto"/>
                <w:spacing w:val="3"/>
                <w:sz w:val="21"/>
                <w:szCs w:val="21"/>
              </w:rPr>
              <w:t>计</w:t>
            </w:r>
          </w:p>
        </w:tc>
        <w:tc>
          <w:tcPr>
            <w:tcW w:w="141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170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170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1334" w:type="dxa"/>
            <w:tcBorders>
              <w:tl2br w:val="nil"/>
              <w:tr2bl w:val="nil"/>
            </w:tcBorders>
            <w:vAlign w:val="center"/>
          </w:tcPr>
          <w:p>
            <w:pPr>
              <w:spacing w:line="240" w:lineRule="atLeast"/>
              <w:jc w:val="center"/>
              <w:rPr>
                <w:rFonts w:cs="Times New Roman"/>
                <w:color w:val="auto"/>
                <w:sz w:val="21"/>
                <w:szCs w:val="21"/>
              </w:rPr>
            </w:pPr>
          </w:p>
        </w:tc>
        <w:tc>
          <w:tcPr>
            <w:tcW w:w="1259"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470</w:t>
            </w:r>
          </w:p>
        </w:tc>
        <w:tc>
          <w:tcPr>
            <w:tcW w:w="1513"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544</w:t>
            </w:r>
          </w:p>
        </w:tc>
        <w:tc>
          <w:tcPr>
            <w:tcW w:w="1625"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8" w:hRule="atLeast"/>
        </w:trPr>
        <w:tc>
          <w:tcPr>
            <w:tcW w:w="3430" w:type="dxa"/>
            <w:gridSpan w:val="2"/>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pacing w:val="4"/>
                <w:sz w:val="21"/>
                <w:szCs w:val="21"/>
              </w:rPr>
              <w:t>合</w:t>
            </w:r>
            <w:r>
              <w:rPr>
                <w:rFonts w:ascii="Times New Roman" w:hAnsi="Times New Roman" w:eastAsia="仿宋_GB2312" w:cs="Times New Roman"/>
                <w:color w:val="auto"/>
                <w:spacing w:val="3"/>
                <w:sz w:val="21"/>
                <w:szCs w:val="21"/>
              </w:rPr>
              <w:t>计</w:t>
            </w:r>
          </w:p>
        </w:tc>
        <w:tc>
          <w:tcPr>
            <w:tcW w:w="141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1701"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1709"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1334" w:type="dxa"/>
            <w:tcBorders>
              <w:tl2br w:val="nil"/>
              <w:tr2bl w:val="nil"/>
            </w:tcBorders>
            <w:vAlign w:val="center"/>
          </w:tcPr>
          <w:p>
            <w:pPr>
              <w:spacing w:line="240" w:lineRule="atLeast"/>
              <w:jc w:val="center"/>
              <w:rPr>
                <w:rFonts w:ascii="Times New Roman" w:hAnsi="Times New Roman" w:eastAsia="仿宋_GB2312" w:cs="Times New Roman"/>
                <w:color w:val="auto"/>
                <w:sz w:val="21"/>
                <w:szCs w:val="21"/>
              </w:rPr>
            </w:pPr>
          </w:p>
        </w:tc>
        <w:tc>
          <w:tcPr>
            <w:tcW w:w="1259"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908</w:t>
            </w:r>
          </w:p>
        </w:tc>
        <w:tc>
          <w:tcPr>
            <w:tcW w:w="1513"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12367</w:t>
            </w:r>
          </w:p>
        </w:tc>
        <w:tc>
          <w:tcPr>
            <w:tcW w:w="1625" w:type="dxa"/>
            <w:tcBorders>
              <w:tl2br w:val="nil"/>
              <w:tr2bl w:val="nil"/>
            </w:tcBorders>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11461</w:t>
            </w:r>
          </w:p>
        </w:tc>
      </w:tr>
    </w:tbl>
    <w:p>
      <w:pPr>
        <w:snapToGrid w:val="0"/>
        <w:spacing w:line="360" w:lineRule="auto"/>
        <w:ind w:firstLine="560"/>
        <w:rPr>
          <w:rFonts w:ascii="Times New Roman" w:hAnsi="Times New Roman" w:eastAsia="仿宋_GB2312" w:cs="Times New Roman"/>
          <w:color w:val="auto"/>
        </w:rPr>
      </w:pPr>
    </w:p>
    <w:p>
      <w:pPr>
        <w:snapToGrid w:val="0"/>
        <w:spacing w:line="360" w:lineRule="auto"/>
        <w:ind w:firstLine="560"/>
        <w:rPr>
          <w:rFonts w:ascii="Times New Roman" w:hAnsi="Times New Roman" w:eastAsia="仿宋_GB2312" w:cs="Times New Roman"/>
          <w:color w:val="auto"/>
        </w:rPr>
        <w:sectPr>
          <w:headerReference r:id="rId30" w:type="default"/>
          <w:footerReference r:id="rId31" w:type="default"/>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32" w:charSpace="0"/>
        </w:sectPr>
      </w:pPr>
    </w:p>
    <w:p>
      <w:pPr>
        <w:pStyle w:val="177"/>
        <w:snapToGrid w:val="0"/>
        <w:spacing w:before="0" w:line="360" w:lineRule="auto"/>
        <w:rPr>
          <w:rFonts w:ascii="Times New Roman" w:hAnsi="Times New Roman" w:cs="Times New Roman"/>
          <w:color w:val="auto"/>
          <w:szCs w:val="24"/>
        </w:rPr>
      </w:pPr>
      <w:r>
        <w:rPr>
          <w:rFonts w:ascii="Times New Roman" w:hAnsi="Times New Roman" w:cs="Times New Roman"/>
          <w:color w:val="auto"/>
          <w:szCs w:val="24"/>
        </w:rPr>
        <w:t>表4</w:t>
      </w:r>
      <w:r>
        <w:rPr>
          <w:rFonts w:hint="eastAsia" w:ascii="Times New Roman" w:hAnsi="Times New Roman" w:cs="Times New Roman"/>
          <w:color w:val="auto"/>
          <w:szCs w:val="24"/>
        </w:rPr>
        <w:t>.</w:t>
      </w:r>
      <w:r>
        <w:rPr>
          <w:rFonts w:ascii="Times New Roman" w:hAnsi="Times New Roman" w:cs="Times New Roman"/>
          <w:color w:val="auto"/>
          <w:szCs w:val="24"/>
        </w:rPr>
        <w:t>3-</w:t>
      </w:r>
      <w:r>
        <w:rPr>
          <w:rFonts w:hint="eastAsia" w:ascii="Times New Roman" w:hAnsi="Times New Roman" w:cs="Times New Roman"/>
          <w:color w:val="auto"/>
          <w:szCs w:val="24"/>
        </w:rPr>
        <w:t>7</w:t>
      </w:r>
      <w:r>
        <w:rPr>
          <w:rFonts w:ascii="Times New Roman" w:hAnsi="Times New Roman" w:cs="Times New Roman"/>
          <w:color w:val="auto"/>
          <w:szCs w:val="24"/>
        </w:rPr>
        <w:t>：水土流失总量和新增水土流失量汇总表</w:t>
      </w:r>
    </w:p>
    <w:tbl>
      <w:tblPr>
        <w:tblStyle w:val="37"/>
        <w:tblW w:w="843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10"/>
        <w:gridCol w:w="1546"/>
        <w:gridCol w:w="1217"/>
        <w:gridCol w:w="1701"/>
        <w:gridCol w:w="1559"/>
        <w:gridCol w:w="170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8" w:hRule="atLeast"/>
          <w:jc w:val="center"/>
        </w:trPr>
        <w:tc>
          <w:tcPr>
            <w:tcW w:w="710" w:type="dxa"/>
            <w:vMerge w:val="restart"/>
            <w:tcBorders>
              <w:top w:val="single" w:color="auto" w:sz="12" w:space="0"/>
              <w:left w:val="single" w:color="auto" w:sz="12" w:space="0"/>
              <w:bottom w:val="single" w:color="auto" w:sz="6" w:space="0"/>
              <w:right w:val="single" w:color="auto" w:sz="6" w:space="0"/>
            </w:tcBorders>
            <w:noWrap/>
            <w:vAlign w:val="center"/>
          </w:tcPr>
          <w:p>
            <w:pPr>
              <w:widowControl/>
              <w:snapToGrid w:val="0"/>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kern w:val="0"/>
                <w:sz w:val="21"/>
                <w:szCs w:val="21"/>
              </w:rPr>
              <w:t>序号</w:t>
            </w:r>
          </w:p>
        </w:tc>
        <w:tc>
          <w:tcPr>
            <w:tcW w:w="1546" w:type="dxa"/>
            <w:vMerge w:val="restart"/>
            <w:tcBorders>
              <w:top w:val="single" w:color="auto" w:sz="12" w:space="0"/>
              <w:left w:val="single" w:color="auto" w:sz="6" w:space="0"/>
              <w:bottom w:val="single" w:color="auto" w:sz="6" w:space="0"/>
              <w:right w:val="single" w:color="auto" w:sz="6" w:space="0"/>
            </w:tcBorders>
            <w:noWrap/>
            <w:vAlign w:val="center"/>
          </w:tcPr>
          <w:p>
            <w:pPr>
              <w:widowControl/>
              <w:snapToGrid w:val="0"/>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kern w:val="0"/>
                <w:sz w:val="21"/>
                <w:szCs w:val="21"/>
              </w:rPr>
              <w:t>预测时段</w:t>
            </w:r>
          </w:p>
        </w:tc>
        <w:tc>
          <w:tcPr>
            <w:tcW w:w="2918" w:type="dxa"/>
            <w:gridSpan w:val="2"/>
            <w:tcBorders>
              <w:top w:val="single" w:color="auto" w:sz="12" w:space="0"/>
              <w:left w:val="single" w:color="auto" w:sz="6" w:space="0"/>
              <w:bottom w:val="single" w:color="auto" w:sz="6" w:space="0"/>
              <w:right w:val="single" w:color="auto" w:sz="6" w:space="0"/>
            </w:tcBorders>
            <w:noWrap/>
            <w:vAlign w:val="center"/>
          </w:tcPr>
          <w:p>
            <w:pPr>
              <w:widowControl/>
              <w:snapToGrid w:val="0"/>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kern w:val="0"/>
                <w:sz w:val="21"/>
                <w:szCs w:val="21"/>
              </w:rPr>
              <w:t>新增流失量</w:t>
            </w:r>
          </w:p>
        </w:tc>
        <w:tc>
          <w:tcPr>
            <w:tcW w:w="3260" w:type="dxa"/>
            <w:gridSpan w:val="2"/>
            <w:tcBorders>
              <w:top w:val="single" w:color="auto" w:sz="12" w:space="0"/>
              <w:left w:val="single" w:color="auto" w:sz="6" w:space="0"/>
              <w:bottom w:val="single" w:color="auto" w:sz="6" w:space="0"/>
              <w:right w:val="single" w:color="auto" w:sz="12" w:space="0"/>
            </w:tcBorders>
            <w:noWrap/>
            <w:vAlign w:val="center"/>
          </w:tcPr>
          <w:p>
            <w:pPr>
              <w:widowControl/>
              <w:snapToGrid w:val="0"/>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kern w:val="0"/>
                <w:sz w:val="21"/>
                <w:szCs w:val="21"/>
              </w:rPr>
              <w:t>预测流失量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710" w:type="dxa"/>
            <w:vMerge w:val="continue"/>
            <w:tcBorders>
              <w:top w:val="single" w:color="auto" w:sz="12" w:space="0"/>
              <w:left w:val="single" w:color="auto" w:sz="12" w:space="0"/>
              <w:bottom w:val="single" w:color="auto" w:sz="6" w:space="0"/>
              <w:right w:val="single" w:color="auto" w:sz="6" w:space="0"/>
            </w:tcBorders>
            <w:noWrap/>
            <w:vAlign w:val="center"/>
          </w:tcPr>
          <w:p>
            <w:pPr>
              <w:widowControl/>
              <w:snapToGrid w:val="0"/>
              <w:jc w:val="left"/>
              <w:rPr>
                <w:rFonts w:ascii="Times New Roman" w:hAnsi="Times New Roman" w:eastAsia="仿宋_GB2312" w:cs="Times New Roman"/>
                <w:b/>
                <w:bCs/>
                <w:color w:val="auto"/>
                <w:kern w:val="0"/>
                <w:sz w:val="21"/>
                <w:szCs w:val="21"/>
              </w:rPr>
            </w:pPr>
          </w:p>
        </w:tc>
        <w:tc>
          <w:tcPr>
            <w:tcW w:w="1546" w:type="dxa"/>
            <w:vMerge w:val="continue"/>
            <w:tcBorders>
              <w:top w:val="single" w:color="auto" w:sz="12" w:space="0"/>
              <w:left w:val="single" w:color="auto" w:sz="6" w:space="0"/>
              <w:bottom w:val="single" w:color="auto" w:sz="6" w:space="0"/>
              <w:right w:val="single" w:color="auto" w:sz="6" w:space="0"/>
            </w:tcBorders>
            <w:noWrap/>
            <w:vAlign w:val="center"/>
          </w:tcPr>
          <w:p>
            <w:pPr>
              <w:widowControl/>
              <w:snapToGrid w:val="0"/>
              <w:jc w:val="left"/>
              <w:rPr>
                <w:rFonts w:ascii="Times New Roman" w:hAnsi="Times New Roman" w:eastAsia="仿宋_GB2312" w:cs="Times New Roman"/>
                <w:b/>
                <w:bCs/>
                <w:color w:val="auto"/>
                <w:kern w:val="0"/>
                <w:sz w:val="21"/>
                <w:szCs w:val="21"/>
              </w:rPr>
            </w:pPr>
          </w:p>
        </w:tc>
        <w:tc>
          <w:tcPr>
            <w:tcW w:w="1217" w:type="dxa"/>
            <w:tcBorders>
              <w:top w:val="single" w:color="auto" w:sz="6" w:space="0"/>
              <w:left w:val="single" w:color="auto" w:sz="6" w:space="0"/>
              <w:bottom w:val="single" w:color="auto" w:sz="6" w:space="0"/>
              <w:right w:val="single" w:color="auto" w:sz="6" w:space="0"/>
            </w:tcBorders>
            <w:noWrap/>
            <w:vAlign w:val="center"/>
          </w:tcPr>
          <w:p>
            <w:pPr>
              <w:widowControl/>
              <w:snapToGrid w:val="0"/>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kern w:val="0"/>
                <w:sz w:val="21"/>
                <w:szCs w:val="21"/>
              </w:rPr>
              <w:t>数量（t）</w:t>
            </w:r>
          </w:p>
        </w:tc>
        <w:tc>
          <w:tcPr>
            <w:tcW w:w="1701" w:type="dxa"/>
            <w:tcBorders>
              <w:top w:val="single" w:color="auto" w:sz="6" w:space="0"/>
              <w:left w:val="single" w:color="auto" w:sz="6" w:space="0"/>
              <w:bottom w:val="single" w:color="auto" w:sz="6" w:space="0"/>
              <w:right w:val="single" w:color="auto" w:sz="6" w:space="0"/>
            </w:tcBorders>
            <w:noWrap/>
            <w:vAlign w:val="center"/>
          </w:tcPr>
          <w:p>
            <w:pPr>
              <w:widowControl/>
              <w:snapToGrid w:val="0"/>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kern w:val="0"/>
                <w:sz w:val="21"/>
                <w:szCs w:val="21"/>
              </w:rPr>
              <w:t>所占比例（%）</w:t>
            </w:r>
          </w:p>
        </w:tc>
        <w:tc>
          <w:tcPr>
            <w:tcW w:w="1559" w:type="dxa"/>
            <w:tcBorders>
              <w:top w:val="single" w:color="auto" w:sz="6" w:space="0"/>
              <w:left w:val="single" w:color="auto" w:sz="6" w:space="0"/>
              <w:bottom w:val="single" w:color="auto" w:sz="6" w:space="0"/>
              <w:right w:val="single" w:color="auto" w:sz="6" w:space="0"/>
            </w:tcBorders>
            <w:noWrap/>
            <w:vAlign w:val="center"/>
          </w:tcPr>
          <w:p>
            <w:pPr>
              <w:widowControl/>
              <w:snapToGrid w:val="0"/>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kern w:val="0"/>
                <w:sz w:val="21"/>
                <w:szCs w:val="21"/>
              </w:rPr>
              <w:t>数量（t）</w:t>
            </w:r>
          </w:p>
        </w:tc>
        <w:tc>
          <w:tcPr>
            <w:tcW w:w="1701" w:type="dxa"/>
            <w:tcBorders>
              <w:top w:val="single" w:color="auto" w:sz="6" w:space="0"/>
              <w:left w:val="single" w:color="auto" w:sz="6" w:space="0"/>
              <w:bottom w:val="single" w:color="auto" w:sz="6" w:space="0"/>
              <w:right w:val="single" w:color="auto" w:sz="12" w:space="0"/>
            </w:tcBorders>
            <w:noWrap/>
            <w:vAlign w:val="center"/>
          </w:tcPr>
          <w:p>
            <w:pPr>
              <w:widowControl/>
              <w:snapToGrid w:val="0"/>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kern w:val="0"/>
                <w:sz w:val="21"/>
                <w:szCs w:val="21"/>
              </w:rPr>
              <w:t>所占比例（%）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710" w:type="dxa"/>
            <w:tcBorders>
              <w:top w:val="single" w:color="auto" w:sz="6" w:space="0"/>
              <w:left w:val="single" w:color="auto" w:sz="12" w:space="0"/>
              <w:bottom w:val="single" w:color="auto" w:sz="6" w:space="0"/>
              <w:right w:val="single" w:color="auto" w:sz="6" w:space="0"/>
            </w:tcBorders>
            <w:noWrap/>
            <w:vAlign w:val="center"/>
          </w:tcPr>
          <w:p>
            <w:pPr>
              <w:widowControl/>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1</w:t>
            </w:r>
          </w:p>
        </w:tc>
        <w:tc>
          <w:tcPr>
            <w:tcW w:w="1546" w:type="dxa"/>
            <w:tcBorders>
              <w:top w:val="single" w:color="auto" w:sz="6" w:space="0"/>
              <w:left w:val="single" w:color="auto" w:sz="6" w:space="0"/>
              <w:bottom w:val="single" w:color="auto" w:sz="6" w:space="0"/>
              <w:right w:val="single" w:color="auto" w:sz="6" w:space="0"/>
            </w:tcBorders>
            <w:noWrap/>
            <w:vAlign w:val="center"/>
          </w:tcPr>
          <w:p>
            <w:pPr>
              <w:widowControl/>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施工期</w:t>
            </w:r>
          </w:p>
        </w:tc>
        <w:tc>
          <w:tcPr>
            <w:tcW w:w="1217" w:type="dxa"/>
            <w:tcBorders>
              <w:top w:val="single" w:color="auto" w:sz="6" w:space="0"/>
              <w:left w:val="single" w:color="auto" w:sz="6" w:space="0"/>
              <w:bottom w:val="single" w:color="auto" w:sz="6" w:space="0"/>
              <w:right w:val="single" w:color="auto" w:sz="6" w:space="0"/>
            </w:tcBorders>
            <w:noWrap/>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11385</w:t>
            </w:r>
          </w:p>
        </w:tc>
        <w:tc>
          <w:tcPr>
            <w:tcW w:w="1701" w:type="dxa"/>
            <w:tcBorders>
              <w:top w:val="single" w:color="auto" w:sz="6" w:space="0"/>
              <w:left w:val="single" w:color="auto" w:sz="6" w:space="0"/>
              <w:bottom w:val="single" w:color="auto" w:sz="6" w:space="0"/>
              <w:right w:val="single" w:color="auto" w:sz="6" w:space="0"/>
            </w:tcBorders>
            <w:noWrap/>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99.34</w:t>
            </w:r>
          </w:p>
        </w:tc>
        <w:tc>
          <w:tcPr>
            <w:tcW w:w="1559" w:type="dxa"/>
            <w:tcBorders>
              <w:top w:val="single" w:color="auto" w:sz="6" w:space="0"/>
              <w:left w:val="single" w:color="auto" w:sz="6" w:space="0"/>
              <w:bottom w:val="single" w:color="auto" w:sz="6" w:space="0"/>
              <w:right w:val="single" w:color="auto" w:sz="6" w:space="0"/>
            </w:tcBorders>
            <w:noWrap/>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11823</w:t>
            </w:r>
          </w:p>
        </w:tc>
        <w:tc>
          <w:tcPr>
            <w:tcW w:w="1701" w:type="dxa"/>
            <w:tcBorders>
              <w:top w:val="single" w:color="auto" w:sz="6" w:space="0"/>
              <w:left w:val="single" w:color="auto" w:sz="6" w:space="0"/>
              <w:bottom w:val="single" w:color="auto" w:sz="6" w:space="0"/>
              <w:right w:val="single" w:color="auto" w:sz="12" w:space="0"/>
            </w:tcBorders>
            <w:noWrap/>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95.60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3" w:hRule="atLeast"/>
          <w:jc w:val="center"/>
        </w:trPr>
        <w:tc>
          <w:tcPr>
            <w:tcW w:w="710" w:type="dxa"/>
            <w:tcBorders>
              <w:top w:val="single" w:color="auto" w:sz="6" w:space="0"/>
              <w:left w:val="single" w:color="auto" w:sz="12" w:space="0"/>
              <w:bottom w:val="single" w:color="auto" w:sz="6" w:space="0"/>
              <w:right w:val="single" w:color="auto" w:sz="6" w:space="0"/>
            </w:tcBorders>
            <w:noWrap/>
            <w:vAlign w:val="center"/>
          </w:tcPr>
          <w:p>
            <w:pPr>
              <w:widowControl/>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2</w:t>
            </w:r>
          </w:p>
        </w:tc>
        <w:tc>
          <w:tcPr>
            <w:tcW w:w="1546" w:type="dxa"/>
            <w:tcBorders>
              <w:top w:val="single" w:color="auto" w:sz="6" w:space="0"/>
              <w:left w:val="single" w:color="auto" w:sz="6" w:space="0"/>
              <w:bottom w:val="single" w:color="auto" w:sz="6" w:space="0"/>
              <w:right w:val="single" w:color="auto" w:sz="6" w:space="0"/>
            </w:tcBorders>
            <w:noWrap/>
            <w:vAlign w:val="center"/>
          </w:tcPr>
          <w:p>
            <w:pPr>
              <w:widowControl/>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自然恢复期</w:t>
            </w:r>
          </w:p>
        </w:tc>
        <w:tc>
          <w:tcPr>
            <w:tcW w:w="1217" w:type="dxa"/>
            <w:tcBorders>
              <w:top w:val="single" w:color="auto" w:sz="6" w:space="0"/>
              <w:left w:val="single" w:color="auto" w:sz="6" w:space="0"/>
              <w:bottom w:val="single" w:color="auto" w:sz="6" w:space="0"/>
              <w:right w:val="single" w:color="auto" w:sz="6" w:space="0"/>
            </w:tcBorders>
            <w:noWrap/>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76</w:t>
            </w:r>
          </w:p>
        </w:tc>
        <w:tc>
          <w:tcPr>
            <w:tcW w:w="1701" w:type="dxa"/>
            <w:tcBorders>
              <w:top w:val="single" w:color="auto" w:sz="6" w:space="0"/>
              <w:left w:val="single" w:color="auto" w:sz="6" w:space="0"/>
              <w:bottom w:val="single" w:color="auto" w:sz="6" w:space="0"/>
              <w:right w:val="single" w:color="auto" w:sz="6" w:space="0"/>
            </w:tcBorders>
            <w:noWrap/>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0.66</w:t>
            </w:r>
          </w:p>
        </w:tc>
        <w:tc>
          <w:tcPr>
            <w:tcW w:w="1559" w:type="dxa"/>
            <w:tcBorders>
              <w:top w:val="single" w:color="auto" w:sz="6" w:space="0"/>
              <w:left w:val="single" w:color="auto" w:sz="6" w:space="0"/>
              <w:bottom w:val="single" w:color="auto" w:sz="6" w:space="0"/>
              <w:right w:val="single" w:color="auto" w:sz="6" w:space="0"/>
            </w:tcBorders>
            <w:noWrap/>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544</w:t>
            </w:r>
          </w:p>
        </w:tc>
        <w:tc>
          <w:tcPr>
            <w:tcW w:w="1701" w:type="dxa"/>
            <w:tcBorders>
              <w:top w:val="single" w:color="auto" w:sz="6" w:space="0"/>
              <w:left w:val="single" w:color="auto" w:sz="6" w:space="0"/>
              <w:bottom w:val="single" w:color="auto" w:sz="6" w:space="0"/>
              <w:right w:val="single" w:color="auto" w:sz="12" w:space="0"/>
            </w:tcBorders>
            <w:noWrap/>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3" w:hRule="atLeast"/>
          <w:jc w:val="center"/>
        </w:trPr>
        <w:tc>
          <w:tcPr>
            <w:tcW w:w="2256" w:type="dxa"/>
            <w:gridSpan w:val="2"/>
            <w:tcBorders>
              <w:top w:val="single" w:color="auto" w:sz="6" w:space="0"/>
              <w:left w:val="single" w:color="auto" w:sz="12" w:space="0"/>
              <w:bottom w:val="single" w:color="auto" w:sz="12" w:space="0"/>
              <w:right w:val="single" w:color="auto" w:sz="6" w:space="0"/>
            </w:tcBorders>
            <w:noWrap/>
            <w:vAlign w:val="center"/>
          </w:tcPr>
          <w:p>
            <w:pPr>
              <w:widowControl/>
              <w:snapToGrid w:val="0"/>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kern w:val="0"/>
                <w:sz w:val="21"/>
                <w:szCs w:val="21"/>
              </w:rPr>
              <w:t>合计</w:t>
            </w:r>
          </w:p>
        </w:tc>
        <w:tc>
          <w:tcPr>
            <w:tcW w:w="1217" w:type="dxa"/>
            <w:tcBorders>
              <w:top w:val="single" w:color="auto" w:sz="6" w:space="0"/>
              <w:left w:val="single" w:color="auto" w:sz="6" w:space="0"/>
              <w:bottom w:val="single" w:color="auto" w:sz="12" w:space="0"/>
              <w:right w:val="single" w:color="auto" w:sz="6" w:space="0"/>
            </w:tcBorders>
            <w:noWrap/>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11461</w:t>
            </w:r>
          </w:p>
        </w:tc>
        <w:tc>
          <w:tcPr>
            <w:tcW w:w="1701" w:type="dxa"/>
            <w:tcBorders>
              <w:top w:val="single" w:color="auto" w:sz="6" w:space="0"/>
              <w:left w:val="single" w:color="auto" w:sz="6" w:space="0"/>
              <w:bottom w:val="single" w:color="auto" w:sz="12" w:space="0"/>
              <w:right w:val="single" w:color="auto" w:sz="6" w:space="0"/>
            </w:tcBorders>
            <w:noWrap/>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100</w:t>
            </w:r>
          </w:p>
        </w:tc>
        <w:tc>
          <w:tcPr>
            <w:tcW w:w="1559" w:type="dxa"/>
            <w:tcBorders>
              <w:top w:val="single" w:color="auto" w:sz="6" w:space="0"/>
              <w:left w:val="single" w:color="auto" w:sz="6" w:space="0"/>
              <w:bottom w:val="single" w:color="auto" w:sz="12" w:space="0"/>
              <w:right w:val="single" w:color="auto" w:sz="6" w:space="0"/>
            </w:tcBorders>
            <w:noWrap/>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12367</w:t>
            </w:r>
          </w:p>
        </w:tc>
        <w:tc>
          <w:tcPr>
            <w:tcW w:w="1701" w:type="dxa"/>
            <w:tcBorders>
              <w:top w:val="single" w:color="auto" w:sz="6" w:space="0"/>
              <w:left w:val="single" w:color="auto" w:sz="6" w:space="0"/>
              <w:bottom w:val="single" w:color="auto" w:sz="12" w:space="0"/>
              <w:right w:val="single" w:color="auto" w:sz="12" w:space="0"/>
            </w:tcBorders>
            <w:noWrap/>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100</w:t>
            </w:r>
          </w:p>
        </w:tc>
      </w:tr>
    </w:tbl>
    <w:p>
      <w:pPr>
        <w:snapToGrid w:val="0"/>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rPr>
        <w:t>综上，工程</w:t>
      </w:r>
      <w:r>
        <w:rPr>
          <w:rFonts w:hint="eastAsia" w:ascii="Times New Roman" w:hAnsi="Times New Roman" w:eastAsia="仿宋_GB2312" w:cs="Times New Roman"/>
          <w:color w:val="auto"/>
        </w:rPr>
        <w:t>施工建设过程中</w:t>
      </w:r>
      <w:r>
        <w:rPr>
          <w:rFonts w:ascii="Times New Roman" w:hAnsi="Times New Roman" w:eastAsia="仿宋_GB2312" w:cs="Times New Roman"/>
          <w:color w:val="auto"/>
        </w:rPr>
        <w:t>造成水土流失总量为</w:t>
      </w:r>
      <w:r>
        <w:rPr>
          <w:rFonts w:hint="eastAsia" w:ascii="Times New Roman" w:hAnsi="Times New Roman" w:eastAsia="仿宋_GB2312" w:cs="Times New Roman"/>
          <w:color w:val="auto"/>
          <w:lang w:val="en-US" w:eastAsia="zh-CN"/>
        </w:rPr>
        <w:t>12367</w:t>
      </w:r>
      <w:r>
        <w:rPr>
          <w:rFonts w:ascii="Times New Roman" w:hAnsi="Times New Roman" w:eastAsia="仿宋_GB2312" w:cs="Times New Roman"/>
          <w:color w:val="auto"/>
        </w:rPr>
        <w:t>t，其中新增水土流失量为</w:t>
      </w:r>
      <w:r>
        <w:rPr>
          <w:rFonts w:hint="eastAsia" w:ascii="Times New Roman" w:hAnsi="Times New Roman" w:eastAsia="仿宋_GB2312" w:cs="Times New Roman"/>
          <w:color w:val="auto"/>
          <w:lang w:val="en-US" w:eastAsia="zh-CN"/>
        </w:rPr>
        <w:t>11461</w:t>
      </w:r>
      <w:r>
        <w:rPr>
          <w:rFonts w:ascii="Times New Roman" w:hAnsi="Times New Roman" w:eastAsia="仿宋_GB2312" w:cs="Times New Roman"/>
          <w:color w:val="auto"/>
        </w:rPr>
        <w:t>t，自然恢复期新增水土流失量为</w:t>
      </w:r>
      <w:r>
        <w:rPr>
          <w:rFonts w:hint="eastAsia" w:ascii="Times New Roman" w:hAnsi="Times New Roman" w:eastAsia="仿宋_GB2312" w:cs="Times New Roman"/>
          <w:color w:val="auto"/>
          <w:lang w:val="en-US" w:eastAsia="zh-CN"/>
        </w:rPr>
        <w:t>76</w:t>
      </w:r>
      <w:r>
        <w:rPr>
          <w:rFonts w:hint="eastAsia" w:ascii="Times New Roman" w:hAnsi="Times New Roman" w:eastAsia="仿宋_GB2312" w:cs="Times New Roman"/>
          <w:color w:val="auto"/>
        </w:rPr>
        <w:t>t</w:t>
      </w:r>
      <w:r>
        <w:rPr>
          <w:rFonts w:ascii="Times New Roman" w:hAnsi="Times New Roman" w:eastAsia="仿宋_GB2312" w:cs="Times New Roman"/>
          <w:color w:val="auto"/>
        </w:rPr>
        <w:t>。施工期作为水土流失防治重点时段，防治重点区域是</w:t>
      </w:r>
      <w:r>
        <w:rPr>
          <w:rFonts w:hint="eastAsia" w:ascii="Times New Roman" w:hAnsi="Times New Roman" w:eastAsia="仿宋_GB2312" w:cs="Times New Roman"/>
          <w:color w:val="auto"/>
        </w:rPr>
        <w:t>公共基础设施区</w:t>
      </w:r>
      <w:r>
        <w:rPr>
          <w:rFonts w:ascii="Times New Roman" w:hAnsi="Times New Roman" w:eastAsia="仿宋_GB2312" w:cs="Times New Roman"/>
          <w:color w:val="auto"/>
        </w:rPr>
        <w:t>，加强施工期水土保持监测工作，确保水土流失防治措施及时到位，使工程建设造成的水土流失危害控制在最低限度。</w:t>
      </w:r>
    </w:p>
    <w:p>
      <w:pPr>
        <w:pStyle w:val="5"/>
        <w:rPr>
          <w:color w:val="auto"/>
        </w:rPr>
      </w:pPr>
      <w:bookmarkStart w:id="300" w:name="_Toc513476774"/>
      <w:bookmarkStart w:id="301" w:name="_Toc514430860"/>
      <w:bookmarkStart w:id="302" w:name="_Toc4236"/>
      <w:bookmarkStart w:id="303" w:name="_Toc514431470"/>
      <w:bookmarkStart w:id="304" w:name="_Toc514432614"/>
      <w:r>
        <w:rPr>
          <w:color w:val="auto"/>
        </w:rPr>
        <w:t>4.4</w:t>
      </w:r>
      <w:r>
        <w:rPr>
          <w:rFonts w:eastAsia="仿宋_GB2312"/>
          <w:color w:val="auto"/>
        </w:rPr>
        <w:t>水土流失危害分析</w:t>
      </w:r>
      <w:bookmarkEnd w:id="300"/>
      <w:bookmarkEnd w:id="301"/>
      <w:bookmarkEnd w:id="302"/>
      <w:bookmarkEnd w:id="303"/>
      <w:bookmarkEnd w:id="304"/>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水土流失的危害往往具有潜在性，若水土流失危害产生后再实施治理，不但会造成土地资源受损、土地生产能力下降和生态环境的破坏，而且治理难度增大，费用增高。</w:t>
      </w: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属于赣抚冲积平原，项目区域内土壤类型主要为红壤，其抗蚀性一般，项目区年均降雨量较大且集中，在建设过程中由于扰动和破坏了原地貌，极易造成严重的水土流失。如不采取合理有效的水土保持措施对可能造成的水土流失进行及时的防治，将对水土资源、生态环境等带来不利影响。主要表现在：</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（1）损坏评估区域内原有水土保持设施</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施工中土石方开挖、填筑、碾压、弃土等活动，造成原地表的水土保持设施的损坏，使其截留降水，涵蓄水分、滞缓径流、固土拦泥的作用降低，造成水土保持功能下降，加剧水土流失。</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（2）地表硬化和工程占压可能引起的危害</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本评估区域建成后，工业用地及仓储用地等地表硬化、土壤碾压以后，将引起水分入渗量减少，地表径流增加，在加剧土壤侵蚀的同时，也使水大量流失，形成较大的地表径流，若排水不畅，极易诱发强度的水力侵蚀。</w:t>
      </w:r>
    </w:p>
    <w:p>
      <w:pPr>
        <w:snapToGrid w:val="0"/>
        <w:spacing w:line="360" w:lineRule="auto"/>
        <w:ind w:firstLine="480" w:firstLineChars="200"/>
        <w:rPr>
          <w:rFonts w:hint="eastAsia" w:ascii="Times New Roman" w:hAnsi="Times New Roman" w:eastAsia="仿宋_GB2312" w:cs="Times New Roman"/>
          <w:color w:val="auto"/>
          <w:szCs w:val="24"/>
          <w:lang w:eastAsia="zh-CN"/>
        </w:rPr>
      </w:pPr>
      <w:r>
        <w:rPr>
          <w:rFonts w:hint="eastAsia" w:ascii="Times New Roman" w:hAnsi="Times New Roman" w:eastAsia="仿宋_GB2312" w:cs="Times New Roman"/>
          <w:color w:val="auto"/>
          <w:szCs w:val="24"/>
        </w:rPr>
        <w:t>（3）</w:t>
      </w:r>
      <w:r>
        <w:rPr>
          <w:rFonts w:hint="eastAsia" w:ascii="Times New Roman" w:hAnsi="Times New Roman" w:eastAsia="仿宋_GB2312" w:cs="Times New Roman"/>
          <w:color w:val="auto"/>
          <w:szCs w:val="24"/>
          <w:lang w:eastAsia="zh-CN"/>
        </w:rPr>
        <w:t>对周边水系的影响</w:t>
      </w:r>
    </w:p>
    <w:p>
      <w:pPr>
        <w:snapToGrid w:val="0"/>
        <w:spacing w:line="360" w:lineRule="auto"/>
        <w:ind w:firstLine="480" w:firstLineChars="200"/>
        <w:rPr>
          <w:rFonts w:hint="eastAsia" w:ascii="Times New Roman" w:hAnsi="Times New Roman" w:eastAsia="仿宋_GB2312" w:cs="Times New Roman"/>
          <w:color w:val="auto"/>
          <w:szCs w:val="24"/>
        </w:rPr>
      </w:pPr>
      <w:r>
        <w:rPr>
          <w:rFonts w:hint="eastAsia" w:ascii="Times New Roman" w:hAnsi="Times New Roman" w:eastAsia="仿宋_GB2312" w:cs="Times New Roman"/>
          <w:color w:val="auto"/>
          <w:szCs w:val="24"/>
        </w:rPr>
        <w:t>施工期间若防护不当，裸露的地表及临时堆土在暴雨径流作用下，易形成水土流失，并以悬移质和推移质的形式进入</w:t>
      </w:r>
      <w:r>
        <w:rPr>
          <w:rFonts w:hint="eastAsia" w:ascii="Times New Roman" w:hAnsi="Times New Roman" w:eastAsia="仿宋_GB2312" w:cs="Times New Roman"/>
          <w:color w:val="auto"/>
          <w:szCs w:val="24"/>
          <w:lang w:eastAsia="zh-CN"/>
        </w:rPr>
        <w:t>周边水系</w:t>
      </w:r>
      <w:r>
        <w:rPr>
          <w:rFonts w:hint="eastAsia" w:ascii="Times New Roman" w:hAnsi="Times New Roman" w:eastAsia="仿宋_GB2312" w:cs="Times New Roman"/>
          <w:color w:val="auto"/>
          <w:szCs w:val="24"/>
        </w:rPr>
        <w:t>，易造成渠底淤积，影响渠道排水灌溉功能，造成重大财产损失。</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lang w:eastAsia="zh-CN"/>
        </w:rPr>
        <w:t>（</w:t>
      </w:r>
      <w:r>
        <w:rPr>
          <w:rFonts w:hint="eastAsia" w:ascii="Times New Roman" w:hAnsi="Times New Roman" w:eastAsia="仿宋_GB2312" w:cs="Times New Roman"/>
          <w:color w:val="auto"/>
          <w:szCs w:val="24"/>
          <w:lang w:val="en-US" w:eastAsia="zh-CN"/>
        </w:rPr>
        <w:t>4</w:t>
      </w:r>
      <w:r>
        <w:rPr>
          <w:rFonts w:hint="eastAsia" w:ascii="Times New Roman" w:hAnsi="Times New Roman" w:eastAsia="仿宋_GB2312" w:cs="Times New Roman"/>
          <w:color w:val="auto"/>
          <w:szCs w:val="24"/>
          <w:lang w:eastAsia="zh-CN"/>
        </w:rPr>
        <w:t>）</w:t>
      </w:r>
      <w:r>
        <w:rPr>
          <w:rFonts w:hint="eastAsia" w:ascii="Times New Roman" w:hAnsi="Times New Roman" w:eastAsia="仿宋_GB2312" w:cs="Times New Roman"/>
          <w:color w:val="auto"/>
          <w:szCs w:val="24"/>
        </w:rPr>
        <w:t>降低土壤肥力</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因工程开挖而引起表面植被损坏，使裸地在雨水的冲刷下引起水土流失，从而带走土壤表层的营养元素，破坏土壤的理化性质，降低土壤肥力，影响苗木的生长，对土地资源的再生利用带来不利影响。同时，在土石方开挖、输送、搬迁过程中，也会流失部分肥力。</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w:t>
      </w:r>
      <w:r>
        <w:rPr>
          <w:rFonts w:hint="eastAsia" w:ascii="Times New Roman" w:hAnsi="Times New Roman" w:eastAsia="仿宋_GB2312" w:cs="Times New Roman"/>
          <w:color w:val="auto"/>
          <w:szCs w:val="24"/>
          <w:lang w:val="en-US" w:eastAsia="zh-CN"/>
        </w:rPr>
        <w:t>5</w:t>
      </w:r>
      <w:r>
        <w:rPr>
          <w:rFonts w:hint="eastAsia" w:ascii="Times New Roman" w:hAnsi="Times New Roman" w:eastAsia="仿宋_GB2312" w:cs="Times New Roman"/>
          <w:color w:val="auto"/>
          <w:szCs w:val="24"/>
        </w:rPr>
        <w:t>）影响城市市政管网</w:t>
      </w:r>
    </w:p>
    <w:p>
      <w:pPr>
        <w:snapToGrid w:val="0"/>
        <w:spacing w:line="360" w:lineRule="auto"/>
        <w:ind w:firstLine="480" w:firstLineChars="200"/>
        <w:rPr>
          <w:rFonts w:ascii="Times New Roman" w:hAnsi="Times New Roman" w:eastAsia="仿宋_GB2312" w:cs="Times New Roman"/>
          <w:color w:val="auto"/>
        </w:rPr>
      </w:pPr>
      <w:r>
        <w:rPr>
          <w:rFonts w:hint="eastAsia" w:ascii="Times New Roman" w:hAnsi="Times New Roman" w:eastAsia="仿宋_GB2312" w:cs="Times New Roman"/>
          <w:color w:val="auto"/>
          <w:szCs w:val="24"/>
        </w:rPr>
        <w:t>园区属于规划类项目，施工周期较长，园区优先进行路网施工，场地平整期间若不采取相应的防护措施，泥沙将大量进入市政雨水管道，对市政雨水管网造成影响。</w:t>
      </w:r>
    </w:p>
    <w:p>
      <w:pPr>
        <w:pStyle w:val="5"/>
        <w:rPr>
          <w:rFonts w:eastAsia="仿宋_GB2312"/>
          <w:color w:val="auto"/>
        </w:rPr>
      </w:pPr>
      <w:bookmarkStart w:id="305" w:name="_Toc513476775"/>
      <w:bookmarkStart w:id="306" w:name="_Toc514431471"/>
      <w:bookmarkStart w:id="307" w:name="_Toc514430861"/>
      <w:bookmarkStart w:id="308" w:name="_Toc514432615"/>
      <w:bookmarkStart w:id="309" w:name="_Toc30278"/>
      <w:r>
        <w:rPr>
          <w:color w:val="auto"/>
        </w:rPr>
        <w:t>4.5</w:t>
      </w:r>
      <w:r>
        <w:rPr>
          <w:rFonts w:eastAsia="仿宋_GB2312"/>
          <w:color w:val="auto"/>
        </w:rPr>
        <w:t>指导性意见</w:t>
      </w:r>
      <w:bookmarkEnd w:id="305"/>
      <w:bookmarkEnd w:id="306"/>
      <w:bookmarkEnd w:id="307"/>
      <w:bookmarkEnd w:id="308"/>
      <w:bookmarkEnd w:id="309"/>
    </w:p>
    <w:p>
      <w:pPr>
        <w:pStyle w:val="6"/>
        <w:rPr>
          <w:bCs w:val="0"/>
          <w:color w:val="auto"/>
        </w:rPr>
      </w:pPr>
      <w:r>
        <w:rPr>
          <w:bCs w:val="0"/>
          <w:color w:val="auto"/>
        </w:rPr>
        <w:t>4.5.1</w:t>
      </w:r>
      <w:r>
        <w:rPr>
          <w:rFonts w:hint="eastAsia" w:eastAsia="仿宋_GB2312"/>
          <w:bCs w:val="0"/>
          <w:color w:val="auto"/>
        </w:rPr>
        <w:t>综合分析</w:t>
      </w:r>
    </w:p>
    <w:p>
      <w:pPr>
        <w:snapToGrid w:val="0"/>
        <w:spacing w:line="360" w:lineRule="auto"/>
        <w:ind w:firstLine="480" w:firstLineChars="200"/>
        <w:rPr>
          <w:rFonts w:ascii="Times New Roman" w:hAnsi="Times New Roman" w:eastAsia="仿宋_GB2312" w:cs="Times New Roman"/>
          <w:color w:val="auto"/>
        </w:rPr>
      </w:pPr>
      <w:r>
        <w:rPr>
          <w:rFonts w:hint="eastAsia" w:ascii="Times New Roman" w:hAnsi="Times New Roman" w:eastAsia="仿宋_GB2312" w:cs="Times New Roman"/>
          <w:color w:val="auto"/>
          <w:szCs w:val="24"/>
        </w:rPr>
        <w:t>规划区建设期间共扰动地表面积</w:t>
      </w:r>
      <w:r>
        <w:rPr>
          <w:rFonts w:hint="eastAsia" w:ascii="Times New Roman" w:hAnsi="Times New Roman" w:eastAsia="仿宋_GB2312" w:cs="Times New Roman"/>
          <w:color w:val="auto"/>
          <w:szCs w:val="24"/>
          <w:lang w:val="en-US" w:eastAsia="zh-CN"/>
        </w:rPr>
        <w:t>100</w:t>
      </w:r>
      <w:r>
        <w:rPr>
          <w:rFonts w:hint="eastAsia" w:ascii="Times New Roman" w:hAnsi="Times New Roman" w:eastAsia="仿宋_GB2312" w:cs="Times New Roman"/>
          <w:color w:val="auto"/>
          <w:szCs w:val="24"/>
        </w:rPr>
        <w:t>hm</w:t>
      </w:r>
      <w:r>
        <w:rPr>
          <w:rFonts w:hint="eastAsia" w:ascii="Times New Roman" w:hAnsi="Times New Roman" w:eastAsia="仿宋_GB2312" w:cs="Times New Roman"/>
          <w:color w:val="auto"/>
          <w:szCs w:val="24"/>
          <w:vertAlign w:val="superscript"/>
        </w:rPr>
        <w:t>2</w:t>
      </w:r>
      <w:r>
        <w:rPr>
          <w:rFonts w:hint="eastAsia" w:ascii="Times New Roman" w:hAnsi="Times New Roman" w:eastAsia="仿宋_GB2312" w:cs="Times New Roman"/>
          <w:color w:val="auto"/>
          <w:szCs w:val="24"/>
        </w:rPr>
        <w:t>，损毁</w:t>
      </w:r>
      <w:r>
        <w:rPr>
          <w:rFonts w:ascii="Times New Roman" w:hAnsi="Times New Roman" w:eastAsia="仿宋_GB2312" w:cs="Times New Roman"/>
          <w:color w:val="auto"/>
          <w:szCs w:val="24"/>
        </w:rPr>
        <w:t>植被面积</w:t>
      </w:r>
      <w:r>
        <w:rPr>
          <w:rFonts w:hint="eastAsia" w:ascii="Times New Roman" w:hAnsi="Times New Roman" w:eastAsia="仿宋_GB2312" w:cs="Times New Roman"/>
          <w:color w:val="auto"/>
          <w:szCs w:val="24"/>
        </w:rPr>
        <w:t>16.96</w:t>
      </w:r>
      <w:r>
        <w:rPr>
          <w:rFonts w:ascii="Times New Roman" w:hAnsi="Times New Roman" w:eastAsia="仿宋_GB2312" w:cs="Times New Roman"/>
          <w:color w:val="auto"/>
          <w:szCs w:val="24"/>
        </w:rPr>
        <w:t>hm</w:t>
      </w:r>
      <w:r>
        <w:rPr>
          <w:rFonts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。如果在</w:t>
      </w:r>
      <w:r>
        <w:rPr>
          <w:rFonts w:ascii="Times New Roman" w:hAnsi="Times New Roman" w:eastAsia="仿宋_GB2312" w:cs="Times New Roman"/>
          <w:color w:val="auto"/>
        </w:rPr>
        <w:t>没有采取有效的水土保持措施情况下，</w:t>
      </w:r>
      <w:r>
        <w:rPr>
          <w:rFonts w:hint="eastAsia" w:ascii="Times New Roman" w:hAnsi="Times New Roman" w:eastAsia="仿宋_GB2312" w:cs="Times New Roman"/>
          <w:color w:val="auto"/>
        </w:rPr>
        <w:t>评估</w:t>
      </w:r>
      <w:r>
        <w:rPr>
          <w:rFonts w:ascii="Times New Roman" w:hAnsi="Times New Roman" w:eastAsia="仿宋_GB2312" w:cs="Times New Roman"/>
          <w:color w:val="auto"/>
        </w:rPr>
        <w:t>区域整个施工过程共可能造成水土流失总量为</w:t>
      </w:r>
      <w:r>
        <w:rPr>
          <w:rFonts w:hint="eastAsia" w:ascii="Times New Roman" w:hAnsi="Times New Roman" w:eastAsia="仿宋_GB2312" w:cs="Times New Roman"/>
          <w:color w:val="auto"/>
          <w:lang w:val="en-US" w:eastAsia="zh-CN"/>
        </w:rPr>
        <w:t>12367</w:t>
      </w:r>
      <w:r>
        <w:rPr>
          <w:rFonts w:ascii="Times New Roman" w:hAnsi="Times New Roman" w:eastAsia="仿宋_GB2312" w:cs="Times New Roman"/>
          <w:color w:val="auto"/>
        </w:rPr>
        <w:t>t，其中新增水土流失总量为</w:t>
      </w:r>
      <w:r>
        <w:rPr>
          <w:rFonts w:hint="eastAsia" w:ascii="Times New Roman" w:hAnsi="Times New Roman" w:eastAsia="仿宋_GB2312" w:cs="Times New Roman"/>
          <w:color w:val="auto"/>
          <w:lang w:val="en-US" w:eastAsia="zh-CN"/>
        </w:rPr>
        <w:t>11461</w:t>
      </w:r>
      <w:r>
        <w:rPr>
          <w:rFonts w:ascii="Times New Roman" w:hAnsi="Times New Roman" w:eastAsia="仿宋_GB2312" w:cs="Times New Roman"/>
          <w:color w:val="auto"/>
        </w:rPr>
        <w:t>t。</w:t>
      </w:r>
      <w:r>
        <w:rPr>
          <w:rFonts w:hint="eastAsia" w:ascii="Times New Roman" w:hAnsi="Times New Roman" w:eastAsia="仿宋_GB2312" w:cs="Times New Roman"/>
          <w:color w:val="auto"/>
        </w:rPr>
        <w:t>施工期水土流失量为</w:t>
      </w:r>
      <w:r>
        <w:rPr>
          <w:rFonts w:hint="eastAsia" w:ascii="Times New Roman" w:hAnsi="Times New Roman" w:eastAsia="仿宋_GB2312" w:cs="Times New Roman"/>
          <w:color w:val="auto"/>
          <w:lang w:val="en-US" w:eastAsia="zh-CN"/>
        </w:rPr>
        <w:t>11823</w:t>
      </w:r>
      <w:r>
        <w:rPr>
          <w:rFonts w:hint="eastAsia" w:ascii="Times New Roman" w:hAnsi="Times New Roman" w:eastAsia="仿宋_GB2312" w:cs="Times New Roman"/>
          <w:color w:val="auto"/>
        </w:rPr>
        <w:t>t，占水土流失总量的95.</w:t>
      </w:r>
      <w:r>
        <w:rPr>
          <w:rFonts w:hint="eastAsia" w:ascii="Times New Roman" w:hAnsi="Times New Roman" w:eastAsia="仿宋_GB2312" w:cs="Times New Roman"/>
          <w:color w:val="auto"/>
          <w:lang w:val="en-US" w:eastAsia="zh-CN"/>
        </w:rPr>
        <w:t>60</w:t>
      </w:r>
      <w:r>
        <w:rPr>
          <w:rFonts w:hint="eastAsia" w:ascii="Times New Roman" w:hAnsi="Times New Roman" w:eastAsia="仿宋_GB2312" w:cs="Times New Roman"/>
          <w:color w:val="auto"/>
        </w:rPr>
        <w:t>%；分区上，公共基础设施区水土流失量较多，评估区域防治和监测的重点区域是公共基础设施区。</w:t>
      </w:r>
    </w:p>
    <w:p>
      <w:pPr>
        <w:snapToGrid w:val="0"/>
        <w:spacing w:line="360" w:lineRule="auto"/>
        <w:ind w:firstLine="480" w:firstLineChars="200"/>
        <w:rPr>
          <w:rFonts w:ascii="仿宋_GB2312" w:eastAsia="仿宋_GB2312" w:cs="Times New Roman"/>
          <w:color w:val="auto"/>
          <w:szCs w:val="24"/>
        </w:rPr>
      </w:pPr>
      <w:r>
        <w:rPr>
          <w:rFonts w:hint="eastAsia" w:ascii="仿宋_GB2312" w:eastAsia="仿宋_GB2312" w:cs="Times New Roman"/>
          <w:color w:val="auto"/>
          <w:szCs w:val="24"/>
        </w:rPr>
        <w:t>从施工阶段分析，施工准备期将进行场地清理，造成土地裸露，为水力侵蚀的发生提供了下垫面条件，造成水土流失，且施工跨汛期，降雨充沛，使得水力侵蚀严重；从各预测单元分析，“五通一平”，绿化施工前的表土回填，区域内表土及一般土石方的临时堆放将造成大量水土流失。因此，必须制定切实可行的工程和植物措施，有效防治水土流失。</w:t>
      </w:r>
    </w:p>
    <w:p>
      <w:pPr>
        <w:pStyle w:val="6"/>
        <w:rPr>
          <w:bCs w:val="0"/>
          <w:color w:val="auto"/>
        </w:rPr>
      </w:pPr>
      <w:r>
        <w:rPr>
          <w:bCs w:val="0"/>
          <w:color w:val="auto"/>
        </w:rPr>
        <w:t>4.5.2</w:t>
      </w:r>
      <w:r>
        <w:rPr>
          <w:rFonts w:hint="eastAsia" w:eastAsia="仿宋_GB2312"/>
          <w:bCs w:val="0"/>
          <w:color w:val="auto"/>
        </w:rPr>
        <w:t>意见</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（1）</w:t>
      </w:r>
      <w:r>
        <w:rPr>
          <w:rFonts w:hint="eastAsia" w:ascii="Times New Roman" w:hAnsi="Times New Roman" w:eastAsia="仿宋_GB2312" w:cs="Times New Roman"/>
          <w:color w:val="auto"/>
          <w:szCs w:val="24"/>
        </w:rPr>
        <w:t>水土保持工程进度安排的意见</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水土保持措施的进度安排应与主体工程进度相配合。</w:t>
      </w: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区域的水土流失绝大部分发生在施工期。因此施工过程中水土保持措施进度安排对于减少</w:t>
      </w: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区域水土流失量非常重要，水土保持措施的功能必须在</w:t>
      </w: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区域主体工程的施工过程中发挥作用。因此，水土保持实施与进度必须与</w:t>
      </w: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的主体工程一致，防止水土流失防治措施与主体工程脱节。同时本区域土壤侵蚀类型主要为水力侵蚀，降水对裸露地表和临时堆土的冲刷是造成水土流失的主要因素，主体工程施工进度应紧凑安排，尽量避免雨季施工，缩短水土流失时段，减少水土流失。</w:t>
      </w:r>
    </w:p>
    <w:p>
      <w:pPr>
        <w:widowControl/>
        <w:snapToGrid w:val="0"/>
        <w:spacing w:line="360" w:lineRule="auto"/>
        <w:ind w:firstLine="48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2</w:t>
      </w:r>
      <w:r>
        <w:rPr>
          <w:rFonts w:ascii="Times New Roman" w:hAnsi="Times New Roman" w:eastAsia="仿宋_GB2312" w:cs="Times New Roman"/>
          <w:color w:val="auto"/>
          <w:szCs w:val="24"/>
        </w:rPr>
        <w:t>）防治措施布置建议</w:t>
      </w:r>
    </w:p>
    <w:p>
      <w:pPr>
        <w:widowControl/>
        <w:snapToGrid w:val="0"/>
        <w:spacing w:line="360" w:lineRule="auto"/>
        <w:ind w:firstLine="48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本区域土壤侵蚀类型主要为水力侵蚀，降水对裸露</w:t>
      </w:r>
      <w:r>
        <w:rPr>
          <w:rFonts w:hint="eastAsia" w:ascii="Times New Roman" w:hAnsi="Times New Roman" w:eastAsia="仿宋_GB2312" w:cs="Times New Roman"/>
          <w:color w:val="auto"/>
          <w:szCs w:val="24"/>
        </w:rPr>
        <w:t>地面、堆土</w:t>
      </w:r>
      <w:r>
        <w:rPr>
          <w:rFonts w:ascii="Times New Roman" w:hAnsi="Times New Roman" w:eastAsia="仿宋_GB2312" w:cs="Times New Roman"/>
          <w:color w:val="auto"/>
          <w:szCs w:val="24"/>
        </w:rPr>
        <w:t>边坡</w:t>
      </w:r>
      <w:r>
        <w:rPr>
          <w:rFonts w:hint="eastAsia" w:ascii="Times New Roman" w:hAnsi="Times New Roman" w:eastAsia="仿宋_GB2312" w:cs="Times New Roman"/>
          <w:color w:val="auto"/>
          <w:szCs w:val="24"/>
        </w:rPr>
        <w:t>等</w:t>
      </w:r>
      <w:r>
        <w:rPr>
          <w:rFonts w:ascii="Times New Roman" w:hAnsi="Times New Roman" w:eastAsia="仿宋_GB2312" w:cs="Times New Roman"/>
          <w:color w:val="auto"/>
          <w:szCs w:val="24"/>
        </w:rPr>
        <w:t>的冲刷是造成水土流失的主要因素，水土保持防护措施布置应尽量完善区域的排水系统，修筑临时的排水沟和沉沙池，使降雨能尽快排出本区域，避免积水加剧水土流失危害；此外，后期裸露地面和临时堆土应进行苫布覆盖，临时堆土和土方中转区域应补充临时拦挡措施，对裸露区域时间长的可考虑</w:t>
      </w:r>
      <w:r>
        <w:rPr>
          <w:rFonts w:hint="eastAsia" w:ascii="Times New Roman" w:hAnsi="Times New Roman" w:eastAsia="仿宋_GB2312" w:cs="Times New Roman"/>
          <w:color w:val="auto"/>
          <w:szCs w:val="24"/>
        </w:rPr>
        <w:t>布置</w:t>
      </w:r>
      <w:r>
        <w:rPr>
          <w:rFonts w:ascii="Times New Roman" w:hAnsi="Times New Roman" w:eastAsia="仿宋_GB2312" w:cs="Times New Roman"/>
          <w:color w:val="auto"/>
          <w:szCs w:val="24"/>
        </w:rPr>
        <w:t>临时绿化措施，采取植物措施可以有效地防治可能产生的水土流失，改善项目建设区生态环境。</w:t>
      </w:r>
    </w:p>
    <w:p>
      <w:pPr>
        <w:widowControl/>
        <w:snapToGrid w:val="0"/>
        <w:spacing w:line="360" w:lineRule="auto"/>
        <w:ind w:firstLine="48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3</w:t>
      </w:r>
      <w:r>
        <w:rPr>
          <w:rFonts w:ascii="Times New Roman" w:hAnsi="Times New Roman" w:eastAsia="仿宋_GB2312" w:cs="Times New Roman"/>
          <w:color w:val="auto"/>
          <w:szCs w:val="24"/>
        </w:rPr>
        <w:t>）水土保持监测建议</w:t>
      </w:r>
    </w:p>
    <w:p>
      <w:pPr>
        <w:widowControl/>
        <w:snapToGrid w:val="0"/>
        <w:spacing w:line="360" w:lineRule="auto"/>
        <w:ind w:firstLine="48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根据预测结果，工程造成水土流失主要发生在施工期，</w:t>
      </w:r>
      <w:r>
        <w:rPr>
          <w:rFonts w:hint="eastAsia" w:ascii="Times New Roman" w:hAnsi="Times New Roman" w:eastAsia="仿宋_GB2312" w:cs="Times New Roman"/>
          <w:color w:val="auto"/>
        </w:rPr>
        <w:t>公共基础设施区</w:t>
      </w:r>
      <w:r>
        <w:rPr>
          <w:rFonts w:ascii="Times New Roman" w:hAnsi="Times New Roman" w:eastAsia="仿宋_GB2312" w:cs="Times New Roman"/>
          <w:color w:val="auto"/>
          <w:szCs w:val="24"/>
        </w:rPr>
        <w:t>为本</w:t>
      </w:r>
      <w:r>
        <w:rPr>
          <w:rFonts w:hint="eastAsia" w:ascii="Times New Roman" w:hAnsi="Times New Roman" w:eastAsia="仿宋_GB2312" w:cs="Times New Roman"/>
          <w:color w:val="auto"/>
          <w:szCs w:val="24"/>
          <w:lang w:val="en-US" w:eastAsia="zh-CN"/>
        </w:rPr>
        <w:t>区域评估报告</w:t>
      </w:r>
      <w:r>
        <w:rPr>
          <w:rFonts w:ascii="Times New Roman" w:hAnsi="Times New Roman" w:eastAsia="仿宋_GB2312" w:cs="Times New Roman"/>
          <w:color w:val="auto"/>
          <w:szCs w:val="24"/>
        </w:rPr>
        <w:t>水土流失重点防治和监测区域，应进行有效的防治和监测</w:t>
      </w:r>
      <w:r>
        <w:rPr>
          <w:rFonts w:hint="eastAsia" w:ascii="Times New Roman" w:hAnsi="Times New Roman" w:eastAsia="仿宋_GB2312" w:cs="Times New Roman"/>
          <w:color w:val="auto"/>
          <w:szCs w:val="24"/>
        </w:rPr>
        <w:t>，并兼顾其它水土流失区域。评估</w:t>
      </w:r>
      <w:r>
        <w:rPr>
          <w:rFonts w:ascii="Times New Roman" w:hAnsi="Times New Roman" w:eastAsia="仿宋_GB2312" w:cs="Times New Roman"/>
          <w:color w:val="auto"/>
          <w:szCs w:val="24"/>
        </w:rPr>
        <w:t>区域施工期水土流失量最大，自然恢复期水土流失量大为减少。雨季为监测重点时段，并适当加大监测频次。</w:t>
      </w:r>
      <w:r>
        <w:rPr>
          <w:rFonts w:hint="eastAsia" w:ascii="Times New Roman" w:hAnsi="Times New Roman" w:eastAsia="仿宋_GB2312" w:cs="Times New Roman"/>
          <w:color w:val="auto"/>
          <w:szCs w:val="24"/>
        </w:rPr>
        <w:t>在监测过程中，要依据各区域水土流失特点，布置典型的监测设施，拟定具体的监测时段、频次和方法，通过水土保持监测为</w:t>
      </w:r>
      <w:r>
        <w:rPr>
          <w:rFonts w:hint="eastAsia" w:ascii="Times New Roman" w:hAnsi="Times New Roman" w:eastAsia="仿宋_GB2312" w:cs="Times New Roman"/>
          <w:color w:val="auto"/>
          <w:szCs w:val="24"/>
          <w:lang w:val="en-US" w:eastAsia="zh-CN"/>
        </w:rPr>
        <w:t>评估报告</w:t>
      </w:r>
      <w:r>
        <w:rPr>
          <w:rFonts w:hint="eastAsia" w:ascii="Times New Roman" w:hAnsi="Times New Roman" w:eastAsia="仿宋_GB2312" w:cs="Times New Roman"/>
          <w:color w:val="auto"/>
          <w:szCs w:val="24"/>
        </w:rPr>
        <w:t>实施和工程施工、运行管理服务。</w:t>
      </w:r>
    </w:p>
    <w:p>
      <w:pPr>
        <w:widowControl/>
        <w:snapToGrid w:val="0"/>
        <w:spacing w:line="360" w:lineRule="auto"/>
        <w:ind w:firstLine="48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（4）后续建议</w:t>
      </w:r>
    </w:p>
    <w:p>
      <w:pPr>
        <w:widowControl/>
        <w:snapToGrid w:val="0"/>
        <w:spacing w:line="360" w:lineRule="auto"/>
        <w:ind w:firstLine="48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对于现阶段未出让的地块，后期水土流失防治重点区域和重点时段可参考在建区域预测分析结果，并结合各个地块实际施工特点，开展水土流失防治及监测工作。</w:t>
      </w:r>
    </w:p>
    <w:p>
      <w:pPr>
        <w:pStyle w:val="156"/>
        <w:widowControl/>
        <w:snapToGrid w:val="0"/>
        <w:spacing w:line="360" w:lineRule="auto"/>
        <w:ind w:firstLine="566" w:firstLineChars="236"/>
        <w:jc w:val="left"/>
        <w:rPr>
          <w:rFonts w:ascii="Times New Roman" w:hAnsi="Times New Roman" w:eastAsia="仿宋_GB2312" w:cs="Times New Roman"/>
          <w:color w:val="auto"/>
          <w:szCs w:val="24"/>
        </w:rPr>
      </w:pPr>
    </w:p>
    <w:p>
      <w:pPr>
        <w:pStyle w:val="156"/>
        <w:widowControl/>
        <w:snapToGrid w:val="0"/>
        <w:spacing w:line="360" w:lineRule="auto"/>
        <w:ind w:firstLine="660" w:firstLineChars="236"/>
        <w:jc w:val="left"/>
        <w:rPr>
          <w:rFonts w:ascii="Times New Roman" w:hAnsi="Times New Roman" w:eastAsia="仿宋_GB2312" w:cs="Times New Roman"/>
          <w:color w:val="auto"/>
          <w:szCs w:val="24"/>
        </w:rPr>
        <w:sectPr>
          <w:headerReference r:id="rId32" w:type="default"/>
          <w:footerReference r:id="rId33" w:type="default"/>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32" w:charSpace="0"/>
        </w:sectPr>
      </w:pPr>
      <w:r>
        <w:rPr>
          <w:rFonts w:ascii="Times New Roman" w:hAnsi="Times New Roman" w:cs="Times New Roman"/>
          <w:color w:val="auto"/>
          <w:sz w:val="28"/>
          <w:szCs w:val="28"/>
        </w:rPr>
        <w:br w:type="page"/>
      </w:r>
    </w:p>
    <w:p>
      <w:pPr>
        <w:pStyle w:val="4"/>
        <w:jc w:val="center"/>
        <w:rPr>
          <w:rFonts w:eastAsia="仿宋_GB2312"/>
          <w:color w:val="auto"/>
          <w:szCs w:val="36"/>
        </w:rPr>
      </w:pPr>
      <w:r>
        <w:rPr>
          <w:rFonts w:eastAsia="仿宋_GB2312"/>
          <w:color w:val="auto"/>
          <w:szCs w:val="36"/>
        </w:rPr>
        <w:t>5 水土</w:t>
      </w:r>
      <w:bookmarkEnd w:id="280"/>
      <w:bookmarkEnd w:id="281"/>
      <w:bookmarkEnd w:id="282"/>
      <w:bookmarkEnd w:id="283"/>
      <w:r>
        <w:rPr>
          <w:rFonts w:eastAsia="仿宋_GB2312"/>
          <w:color w:val="auto"/>
          <w:szCs w:val="36"/>
        </w:rPr>
        <w:t>保持措施</w:t>
      </w:r>
      <w:bookmarkEnd w:id="284"/>
    </w:p>
    <w:p>
      <w:pPr>
        <w:pStyle w:val="5"/>
        <w:rPr>
          <w:rFonts w:eastAsia="仿宋_GB2312"/>
          <w:color w:val="auto"/>
          <w:szCs w:val="32"/>
        </w:rPr>
      </w:pPr>
      <w:bookmarkStart w:id="310" w:name="_Toc499039891"/>
      <w:bookmarkStart w:id="311" w:name="_Toc19602"/>
      <w:bookmarkStart w:id="312" w:name="_Toc11403"/>
      <w:bookmarkStart w:id="313" w:name="_Toc514430863"/>
      <w:bookmarkStart w:id="314" w:name="_Toc18841"/>
      <w:bookmarkStart w:id="315" w:name="_Toc4419"/>
      <w:bookmarkStart w:id="316" w:name="_Toc31091"/>
      <w:bookmarkStart w:id="317" w:name="_Toc21037"/>
      <w:bookmarkStart w:id="318" w:name="_Toc514431473"/>
      <w:bookmarkStart w:id="319" w:name="_Toc9038"/>
      <w:bookmarkStart w:id="320" w:name="_Toc439243927"/>
      <w:bookmarkStart w:id="321" w:name="_Toc451799230"/>
      <w:bookmarkStart w:id="322" w:name="_Toc514432617"/>
      <w:bookmarkStart w:id="323" w:name="_Toc6085"/>
      <w:r>
        <w:rPr>
          <w:rFonts w:eastAsia="仿宋_GB2312"/>
          <w:color w:val="auto"/>
          <w:szCs w:val="32"/>
        </w:rPr>
        <w:t xml:space="preserve">5.1 </w:t>
      </w:r>
      <w:bookmarkEnd w:id="310"/>
      <w:bookmarkEnd w:id="311"/>
      <w:bookmarkEnd w:id="312"/>
      <w:bookmarkEnd w:id="313"/>
      <w:bookmarkEnd w:id="314"/>
      <w:bookmarkEnd w:id="315"/>
      <w:bookmarkEnd w:id="316"/>
      <w:bookmarkEnd w:id="317"/>
      <w:bookmarkEnd w:id="318"/>
      <w:bookmarkEnd w:id="319"/>
      <w:bookmarkEnd w:id="320"/>
      <w:bookmarkEnd w:id="321"/>
      <w:bookmarkEnd w:id="322"/>
      <w:r>
        <w:rPr>
          <w:rFonts w:eastAsia="仿宋_GB2312"/>
          <w:color w:val="auto"/>
          <w:szCs w:val="32"/>
        </w:rPr>
        <w:t>防治分区划分</w:t>
      </w:r>
      <w:bookmarkEnd w:id="323"/>
    </w:p>
    <w:p>
      <w:pPr>
        <w:pStyle w:val="6"/>
        <w:rPr>
          <w:rFonts w:eastAsia="仿宋_GB2312"/>
          <w:bCs w:val="0"/>
          <w:color w:val="auto"/>
          <w:szCs w:val="30"/>
        </w:rPr>
      </w:pPr>
      <w:r>
        <w:rPr>
          <w:rFonts w:eastAsia="仿宋_GB2312"/>
          <w:bCs w:val="0"/>
          <w:color w:val="auto"/>
          <w:szCs w:val="30"/>
        </w:rPr>
        <w:t>5.1.1 分区原则</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根据项目建设的占地类型和方式、施工布置及施工时序、水土流失状况及水土流失防治目标，结合项目区自然环境状况进行水土流失防治分区。</w:t>
      </w:r>
    </w:p>
    <w:p>
      <w:pPr>
        <w:widowControl/>
        <w:snapToGrid w:val="0"/>
        <w:spacing w:line="360" w:lineRule="auto"/>
        <w:ind w:firstLine="480" w:firstLineChars="200"/>
        <w:jc w:val="left"/>
        <w:rPr>
          <w:rFonts w:ascii="Times New Roman" w:hAnsi="Times New Roman" w:eastAsia="仿宋_GB2312" w:cs="Times New Roman"/>
          <w:color w:val="auto"/>
        </w:rPr>
      </w:pPr>
      <w:r>
        <w:rPr>
          <w:rFonts w:ascii="Times New Roman" w:eastAsia="仿宋_GB2312" w:cs="Times New Roman"/>
          <w:color w:val="auto"/>
        </w:rPr>
        <w:t>（</w:t>
      </w:r>
      <w:r>
        <w:rPr>
          <w:rFonts w:ascii="Times New Roman" w:hAnsi="Times New Roman" w:eastAsia="仿宋_GB2312" w:cs="Times New Roman"/>
          <w:color w:val="auto"/>
        </w:rPr>
        <w:t>1</w:t>
      </w:r>
      <w:r>
        <w:rPr>
          <w:rFonts w:ascii="Times New Roman" w:eastAsia="仿宋_GB2312" w:cs="Times New Roman"/>
          <w:color w:val="auto"/>
        </w:rPr>
        <w:t>）各区之间应具有显著的差异性；</w:t>
      </w:r>
    </w:p>
    <w:p>
      <w:pPr>
        <w:widowControl/>
        <w:snapToGrid w:val="0"/>
        <w:spacing w:line="360" w:lineRule="auto"/>
        <w:ind w:firstLine="480" w:firstLineChars="200"/>
        <w:jc w:val="left"/>
        <w:rPr>
          <w:rFonts w:ascii="Times New Roman" w:hAnsi="Times New Roman" w:eastAsia="仿宋_GB2312" w:cs="Times New Roman"/>
          <w:color w:val="auto"/>
        </w:rPr>
      </w:pPr>
      <w:r>
        <w:rPr>
          <w:rFonts w:ascii="Times New Roman" w:eastAsia="仿宋_GB2312" w:cs="Times New Roman"/>
          <w:color w:val="auto"/>
        </w:rPr>
        <w:t>（</w:t>
      </w:r>
      <w:r>
        <w:rPr>
          <w:rFonts w:ascii="Times New Roman" w:hAnsi="Times New Roman" w:eastAsia="仿宋_GB2312" w:cs="Times New Roman"/>
          <w:color w:val="auto"/>
        </w:rPr>
        <w:t>2</w:t>
      </w:r>
      <w:r>
        <w:rPr>
          <w:rFonts w:ascii="Times New Roman" w:eastAsia="仿宋_GB2312" w:cs="Times New Roman"/>
          <w:color w:val="auto"/>
        </w:rPr>
        <w:t>）同一区内造成水土流失的主导因子和防治措施应相近或相似；</w:t>
      </w:r>
    </w:p>
    <w:p>
      <w:pPr>
        <w:widowControl/>
        <w:snapToGrid w:val="0"/>
        <w:spacing w:line="360" w:lineRule="auto"/>
        <w:ind w:firstLine="480" w:firstLineChars="200"/>
        <w:jc w:val="left"/>
        <w:rPr>
          <w:rFonts w:ascii="Times New Roman" w:hAnsi="Times New Roman" w:eastAsia="仿宋_GB2312" w:cs="Times New Roman"/>
          <w:color w:val="auto"/>
        </w:rPr>
      </w:pPr>
      <w:r>
        <w:rPr>
          <w:rFonts w:ascii="Times New Roman" w:eastAsia="仿宋_GB2312" w:cs="Times New Roman"/>
          <w:color w:val="auto"/>
        </w:rPr>
        <w:t>（</w:t>
      </w:r>
      <w:r>
        <w:rPr>
          <w:rFonts w:ascii="Times New Roman" w:hAnsi="Times New Roman" w:eastAsia="仿宋_GB2312" w:cs="Times New Roman"/>
          <w:color w:val="auto"/>
        </w:rPr>
        <w:t>3</w:t>
      </w:r>
      <w:r>
        <w:rPr>
          <w:rFonts w:ascii="Times New Roman" w:eastAsia="仿宋_GB2312" w:cs="Times New Roman"/>
          <w:color w:val="auto"/>
        </w:rPr>
        <w:t>）根据项目的繁简程度和项目区自然情况，防治区可划分为一级或多级；</w:t>
      </w:r>
    </w:p>
    <w:p>
      <w:pPr>
        <w:widowControl/>
        <w:snapToGrid w:val="0"/>
        <w:spacing w:line="360" w:lineRule="auto"/>
        <w:ind w:firstLine="480" w:firstLineChars="200"/>
        <w:jc w:val="left"/>
        <w:rPr>
          <w:rFonts w:ascii="Times New Roman" w:hAnsi="Times New Roman" w:eastAsia="仿宋_GB2312" w:cs="Times New Roman"/>
          <w:color w:val="auto"/>
        </w:rPr>
      </w:pPr>
      <w:r>
        <w:rPr>
          <w:rFonts w:ascii="Times New Roman" w:eastAsia="仿宋_GB2312" w:cs="Times New Roman"/>
          <w:color w:val="auto"/>
        </w:rPr>
        <w:t>（</w:t>
      </w:r>
      <w:r>
        <w:rPr>
          <w:rFonts w:ascii="Times New Roman" w:hAnsi="Times New Roman" w:eastAsia="仿宋_GB2312" w:cs="Times New Roman"/>
          <w:color w:val="auto"/>
        </w:rPr>
        <w:t>4</w:t>
      </w:r>
      <w:r>
        <w:rPr>
          <w:rFonts w:ascii="Times New Roman" w:eastAsia="仿宋_GB2312" w:cs="Times New Roman"/>
          <w:color w:val="auto"/>
        </w:rPr>
        <w:t>）一级区应具有控制性、整体性、全局性，线型工程应按土壤侵蚀类型、地形地貌、气候类型等因素划分一级区，二级区及其以下分区应结合工程布局、项目组成、占地性质和扰动特点进行逐级分区；</w:t>
      </w:r>
    </w:p>
    <w:p>
      <w:pPr>
        <w:widowControl/>
        <w:snapToGrid w:val="0"/>
        <w:spacing w:line="360" w:lineRule="auto"/>
        <w:ind w:firstLine="480" w:firstLineChars="200"/>
        <w:jc w:val="left"/>
        <w:rPr>
          <w:rFonts w:ascii="Times New Roman" w:hAnsi="Times New Roman" w:eastAsia="仿宋_GB2312" w:cs="Times New Roman"/>
          <w:color w:val="auto"/>
        </w:rPr>
      </w:pPr>
      <w:r>
        <w:rPr>
          <w:rFonts w:ascii="Times New Roman" w:eastAsia="仿宋_GB2312" w:cs="Times New Roman"/>
          <w:color w:val="auto"/>
        </w:rPr>
        <w:t>（</w:t>
      </w:r>
      <w:r>
        <w:rPr>
          <w:rFonts w:ascii="Times New Roman" w:hAnsi="Times New Roman" w:eastAsia="仿宋_GB2312" w:cs="Times New Roman"/>
          <w:color w:val="auto"/>
        </w:rPr>
        <w:t>5</w:t>
      </w:r>
      <w:r>
        <w:rPr>
          <w:rFonts w:ascii="Times New Roman" w:eastAsia="仿宋_GB2312" w:cs="Times New Roman"/>
          <w:color w:val="auto"/>
        </w:rPr>
        <w:t>）各级分区应层次分明，具有关联性和系统性。</w:t>
      </w:r>
    </w:p>
    <w:p>
      <w:pPr>
        <w:pStyle w:val="6"/>
        <w:rPr>
          <w:rFonts w:eastAsia="仿宋_GB2312"/>
          <w:bCs w:val="0"/>
          <w:color w:val="auto"/>
          <w:szCs w:val="30"/>
        </w:rPr>
      </w:pPr>
      <w:r>
        <w:rPr>
          <w:rFonts w:eastAsia="仿宋_GB2312"/>
          <w:bCs w:val="0"/>
          <w:color w:val="auto"/>
          <w:szCs w:val="30"/>
        </w:rPr>
        <w:t>5.1.2 水土流失防治分区</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根据各项目建设情况，本项目水土流失防治划分为</w:t>
      </w:r>
      <w:r>
        <w:rPr>
          <w:rFonts w:hint="eastAsia" w:ascii="Times New Roman" w:hAnsi="Times New Roman" w:eastAsia="仿宋_GB2312" w:cs="Times New Roman"/>
          <w:color w:val="auto"/>
          <w:szCs w:val="24"/>
        </w:rPr>
        <w:t>3个一级防治分区，即：公共基础设施防治区、区域规划功能防治区、施工临时设施防治区</w:t>
      </w:r>
      <w:r>
        <w:rPr>
          <w:rFonts w:hint="eastAsia" w:ascii="Times New Roman" w:hAnsi="Times New Roman" w:eastAsia="仿宋_GB2312" w:cs="Times New Roman"/>
          <w:color w:val="auto"/>
          <w:szCs w:val="24"/>
          <w:lang w:eastAsia="zh-CN"/>
        </w:rPr>
        <w:t>；</w:t>
      </w:r>
      <w:r>
        <w:rPr>
          <w:rFonts w:hint="eastAsia" w:ascii="Times New Roman" w:hAnsi="Times New Roman" w:eastAsia="仿宋_GB2312" w:cs="Times New Roman"/>
          <w:color w:val="auto"/>
          <w:szCs w:val="24"/>
          <w:lang w:val="en-US" w:eastAsia="zh-CN"/>
        </w:rPr>
        <w:t>其中：</w:t>
      </w:r>
      <w:r>
        <w:rPr>
          <w:rFonts w:hint="eastAsia" w:ascii="Times New Roman" w:hAnsi="Times New Roman" w:eastAsia="仿宋_GB2312" w:cs="Times New Roman"/>
          <w:color w:val="auto"/>
          <w:szCs w:val="24"/>
        </w:rPr>
        <w:t>公共基础设施防治区划分为3个二级防治分区，即：道路与交通设施用地防治区、公共设施用地防治区、绿地防治区；区域规划功能区划分为</w:t>
      </w:r>
      <w:r>
        <w:rPr>
          <w:rFonts w:hint="eastAsia" w:ascii="Times New Roman" w:hAnsi="Times New Roman" w:eastAsia="仿宋_GB2312" w:cs="Times New Roman"/>
          <w:color w:val="auto"/>
          <w:szCs w:val="24"/>
          <w:lang w:val="en-US" w:eastAsia="zh-CN"/>
        </w:rPr>
        <w:t>3</w:t>
      </w:r>
      <w:r>
        <w:rPr>
          <w:rFonts w:hint="eastAsia" w:ascii="Times New Roman" w:hAnsi="Times New Roman" w:eastAsia="仿宋_GB2312" w:cs="Times New Roman"/>
          <w:color w:val="auto"/>
          <w:szCs w:val="24"/>
        </w:rPr>
        <w:t>个二级防治分区，即：</w:t>
      </w:r>
      <w:r>
        <w:rPr>
          <w:rFonts w:hint="eastAsia" w:ascii="Times New Roman" w:hAnsi="Times New Roman" w:eastAsia="仿宋_GB2312" w:cs="Times New Roman"/>
          <w:color w:val="auto"/>
          <w:szCs w:val="24"/>
          <w:lang w:eastAsia="zh-CN"/>
        </w:rPr>
        <w:t>已建工程</w:t>
      </w:r>
      <w:r>
        <w:rPr>
          <w:rFonts w:hint="eastAsia" w:ascii="Times New Roman" w:hAnsi="Times New Roman" w:eastAsia="仿宋_GB2312" w:cs="Times New Roman"/>
          <w:color w:val="auto"/>
          <w:szCs w:val="24"/>
          <w:lang w:val="en-US" w:eastAsia="zh-CN"/>
        </w:rPr>
        <w:t>防治</w:t>
      </w:r>
      <w:r>
        <w:rPr>
          <w:rFonts w:hint="eastAsia" w:ascii="Times New Roman" w:hAnsi="Times New Roman" w:eastAsia="仿宋_GB2312" w:cs="Times New Roman"/>
          <w:color w:val="auto"/>
          <w:szCs w:val="24"/>
          <w:lang w:eastAsia="zh-CN"/>
        </w:rPr>
        <w:t>区、在建工程</w:t>
      </w:r>
      <w:r>
        <w:rPr>
          <w:rFonts w:hint="eastAsia" w:ascii="Times New Roman" w:hAnsi="Times New Roman" w:eastAsia="仿宋_GB2312" w:cs="Times New Roman"/>
          <w:color w:val="auto"/>
          <w:szCs w:val="24"/>
          <w:lang w:val="en-US" w:eastAsia="zh-CN"/>
        </w:rPr>
        <w:t>防治</w:t>
      </w:r>
      <w:r>
        <w:rPr>
          <w:rFonts w:hint="eastAsia" w:ascii="Times New Roman" w:hAnsi="Times New Roman" w:eastAsia="仿宋_GB2312" w:cs="Times New Roman"/>
          <w:color w:val="auto"/>
          <w:szCs w:val="24"/>
          <w:lang w:eastAsia="zh-CN"/>
        </w:rPr>
        <w:t>区、待建工程</w:t>
      </w:r>
      <w:r>
        <w:rPr>
          <w:rFonts w:hint="eastAsia" w:ascii="Times New Roman" w:hAnsi="Times New Roman" w:eastAsia="仿宋_GB2312" w:cs="Times New Roman"/>
          <w:color w:val="auto"/>
          <w:szCs w:val="24"/>
          <w:lang w:val="en-US" w:eastAsia="zh-CN"/>
        </w:rPr>
        <w:t>防治</w:t>
      </w:r>
      <w:r>
        <w:rPr>
          <w:rFonts w:hint="eastAsia" w:ascii="Times New Roman" w:hAnsi="Times New Roman" w:eastAsia="仿宋_GB2312" w:cs="Times New Roman"/>
          <w:color w:val="auto"/>
          <w:szCs w:val="24"/>
          <w:lang w:eastAsia="zh-CN"/>
        </w:rPr>
        <w:t>区</w:t>
      </w:r>
      <w:r>
        <w:rPr>
          <w:rFonts w:hint="eastAsia" w:ascii="Times New Roman" w:hAnsi="Times New Roman" w:eastAsia="仿宋_GB2312" w:cs="Times New Roman"/>
          <w:color w:val="auto"/>
          <w:szCs w:val="24"/>
        </w:rPr>
        <w:t>；施工临时设施</w:t>
      </w:r>
      <w:r>
        <w:rPr>
          <w:rFonts w:hint="eastAsia" w:ascii="Times New Roman" w:hAnsi="Times New Roman" w:eastAsia="仿宋_GB2312" w:cs="Times New Roman"/>
          <w:color w:val="auto"/>
          <w:szCs w:val="24"/>
          <w:lang w:val="en-US" w:eastAsia="zh-CN"/>
        </w:rPr>
        <w:t>防治</w:t>
      </w:r>
      <w:r>
        <w:rPr>
          <w:rFonts w:hint="eastAsia" w:ascii="Times New Roman" w:hAnsi="Times New Roman" w:eastAsia="仿宋_GB2312" w:cs="Times New Roman"/>
          <w:color w:val="auto"/>
          <w:szCs w:val="24"/>
        </w:rPr>
        <w:t>区划分为</w:t>
      </w:r>
      <w:r>
        <w:rPr>
          <w:rFonts w:hint="eastAsia" w:ascii="Times New Roman" w:hAnsi="Times New Roman" w:eastAsia="仿宋_GB2312" w:cs="Times New Roman"/>
          <w:color w:val="auto"/>
          <w:szCs w:val="24"/>
          <w:lang w:val="en-US" w:eastAsia="zh-CN"/>
        </w:rPr>
        <w:t>2</w:t>
      </w:r>
      <w:r>
        <w:rPr>
          <w:rFonts w:hint="eastAsia" w:ascii="Times New Roman" w:hAnsi="Times New Roman" w:eastAsia="仿宋_GB2312" w:cs="Times New Roman"/>
          <w:color w:val="auto"/>
          <w:szCs w:val="24"/>
        </w:rPr>
        <w:t>个二级防治分区，即：临时堆场防治区</w:t>
      </w:r>
      <w:r>
        <w:rPr>
          <w:rFonts w:hint="eastAsia" w:ascii="Times New Roman" w:hAnsi="Times New Roman" w:eastAsia="仿宋_GB2312" w:cs="Times New Roman"/>
          <w:color w:val="auto"/>
          <w:szCs w:val="24"/>
          <w:lang w:eastAsia="zh-CN"/>
        </w:rPr>
        <w:t>和</w:t>
      </w:r>
      <w:r>
        <w:rPr>
          <w:rFonts w:hint="eastAsia" w:ascii="Times New Roman" w:hAnsi="Times New Roman" w:eastAsia="仿宋_GB2312" w:cs="Times New Roman"/>
          <w:color w:val="auto"/>
          <w:szCs w:val="24"/>
        </w:rPr>
        <w:t>苗木移栽防治区</w:t>
      </w:r>
      <w:r>
        <w:rPr>
          <w:rFonts w:ascii="Times New Roman" w:hAnsi="Times New Roman" w:eastAsia="仿宋_GB2312" w:cs="Times New Roman"/>
          <w:color w:val="auto"/>
          <w:szCs w:val="24"/>
        </w:rPr>
        <w:t>。本</w:t>
      </w: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区域水土流失防治分区详见表5</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1-1。</w:t>
      </w:r>
    </w:p>
    <w:p>
      <w:pPr>
        <w:snapToGrid w:val="0"/>
        <w:spacing w:line="360" w:lineRule="auto"/>
        <w:jc w:val="center"/>
        <w:rPr>
          <w:rFonts w:ascii="Times New Roman" w:hAnsi="Times New Roman" w:eastAsia="仿宋_GB2312" w:cs="Times New Roman"/>
          <w:b/>
          <w:color w:val="auto"/>
          <w:szCs w:val="24"/>
        </w:rPr>
      </w:pPr>
    </w:p>
    <w:p>
      <w:pPr>
        <w:snapToGrid w:val="0"/>
        <w:spacing w:line="360" w:lineRule="auto"/>
        <w:jc w:val="center"/>
        <w:rPr>
          <w:rFonts w:ascii="Times New Roman" w:hAnsi="Times New Roman" w:eastAsia="仿宋_GB2312" w:cs="Times New Roman"/>
          <w:b/>
          <w:color w:val="auto"/>
          <w:szCs w:val="24"/>
        </w:rPr>
      </w:pPr>
    </w:p>
    <w:p>
      <w:pPr>
        <w:snapToGrid w:val="0"/>
        <w:spacing w:line="360" w:lineRule="auto"/>
        <w:jc w:val="center"/>
        <w:rPr>
          <w:rFonts w:ascii="Times New Roman" w:hAnsi="Times New Roman" w:eastAsia="仿宋_GB2312" w:cs="Times New Roman"/>
          <w:b/>
          <w:color w:val="auto"/>
          <w:szCs w:val="24"/>
        </w:rPr>
      </w:pPr>
    </w:p>
    <w:p>
      <w:pPr>
        <w:snapToGrid w:val="0"/>
        <w:spacing w:line="360" w:lineRule="auto"/>
        <w:jc w:val="center"/>
        <w:rPr>
          <w:rFonts w:ascii="Times New Roman" w:hAnsi="Times New Roman" w:eastAsia="仿宋_GB2312" w:cs="Times New Roman"/>
          <w:b/>
          <w:color w:val="auto"/>
          <w:szCs w:val="24"/>
        </w:rPr>
      </w:pPr>
    </w:p>
    <w:p>
      <w:pPr>
        <w:snapToGrid w:val="0"/>
        <w:spacing w:line="360" w:lineRule="auto"/>
        <w:jc w:val="center"/>
        <w:rPr>
          <w:rFonts w:ascii="Times New Roman" w:hAnsi="Times New Roman" w:eastAsia="仿宋_GB2312" w:cs="Times New Roman"/>
          <w:b/>
          <w:color w:val="auto"/>
          <w:szCs w:val="24"/>
        </w:rPr>
      </w:pPr>
    </w:p>
    <w:p>
      <w:pPr>
        <w:snapToGrid w:val="0"/>
        <w:spacing w:line="360" w:lineRule="auto"/>
        <w:jc w:val="center"/>
        <w:rPr>
          <w:rFonts w:ascii="Times New Roman" w:hAnsi="Times New Roman" w:eastAsia="仿宋_GB2312" w:cs="Times New Roman"/>
          <w:b/>
          <w:color w:val="auto"/>
          <w:szCs w:val="24"/>
        </w:rPr>
      </w:pPr>
    </w:p>
    <w:p>
      <w:pPr>
        <w:snapToGrid w:val="0"/>
        <w:spacing w:line="360" w:lineRule="auto"/>
        <w:jc w:val="center"/>
        <w:rPr>
          <w:rFonts w:ascii="Times New Roman" w:hAnsi="Times New Roman" w:eastAsia="仿宋_GB2312" w:cs="Times New Roman"/>
          <w:b/>
          <w:color w:val="auto"/>
          <w:szCs w:val="24"/>
        </w:rPr>
      </w:pPr>
    </w:p>
    <w:p>
      <w:pPr>
        <w:snapToGrid w:val="0"/>
        <w:spacing w:line="360" w:lineRule="auto"/>
        <w:jc w:val="center"/>
        <w:rPr>
          <w:rFonts w:ascii="Times New Roman" w:hAnsi="Times New Roman" w:eastAsia="仿宋_GB2312" w:cs="Times New Roman"/>
          <w:b/>
          <w:color w:val="auto"/>
          <w:szCs w:val="24"/>
        </w:rPr>
      </w:pPr>
    </w:p>
    <w:p>
      <w:pPr>
        <w:snapToGrid w:val="0"/>
        <w:spacing w:line="360" w:lineRule="auto"/>
        <w:jc w:val="center"/>
        <w:rPr>
          <w:rFonts w:ascii="Times New Roman" w:hAnsi="Times New Roman" w:eastAsia="仿宋_GB2312" w:cs="Times New Roman"/>
          <w:b/>
          <w:color w:val="auto"/>
          <w:szCs w:val="24"/>
        </w:rPr>
      </w:pPr>
    </w:p>
    <w:p>
      <w:pPr>
        <w:snapToGrid w:val="0"/>
        <w:spacing w:line="360" w:lineRule="auto"/>
        <w:jc w:val="center"/>
        <w:rPr>
          <w:rFonts w:ascii="Times New Roman" w:hAnsi="Times New Roman" w:eastAsia="仿宋_GB2312" w:cs="Times New Roman"/>
          <w:color w:val="auto"/>
          <w:sz w:val="28"/>
          <w:szCs w:val="28"/>
        </w:rPr>
      </w:pPr>
      <w:r>
        <w:rPr>
          <w:rFonts w:ascii="Times New Roman" w:hAnsi="Times New Roman" w:eastAsia="仿宋_GB2312" w:cs="Times New Roman"/>
          <w:b/>
          <w:color w:val="auto"/>
          <w:szCs w:val="24"/>
        </w:rPr>
        <w:t>表5</w:t>
      </w:r>
      <w:r>
        <w:rPr>
          <w:rFonts w:hint="eastAsia" w:ascii="Times New Roman" w:hAnsi="Times New Roman" w:eastAsia="仿宋_GB2312" w:cs="Times New Roman"/>
          <w:b/>
          <w:color w:val="auto"/>
          <w:szCs w:val="24"/>
        </w:rPr>
        <w:t>.</w:t>
      </w:r>
      <w:r>
        <w:rPr>
          <w:rFonts w:ascii="Times New Roman" w:hAnsi="Times New Roman" w:eastAsia="仿宋_GB2312" w:cs="Times New Roman"/>
          <w:b/>
          <w:color w:val="auto"/>
          <w:szCs w:val="24"/>
        </w:rPr>
        <w:t>1-1：水土流失防治区划分情况</w:t>
      </w:r>
      <w:r>
        <w:rPr>
          <w:rFonts w:hint="eastAsia" w:ascii="Times New Roman" w:hAnsi="Times New Roman" w:eastAsia="仿宋_GB2312" w:cs="Times New Roman"/>
          <w:b/>
          <w:color w:val="auto"/>
          <w:szCs w:val="24"/>
        </w:rPr>
        <w:t>表</w:t>
      </w:r>
    </w:p>
    <w:tbl>
      <w:tblPr>
        <w:tblStyle w:val="37"/>
        <w:tblW w:w="5192"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45"/>
        <w:gridCol w:w="1306"/>
        <w:gridCol w:w="2087"/>
        <w:gridCol w:w="1306"/>
        <w:gridCol w:w="340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序号</w:t>
            </w:r>
          </w:p>
        </w:tc>
        <w:tc>
          <w:tcPr>
            <w:tcW w:w="1916" w:type="pct"/>
            <w:gridSpan w:val="2"/>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防治分区</w:t>
            </w:r>
          </w:p>
        </w:tc>
        <w:tc>
          <w:tcPr>
            <w:tcW w:w="73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面积（hm</w:t>
            </w:r>
            <w:r>
              <w:rPr>
                <w:rFonts w:ascii="Times New Roman" w:hAnsi="Times New Roman" w:eastAsia="仿宋_GB2312" w:cs="Times New Roman"/>
                <w:b/>
                <w:color w:val="auto"/>
                <w:sz w:val="21"/>
                <w:szCs w:val="21"/>
                <w:vertAlign w:val="superscript"/>
              </w:rPr>
              <w:t>2</w:t>
            </w:r>
            <w:r>
              <w:rPr>
                <w:rFonts w:ascii="Times New Roman" w:hAnsi="Times New Roman" w:eastAsia="仿宋_GB2312" w:cs="Times New Roman"/>
                <w:b/>
                <w:color w:val="auto"/>
                <w:sz w:val="21"/>
                <w:szCs w:val="21"/>
              </w:rPr>
              <w:t>）</w:t>
            </w:r>
          </w:p>
        </w:tc>
        <w:tc>
          <w:tcPr>
            <w:tcW w:w="1924"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建设内容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pct"/>
            <w:vMerge w:val="restar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737" w:type="pct"/>
            <w:vMerge w:val="restar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公共基础设施防治区</w:t>
            </w:r>
          </w:p>
        </w:tc>
        <w:tc>
          <w:tcPr>
            <w:tcW w:w="1179"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道路与交通设施用地防治区</w:t>
            </w:r>
          </w:p>
        </w:tc>
        <w:tc>
          <w:tcPr>
            <w:tcW w:w="737"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11.66</w:t>
            </w:r>
          </w:p>
        </w:tc>
        <w:tc>
          <w:tcPr>
            <w:tcW w:w="1924"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园区</w:t>
            </w:r>
            <w:r>
              <w:rPr>
                <w:rFonts w:hint="eastAsia" w:ascii="Times New Roman" w:hAnsi="Times New Roman" w:eastAsia="仿宋_GB2312" w:cs="Times New Roman"/>
                <w:color w:val="auto"/>
                <w:sz w:val="21"/>
                <w:szCs w:val="21"/>
              </w:rPr>
              <w:t>内各地块周边</w:t>
            </w:r>
            <w:r>
              <w:rPr>
                <w:rFonts w:ascii="Times New Roman" w:hAnsi="Times New Roman" w:eastAsia="仿宋_GB2312" w:cs="Times New Roman"/>
                <w:color w:val="auto"/>
                <w:sz w:val="21"/>
                <w:szCs w:val="21"/>
              </w:rPr>
              <w:t>道路</w:t>
            </w:r>
            <w:r>
              <w:rPr>
                <w:rFonts w:hint="eastAsia" w:ascii="Times New Roman" w:hAnsi="Times New Roman" w:eastAsia="仿宋_GB2312" w:cs="Times New Roman"/>
                <w:color w:val="auto"/>
                <w:sz w:val="21"/>
                <w:szCs w:val="21"/>
              </w:rPr>
              <w:t>及停车场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4" w:hRule="atLeast"/>
          <w:jc w:val="center"/>
        </w:trPr>
        <w:tc>
          <w:tcPr>
            <w:tcW w:w="420" w:type="pct"/>
            <w:vMerge w:val="continue"/>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p>
        </w:tc>
        <w:tc>
          <w:tcPr>
            <w:tcW w:w="737" w:type="pct"/>
            <w:vMerge w:val="continue"/>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p>
        </w:tc>
        <w:tc>
          <w:tcPr>
            <w:tcW w:w="1179"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公用设施用地防治区</w:t>
            </w:r>
          </w:p>
        </w:tc>
        <w:tc>
          <w:tcPr>
            <w:tcW w:w="737"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12.87</w:t>
            </w:r>
          </w:p>
        </w:tc>
        <w:tc>
          <w:tcPr>
            <w:tcW w:w="1924"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供水、环卫及供应设施等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pct"/>
            <w:vMerge w:val="continue"/>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p>
        </w:tc>
        <w:tc>
          <w:tcPr>
            <w:tcW w:w="737" w:type="pct"/>
            <w:vMerge w:val="continue"/>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p>
        </w:tc>
        <w:tc>
          <w:tcPr>
            <w:tcW w:w="1179"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绿地防治区</w:t>
            </w:r>
          </w:p>
        </w:tc>
        <w:tc>
          <w:tcPr>
            <w:tcW w:w="737"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2</w:t>
            </w:r>
            <w:r>
              <w:rPr>
                <w:rFonts w:hint="eastAsia" w:ascii="Times New Roman" w:hAnsi="Times New Roman" w:eastAsia="仿宋_GB2312" w:cs="Times New Roman"/>
                <w:color w:val="auto"/>
                <w:kern w:val="0"/>
                <w:sz w:val="21"/>
                <w:szCs w:val="21"/>
              </w:rPr>
              <w:t>0.01</w:t>
            </w:r>
          </w:p>
        </w:tc>
        <w:tc>
          <w:tcPr>
            <w:tcW w:w="1924"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园区公园绿地和防护绿地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pct"/>
            <w:vMerge w:val="restar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737" w:type="pct"/>
            <w:vMerge w:val="restar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区域规划功能</w:t>
            </w:r>
            <w:r>
              <w:rPr>
                <w:rFonts w:hint="eastAsia" w:ascii="Times New Roman" w:hAnsi="Times New Roman" w:eastAsia="仿宋_GB2312" w:cs="Times New Roman"/>
                <w:color w:val="auto"/>
                <w:sz w:val="21"/>
                <w:szCs w:val="21"/>
              </w:rPr>
              <w:t>防治</w:t>
            </w:r>
            <w:r>
              <w:rPr>
                <w:rFonts w:ascii="Times New Roman" w:hAnsi="Times New Roman" w:eastAsia="仿宋_GB2312" w:cs="Times New Roman"/>
                <w:color w:val="auto"/>
                <w:sz w:val="21"/>
                <w:szCs w:val="21"/>
              </w:rPr>
              <w:t>区</w:t>
            </w:r>
          </w:p>
        </w:tc>
        <w:tc>
          <w:tcPr>
            <w:tcW w:w="1179"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eastAsia="zh-CN"/>
              </w:rPr>
              <w:t>已建工程</w:t>
            </w:r>
            <w:r>
              <w:rPr>
                <w:rFonts w:ascii="Times New Roman" w:hAnsi="Times New Roman" w:eastAsia="仿宋_GB2312" w:cs="Times New Roman"/>
                <w:color w:val="auto"/>
                <w:sz w:val="21"/>
                <w:szCs w:val="21"/>
              </w:rPr>
              <w:t>防治区</w:t>
            </w:r>
          </w:p>
        </w:tc>
        <w:tc>
          <w:tcPr>
            <w:tcW w:w="737"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kern w:val="0"/>
                <w:sz w:val="21"/>
                <w:szCs w:val="21"/>
                <w:lang w:val="en-US" w:eastAsia="zh-CN"/>
              </w:rPr>
              <w:t>10.95</w:t>
            </w:r>
          </w:p>
        </w:tc>
        <w:tc>
          <w:tcPr>
            <w:tcW w:w="1924"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（已出让，未编报水保方案）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pct"/>
            <w:vMerge w:val="continue"/>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p>
        </w:tc>
        <w:tc>
          <w:tcPr>
            <w:tcW w:w="737" w:type="pct"/>
            <w:vMerge w:val="continue"/>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p>
        </w:tc>
        <w:tc>
          <w:tcPr>
            <w:tcW w:w="1179"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hint="eastAsia" w:ascii="Times New Roman" w:hAnsi="Times New Roman" w:eastAsia="仿宋_GB2312" w:cs="Times New Roman"/>
                <w:color w:val="auto"/>
                <w:sz w:val="21"/>
                <w:szCs w:val="21"/>
                <w:lang w:eastAsia="zh-CN"/>
              </w:rPr>
            </w:pPr>
            <w:r>
              <w:rPr>
                <w:rFonts w:hint="eastAsia" w:ascii="Times New Roman" w:hAnsi="Times New Roman" w:eastAsia="仿宋_GB2312" w:cs="Times New Roman"/>
                <w:color w:val="auto"/>
                <w:sz w:val="21"/>
                <w:szCs w:val="21"/>
                <w:lang w:eastAsia="zh-CN"/>
              </w:rPr>
              <w:t>在建工程防治区</w:t>
            </w:r>
          </w:p>
        </w:tc>
        <w:tc>
          <w:tcPr>
            <w:tcW w:w="737"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color w:val="auto"/>
                <w:kern w:val="0"/>
                <w:sz w:val="21"/>
                <w:szCs w:val="21"/>
                <w:lang w:val="en-US" w:eastAsia="zh-CN"/>
              </w:rPr>
            </w:pPr>
            <w:r>
              <w:rPr>
                <w:rFonts w:hint="eastAsia" w:ascii="Times New Roman" w:hAnsi="Times New Roman" w:eastAsia="仿宋_GB2312" w:cs="Times New Roman"/>
                <w:color w:val="auto"/>
                <w:kern w:val="0"/>
                <w:sz w:val="21"/>
                <w:szCs w:val="21"/>
                <w:lang w:val="en-US" w:eastAsia="zh-CN"/>
              </w:rPr>
              <w:t>26.34</w:t>
            </w:r>
          </w:p>
        </w:tc>
        <w:tc>
          <w:tcPr>
            <w:tcW w:w="1924"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val="en-US" w:eastAsia="zh-CN"/>
              </w:rPr>
              <w:t>（已出让，且已取得水保方案批复）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pct"/>
            <w:vMerge w:val="continue"/>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p>
        </w:tc>
        <w:tc>
          <w:tcPr>
            <w:tcW w:w="737" w:type="pct"/>
            <w:vMerge w:val="continue"/>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p>
        </w:tc>
        <w:tc>
          <w:tcPr>
            <w:tcW w:w="1179"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eastAsia="zh-CN"/>
              </w:rPr>
              <w:t>待建工程</w:t>
            </w:r>
            <w:r>
              <w:rPr>
                <w:rFonts w:ascii="Times New Roman" w:hAnsi="Times New Roman" w:eastAsia="仿宋_GB2312" w:cs="Times New Roman"/>
                <w:color w:val="auto"/>
                <w:sz w:val="21"/>
                <w:szCs w:val="21"/>
              </w:rPr>
              <w:t>防治区</w:t>
            </w:r>
          </w:p>
        </w:tc>
        <w:tc>
          <w:tcPr>
            <w:tcW w:w="737"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kern w:val="0"/>
                <w:sz w:val="21"/>
                <w:szCs w:val="21"/>
                <w:lang w:val="en-US" w:eastAsia="zh-CN"/>
              </w:rPr>
              <w:t>18.17</w:t>
            </w:r>
          </w:p>
        </w:tc>
        <w:tc>
          <w:tcPr>
            <w:tcW w:w="1924"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hint="eastAsia" w:ascii="Times New Roman" w:hAnsi="Times New Roman" w:eastAsia="仿宋_GB2312" w:cs="Times New Roman"/>
                <w:color w:val="auto"/>
                <w:sz w:val="21"/>
                <w:szCs w:val="21"/>
                <w:lang w:eastAsia="zh-CN"/>
              </w:rPr>
            </w:pPr>
            <w:r>
              <w:rPr>
                <w:rFonts w:hint="eastAsia" w:ascii="Times New Roman" w:hAnsi="Times New Roman" w:eastAsia="仿宋_GB2312" w:cs="Times New Roman"/>
                <w:color w:val="auto"/>
                <w:sz w:val="21"/>
                <w:szCs w:val="21"/>
                <w:lang w:eastAsia="zh-CN"/>
              </w:rPr>
              <w:t>场地平整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pct"/>
            <w:vMerge w:val="restar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737" w:type="pct"/>
            <w:vMerge w:val="restar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施工临时设施</w:t>
            </w:r>
            <w:bookmarkStart w:id="324" w:name="OLE_LINK3"/>
            <w:r>
              <w:rPr>
                <w:rFonts w:ascii="Times New Roman" w:hAnsi="Times New Roman" w:eastAsia="仿宋_GB2312" w:cs="Times New Roman"/>
                <w:color w:val="auto"/>
                <w:sz w:val="21"/>
                <w:szCs w:val="21"/>
              </w:rPr>
              <w:t>防治</w:t>
            </w:r>
            <w:bookmarkEnd w:id="324"/>
            <w:r>
              <w:rPr>
                <w:rFonts w:ascii="Times New Roman" w:hAnsi="Times New Roman" w:eastAsia="仿宋_GB2312" w:cs="Times New Roman"/>
                <w:color w:val="auto"/>
                <w:sz w:val="21"/>
                <w:szCs w:val="21"/>
              </w:rPr>
              <w:t>区</w:t>
            </w:r>
          </w:p>
        </w:tc>
        <w:tc>
          <w:tcPr>
            <w:tcW w:w="1179"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临时</w:t>
            </w:r>
            <w:r>
              <w:rPr>
                <w:rFonts w:hint="eastAsia" w:ascii="Times New Roman" w:hAnsi="Times New Roman" w:eastAsia="仿宋_GB2312" w:cs="Times New Roman"/>
                <w:color w:val="auto"/>
                <w:sz w:val="21"/>
                <w:szCs w:val="21"/>
                <w:lang w:eastAsia="zh-CN"/>
              </w:rPr>
              <w:t>堆</w:t>
            </w:r>
            <w:r>
              <w:rPr>
                <w:rFonts w:ascii="Times New Roman" w:hAnsi="Times New Roman" w:eastAsia="仿宋_GB2312" w:cs="Times New Roman"/>
                <w:color w:val="auto"/>
                <w:sz w:val="21"/>
                <w:szCs w:val="21"/>
              </w:rPr>
              <w:t>土场防治区</w:t>
            </w:r>
          </w:p>
        </w:tc>
        <w:tc>
          <w:tcPr>
            <w:tcW w:w="73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w:t>
            </w:r>
            <w:r>
              <w:rPr>
                <w:rFonts w:hint="eastAsia" w:ascii="Times New Roman" w:hAnsi="Times New Roman" w:eastAsia="仿宋_GB2312" w:cs="Times New Roman"/>
                <w:color w:val="auto"/>
                <w:sz w:val="21"/>
                <w:szCs w:val="21"/>
                <w:lang w:val="en-US" w:eastAsia="zh-CN"/>
              </w:rPr>
              <w:t>4.49</w:t>
            </w:r>
            <w:r>
              <w:rPr>
                <w:rFonts w:hint="eastAsia" w:ascii="Times New Roman" w:hAnsi="Times New Roman" w:eastAsia="仿宋_GB2312" w:cs="Times New Roman"/>
                <w:color w:val="auto"/>
                <w:sz w:val="21"/>
                <w:szCs w:val="21"/>
              </w:rPr>
              <w:t>）</w:t>
            </w:r>
          </w:p>
        </w:tc>
        <w:tc>
          <w:tcPr>
            <w:tcW w:w="1924"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表土堆放</w:t>
            </w:r>
            <w:r>
              <w:rPr>
                <w:rFonts w:hint="eastAsia" w:ascii="Times New Roman" w:hAnsi="Times New Roman" w:eastAsia="仿宋_GB2312" w:cs="Times New Roman"/>
                <w:color w:val="auto"/>
                <w:kern w:val="0"/>
                <w:sz w:val="21"/>
                <w:szCs w:val="21"/>
                <w:lang w:eastAsia="zh-CN"/>
              </w:rPr>
              <w:t>及淤泥晾晒</w:t>
            </w:r>
            <w:r>
              <w:rPr>
                <w:rFonts w:ascii="Times New Roman" w:hAnsi="Times New Roman" w:eastAsia="仿宋_GB2312" w:cs="Times New Roman"/>
                <w:color w:val="auto"/>
                <w:kern w:val="0"/>
                <w:sz w:val="21"/>
                <w:szCs w:val="21"/>
              </w:rPr>
              <w:t>场地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pct"/>
            <w:vMerge w:val="continue"/>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p>
        </w:tc>
        <w:tc>
          <w:tcPr>
            <w:tcW w:w="737" w:type="pct"/>
            <w:vMerge w:val="continue"/>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p>
        </w:tc>
        <w:tc>
          <w:tcPr>
            <w:tcW w:w="1179"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苗木移栽防治区</w:t>
            </w:r>
          </w:p>
        </w:tc>
        <w:tc>
          <w:tcPr>
            <w:tcW w:w="73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w:t>
            </w:r>
            <w:r>
              <w:rPr>
                <w:rFonts w:ascii="Times New Roman" w:hAnsi="Times New Roman" w:eastAsia="仿宋_GB2312" w:cs="Times New Roman"/>
                <w:color w:val="auto"/>
                <w:sz w:val="21"/>
                <w:szCs w:val="21"/>
              </w:rPr>
              <w:t>0.14</w:t>
            </w:r>
            <w:r>
              <w:rPr>
                <w:rFonts w:hint="eastAsia" w:ascii="Times New Roman" w:hAnsi="Times New Roman" w:eastAsia="仿宋_GB2312" w:cs="Times New Roman"/>
                <w:color w:val="auto"/>
                <w:sz w:val="21"/>
                <w:szCs w:val="21"/>
              </w:rPr>
              <w:t>）</w:t>
            </w:r>
          </w:p>
        </w:tc>
        <w:tc>
          <w:tcPr>
            <w:tcW w:w="1924"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对清表产生苗木进行临时栽植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7" w:type="pct"/>
            <w:gridSpan w:val="3"/>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合计</w:t>
            </w:r>
          </w:p>
        </w:tc>
        <w:tc>
          <w:tcPr>
            <w:tcW w:w="73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100.00</w:t>
            </w:r>
          </w:p>
        </w:tc>
        <w:tc>
          <w:tcPr>
            <w:tcW w:w="1924"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p>
        </w:tc>
      </w:tr>
    </w:tbl>
    <w:p>
      <w:pPr>
        <w:pStyle w:val="5"/>
        <w:rPr>
          <w:rFonts w:eastAsia="仿宋_GB2312"/>
          <w:color w:val="auto"/>
          <w:szCs w:val="32"/>
        </w:rPr>
      </w:pPr>
      <w:bookmarkStart w:id="325" w:name="_Toc5107"/>
      <w:r>
        <w:rPr>
          <w:rFonts w:eastAsia="仿宋_GB2312"/>
          <w:color w:val="auto"/>
          <w:szCs w:val="32"/>
        </w:rPr>
        <w:t>5.2 措施总体布局</w:t>
      </w:r>
      <w:bookmarkEnd w:id="325"/>
    </w:p>
    <w:p>
      <w:pPr>
        <w:pStyle w:val="6"/>
        <w:rPr>
          <w:rFonts w:eastAsia="仿宋_GB2312"/>
          <w:bCs w:val="0"/>
          <w:color w:val="auto"/>
          <w:szCs w:val="30"/>
        </w:rPr>
      </w:pPr>
      <w:r>
        <w:rPr>
          <w:rFonts w:eastAsia="仿宋_GB2312"/>
          <w:bCs w:val="0"/>
          <w:color w:val="auto"/>
          <w:szCs w:val="30"/>
        </w:rPr>
        <w:t>5.2.1 布设原则</w:t>
      </w:r>
    </w:p>
    <w:p>
      <w:pPr>
        <w:snapToGrid w:val="0"/>
        <w:spacing w:line="360" w:lineRule="auto"/>
        <w:ind w:firstLine="480" w:firstLineChars="200"/>
        <w:rPr>
          <w:rFonts w:ascii="Times New Roman" w:hAnsi="Times New Roman" w:eastAsia="仿宋_GB2312" w:cs="Times New Roman"/>
          <w:snapToGrid w:val="0"/>
          <w:color w:val="auto"/>
          <w:kern w:val="0"/>
          <w:szCs w:val="24"/>
        </w:rPr>
      </w:pPr>
      <w:bookmarkStart w:id="326" w:name="_Toc15072"/>
      <w:r>
        <w:rPr>
          <w:rFonts w:ascii="Times New Roman" w:hAnsi="Times New Roman" w:eastAsia="仿宋_GB2312" w:cs="Times New Roman"/>
          <w:snapToGrid w:val="0"/>
          <w:color w:val="auto"/>
          <w:kern w:val="0"/>
          <w:szCs w:val="24"/>
        </w:rPr>
        <w:t>（1）注重表土资源保护；</w:t>
      </w:r>
    </w:p>
    <w:p>
      <w:pPr>
        <w:snapToGrid w:val="0"/>
        <w:spacing w:line="360" w:lineRule="auto"/>
        <w:ind w:firstLine="480" w:firstLineChars="200"/>
        <w:rPr>
          <w:rFonts w:ascii="Times New Roman" w:hAnsi="Times New Roman" w:eastAsia="仿宋_GB2312" w:cs="Times New Roman"/>
          <w:snapToGrid w:val="0"/>
          <w:color w:val="auto"/>
          <w:kern w:val="0"/>
          <w:szCs w:val="24"/>
        </w:rPr>
      </w:pPr>
      <w:r>
        <w:rPr>
          <w:rFonts w:ascii="Times New Roman" w:hAnsi="Times New Roman" w:eastAsia="仿宋_GB2312" w:cs="Times New Roman"/>
          <w:snapToGrid w:val="0"/>
          <w:color w:val="auto"/>
          <w:kern w:val="0"/>
          <w:szCs w:val="24"/>
        </w:rPr>
        <w:t>（2）注重降水的排导、集蓄利用以及排水与下游的衔接，防止对下游造成危害；</w:t>
      </w:r>
    </w:p>
    <w:p>
      <w:pPr>
        <w:tabs>
          <w:tab w:val="left" w:pos="720"/>
        </w:tabs>
        <w:snapToGrid w:val="0"/>
        <w:spacing w:line="360" w:lineRule="auto"/>
        <w:ind w:firstLine="480" w:firstLineChars="200"/>
        <w:rPr>
          <w:rFonts w:ascii="Times New Roman" w:hAnsi="Times New Roman" w:eastAsia="仿宋_GB2312" w:cs="Times New Roman"/>
          <w:snapToGrid w:val="0"/>
          <w:color w:val="auto"/>
          <w:kern w:val="0"/>
          <w:szCs w:val="24"/>
        </w:rPr>
      </w:pPr>
      <w:r>
        <w:rPr>
          <w:rFonts w:ascii="Times New Roman" w:hAnsi="Times New Roman" w:eastAsia="仿宋_GB2312" w:cs="Times New Roman"/>
          <w:snapToGrid w:val="0"/>
          <w:color w:val="auto"/>
          <w:kern w:val="0"/>
          <w:szCs w:val="24"/>
        </w:rPr>
        <w:t>（3）注重弃土（石、渣）场、取土（石、砂）场的防护；</w:t>
      </w:r>
    </w:p>
    <w:p>
      <w:pPr>
        <w:tabs>
          <w:tab w:val="left" w:pos="720"/>
        </w:tabs>
        <w:snapToGrid w:val="0"/>
        <w:spacing w:line="360" w:lineRule="auto"/>
        <w:ind w:firstLine="480" w:firstLineChars="200"/>
        <w:rPr>
          <w:rFonts w:ascii="Times New Roman" w:hAnsi="Times New Roman" w:eastAsia="仿宋_GB2312" w:cs="Times New Roman"/>
          <w:snapToGrid w:val="0"/>
          <w:color w:val="auto"/>
          <w:kern w:val="0"/>
          <w:szCs w:val="24"/>
        </w:rPr>
      </w:pPr>
      <w:r>
        <w:rPr>
          <w:rFonts w:ascii="Times New Roman" w:hAnsi="Times New Roman" w:eastAsia="仿宋_GB2312" w:cs="Times New Roman"/>
          <w:snapToGrid w:val="0"/>
          <w:color w:val="auto"/>
          <w:kern w:val="0"/>
          <w:szCs w:val="24"/>
        </w:rPr>
        <w:t>（4）注重地表防护，防止地表裸露，优先布设植物措施，限制硬化面积；</w:t>
      </w:r>
    </w:p>
    <w:p>
      <w:pPr>
        <w:snapToGrid w:val="0"/>
        <w:spacing w:line="360" w:lineRule="auto"/>
        <w:ind w:firstLine="480" w:firstLineChars="200"/>
        <w:rPr>
          <w:rFonts w:ascii="Times New Roman" w:hAnsi="Times New Roman" w:eastAsia="仿宋_GB2312" w:cs="Times New Roman"/>
          <w:snapToGrid w:val="0"/>
          <w:color w:val="auto"/>
          <w:kern w:val="0"/>
          <w:szCs w:val="24"/>
        </w:rPr>
      </w:pPr>
      <w:r>
        <w:rPr>
          <w:rFonts w:ascii="Times New Roman" w:hAnsi="Times New Roman" w:eastAsia="仿宋_GB2312" w:cs="Times New Roman"/>
          <w:snapToGrid w:val="0"/>
          <w:color w:val="auto"/>
          <w:kern w:val="0"/>
          <w:szCs w:val="24"/>
        </w:rPr>
        <w:t>（5）注重施工期的临时防护，对临时堆土、裸露地表应及时防护。</w:t>
      </w:r>
    </w:p>
    <w:p>
      <w:pPr>
        <w:pStyle w:val="6"/>
        <w:rPr>
          <w:bCs w:val="0"/>
          <w:color w:val="auto"/>
        </w:rPr>
      </w:pPr>
      <w:r>
        <w:rPr>
          <w:bCs w:val="0"/>
          <w:color w:val="auto"/>
        </w:rPr>
        <w:t xml:space="preserve">5.2.2 </w:t>
      </w:r>
      <w:r>
        <w:rPr>
          <w:rFonts w:eastAsia="仿宋_GB2312"/>
          <w:bCs w:val="0"/>
          <w:color w:val="auto"/>
        </w:rPr>
        <w:t>防治措施总体布局</w:t>
      </w:r>
      <w:bookmarkEnd w:id="326"/>
    </w:p>
    <w:p>
      <w:pPr>
        <w:spacing w:line="360" w:lineRule="auto"/>
        <w:ind w:firstLine="482" w:firstLineChars="200"/>
        <w:rPr>
          <w:rFonts w:hint="eastAsia" w:ascii="Times New Roman" w:hAnsi="Times New Roman" w:eastAsia="仿宋_GB2312"/>
          <w:b w:val="0"/>
          <w:bCs w:val="0"/>
          <w:color w:val="auto"/>
          <w:lang w:eastAsia="zh-CN"/>
        </w:rPr>
      </w:pPr>
      <w:r>
        <w:rPr>
          <w:rFonts w:hint="eastAsia" w:ascii="Times New Roman" w:hAnsi="Times New Roman" w:eastAsia="仿宋_GB2312"/>
          <w:b/>
          <w:bCs/>
          <w:color w:val="auto"/>
          <w:lang w:eastAsia="zh-CN"/>
        </w:rPr>
        <w:t>已取得水保批复范围：</w:t>
      </w:r>
      <w:r>
        <w:rPr>
          <w:rFonts w:hint="eastAsia" w:ascii="Times New Roman" w:hAnsi="Times New Roman" w:eastAsia="仿宋_GB2312"/>
          <w:b w:val="0"/>
          <w:bCs w:val="0"/>
          <w:color w:val="auto"/>
          <w:lang w:eastAsia="zh-CN"/>
        </w:rPr>
        <w:t>本项目未取得水保批复范围内已实施的水保措施均纳入本评估报告中；已取得水保批复范围内的发生的防治措施已纳入其对应批复方案措施体系中，本评估报告仅在</w:t>
      </w:r>
      <w:r>
        <w:rPr>
          <w:rFonts w:hint="eastAsia" w:ascii="Times New Roman" w:hAnsi="Times New Roman" w:eastAsia="仿宋_GB2312"/>
          <w:color w:val="auto"/>
          <w:lang w:eastAsia="zh-CN"/>
        </w:rPr>
        <w:t>章节</w:t>
      </w:r>
      <w:r>
        <w:rPr>
          <w:rFonts w:hint="eastAsia" w:ascii="Times New Roman" w:hAnsi="Times New Roman" w:eastAsia="仿宋_GB2312"/>
          <w:color w:val="auto"/>
          <w:lang w:val="en-US" w:eastAsia="zh-CN"/>
        </w:rPr>
        <w:t>3.2.7</w:t>
      </w:r>
      <w:r>
        <w:rPr>
          <w:rFonts w:eastAsia="仿宋_GB2312"/>
          <w:bCs w:val="0"/>
          <w:color w:val="auto"/>
          <w:szCs w:val="30"/>
        </w:rPr>
        <w:t>主体设计中具有水土保持功能工程的评价</w:t>
      </w:r>
      <w:r>
        <w:rPr>
          <w:rFonts w:hint="eastAsia" w:eastAsia="仿宋_GB2312"/>
          <w:bCs w:val="0"/>
          <w:color w:val="auto"/>
          <w:szCs w:val="30"/>
          <w:lang w:eastAsia="zh-CN"/>
        </w:rPr>
        <w:t>中</w:t>
      </w:r>
      <w:r>
        <w:rPr>
          <w:rFonts w:hint="eastAsia" w:ascii="Times New Roman" w:hAnsi="Times New Roman" w:eastAsia="仿宋_GB2312"/>
          <w:b w:val="0"/>
          <w:bCs w:val="0"/>
          <w:color w:val="auto"/>
          <w:lang w:eastAsia="zh-CN"/>
        </w:rPr>
        <w:t>对其进行分析评价，不再纳入本评估报告防治措施体系中（主要为本项目区域规划功能区的在建工程区，为</w:t>
      </w:r>
      <w:r>
        <w:rPr>
          <w:rFonts w:hint="eastAsia" w:ascii="Times New Roman" w:hAnsi="Times New Roman" w:eastAsia="仿宋_GB2312"/>
          <w:color w:val="auto"/>
        </w:rPr>
        <w:t>E17和E21地块部分区域</w:t>
      </w:r>
      <w:r>
        <w:rPr>
          <w:rFonts w:hint="eastAsia" w:ascii="Times New Roman" w:hAnsi="Times New Roman" w:eastAsia="仿宋_GB2312"/>
          <w:color w:val="auto"/>
          <w:lang w:eastAsia="zh-CN"/>
        </w:rPr>
        <w:t>，取得水保批复项目为：</w:t>
      </w:r>
      <w:r>
        <w:rPr>
          <w:rFonts w:hint="eastAsia" w:ascii="Times New Roman" w:hAnsi="Times New Roman" w:eastAsia="仿宋_GB2312" w:cs="Times New Roman"/>
          <w:color w:val="auto"/>
          <w:szCs w:val="24"/>
        </w:rPr>
        <w:t>南昌电子信息（LED）产业创新示范园（二期）一组团项目</w:t>
      </w:r>
      <w:r>
        <w:rPr>
          <w:rFonts w:hint="eastAsia" w:ascii="Times New Roman" w:hAnsi="Times New Roman" w:eastAsia="仿宋_GB2312"/>
          <w:b w:val="0"/>
          <w:bCs w:val="0"/>
          <w:color w:val="auto"/>
          <w:lang w:eastAsia="zh-CN"/>
        </w:rPr>
        <w:t>）。</w:t>
      </w:r>
    </w:p>
    <w:p>
      <w:pPr>
        <w:spacing w:line="360" w:lineRule="auto"/>
        <w:ind w:firstLine="482" w:firstLineChars="200"/>
        <w:rPr>
          <w:rFonts w:ascii="Times New Roman" w:hAnsi="Times New Roman" w:eastAsia="仿宋_GB2312"/>
          <w:color w:val="auto"/>
        </w:rPr>
      </w:pPr>
      <w:r>
        <w:rPr>
          <w:rFonts w:eastAsia="仿宋_GB2312"/>
          <w:b/>
          <w:bCs/>
          <w:color w:val="auto"/>
        </w:rPr>
        <w:t>防治措施总体布局</w:t>
      </w:r>
      <w:r>
        <w:rPr>
          <w:rFonts w:hint="eastAsia" w:eastAsia="仿宋_GB2312"/>
          <w:b/>
          <w:bCs/>
          <w:color w:val="auto"/>
          <w:lang w:eastAsia="zh-CN"/>
        </w:rPr>
        <w:t>：</w:t>
      </w:r>
      <w:r>
        <w:rPr>
          <w:rFonts w:ascii="Times New Roman" w:hAnsi="Times New Roman" w:eastAsia="仿宋_GB2312"/>
          <w:color w:val="auto"/>
        </w:rPr>
        <w:t>园区建设区水土流失防治将采取工程措施、植物措施和临时防护措施相结合，做</w:t>
      </w:r>
      <w:r>
        <w:rPr>
          <w:rFonts w:hint="eastAsia" w:ascii="Times New Roman" w:hAnsi="Times New Roman" w:eastAsia="仿宋_GB2312"/>
          <w:color w:val="auto"/>
        </w:rPr>
        <w:t>到</w:t>
      </w:r>
      <w:r>
        <w:rPr>
          <w:rFonts w:ascii="Times New Roman" w:hAnsi="Times New Roman" w:eastAsia="仿宋_GB2312"/>
          <w:color w:val="auto"/>
        </w:rPr>
        <w:t>“</w:t>
      </w:r>
      <w:r>
        <w:rPr>
          <w:rFonts w:hint="eastAsia" w:ascii="Times New Roman" w:hAnsi="Times New Roman" w:eastAsia="仿宋_GB2312"/>
          <w:color w:val="auto"/>
        </w:rPr>
        <w:t>点、线、面</w:t>
      </w:r>
      <w:r>
        <w:rPr>
          <w:rFonts w:ascii="Times New Roman" w:hAnsi="Times New Roman" w:eastAsia="仿宋_GB2312"/>
          <w:color w:val="auto"/>
        </w:rPr>
        <w:t>”</w:t>
      </w:r>
      <w:r>
        <w:rPr>
          <w:rFonts w:hint="eastAsia" w:ascii="Times New Roman" w:hAnsi="Times New Roman" w:eastAsia="仿宋_GB2312"/>
          <w:color w:val="auto"/>
        </w:rPr>
        <w:t>相结合，形成完整的防治体系。</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本</w:t>
      </w:r>
      <w:r>
        <w:rPr>
          <w:rFonts w:hint="eastAsia" w:ascii="Times New Roman" w:hAnsi="Times New Roman" w:eastAsia="仿宋_GB2312"/>
          <w:color w:val="auto"/>
          <w:lang w:val="en-US" w:eastAsia="zh-CN"/>
        </w:rPr>
        <w:t>区域评估报告</w:t>
      </w:r>
      <w:r>
        <w:rPr>
          <w:rFonts w:hint="eastAsia" w:ascii="Times New Roman" w:hAnsi="Times New Roman" w:eastAsia="仿宋_GB2312"/>
          <w:color w:val="auto"/>
        </w:rPr>
        <w:t>重点对整个园区“五通一平”阶段水土流失进行控制，重点是对公用设施区进行防治，对区域规划功能区等其它区域进行场地平整后提出原则性的建议，给出典型防护措施。园区水土保持区域评估报告经水行政主管部门许可后，入驻园区的新建、改建、扩建项目依据《江西省水利厅关于印发</w:t>
      </w:r>
      <w:r>
        <w:rPr>
          <w:rFonts w:ascii="Times New Roman" w:hAnsi="Times New Roman" w:eastAsia="仿宋_GB2312"/>
          <w:color w:val="auto"/>
        </w:rPr>
        <w:t>&lt;</w:t>
      </w:r>
      <w:r>
        <w:rPr>
          <w:rFonts w:hint="eastAsia" w:ascii="Times New Roman" w:hAnsi="Times New Roman" w:eastAsia="仿宋_GB2312"/>
          <w:color w:val="auto"/>
        </w:rPr>
        <w:t>江西省水土保持区域评估办法</w:t>
      </w:r>
      <w:r>
        <w:rPr>
          <w:rFonts w:ascii="Times New Roman" w:hAnsi="Times New Roman" w:eastAsia="仿宋_GB2312"/>
          <w:color w:val="auto"/>
        </w:rPr>
        <w:t>&gt;</w:t>
      </w:r>
      <w:r>
        <w:rPr>
          <w:rFonts w:hint="eastAsia" w:ascii="Times New Roman" w:hAnsi="Times New Roman" w:eastAsia="仿宋_GB2312"/>
          <w:color w:val="auto"/>
        </w:rPr>
        <w:t>（试行）的通知》（赣水规范文</w:t>
      </w:r>
      <w:r>
        <w:rPr>
          <w:rFonts w:ascii="Times New Roman" w:hAnsi="Times New Roman" w:eastAsia="仿宋_GB2312"/>
          <w:color w:val="auto"/>
        </w:rPr>
        <w:t>[2020]10</w:t>
      </w:r>
      <w:r>
        <w:rPr>
          <w:rFonts w:hint="eastAsia" w:ascii="Times New Roman" w:hAnsi="Times New Roman" w:eastAsia="仿宋_GB2312"/>
          <w:color w:val="auto"/>
        </w:rPr>
        <w:t>号），其生产建设单位按照《水利部关于进一步深化“放管服”改革全面加强水土保持监管的意见》（办水保〔</w:t>
      </w:r>
      <w:r>
        <w:rPr>
          <w:rFonts w:ascii="Times New Roman" w:hAnsi="Times New Roman" w:eastAsia="仿宋_GB2312"/>
          <w:color w:val="auto"/>
        </w:rPr>
        <w:t>2019</w:t>
      </w:r>
      <w:r>
        <w:rPr>
          <w:rFonts w:hint="eastAsia" w:ascii="Times New Roman" w:hAnsi="Times New Roman" w:eastAsia="仿宋_GB2312"/>
          <w:color w:val="auto"/>
        </w:rPr>
        <w:t>〕</w:t>
      </w:r>
      <w:r>
        <w:rPr>
          <w:rFonts w:ascii="Times New Roman" w:hAnsi="Times New Roman" w:eastAsia="仿宋_GB2312"/>
          <w:color w:val="auto"/>
        </w:rPr>
        <w:t>160</w:t>
      </w:r>
      <w:r>
        <w:rPr>
          <w:rFonts w:hint="eastAsia" w:ascii="Times New Roman" w:hAnsi="Times New Roman" w:eastAsia="仿宋_GB2312"/>
          <w:color w:val="auto"/>
        </w:rPr>
        <w:t>号）有关要求编制水土保持方案，并报相应审批权限的水行政主管部门或其他审批部门进行承诺制审批。</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对整个园区进行防治，在施工前，对有肥力的表层土进行剥离并集中堆放，表土用于后期绿化区域的回填。施工期间，对园区内临时排水进行规划有序的布设，并配合沉沙池，收集场地内雨水，沉沙后排入周边沟渠或水系，工程施工完毕后采取绿化措施。在道路、管线、施工便道等</w:t>
      </w:r>
      <w:r>
        <w:rPr>
          <w:rFonts w:ascii="Times New Roman" w:hAnsi="Times New Roman" w:eastAsia="仿宋_GB2312"/>
          <w:color w:val="auto"/>
        </w:rPr>
        <w:t>“</w:t>
      </w:r>
      <w:r>
        <w:rPr>
          <w:rFonts w:hint="eastAsia" w:ascii="Times New Roman" w:hAnsi="Times New Roman" w:eastAsia="仿宋_GB2312"/>
          <w:color w:val="auto"/>
        </w:rPr>
        <w:t>线</w:t>
      </w:r>
      <w:r>
        <w:rPr>
          <w:rFonts w:ascii="Times New Roman" w:hAnsi="Times New Roman" w:eastAsia="仿宋_GB2312"/>
          <w:color w:val="auto"/>
        </w:rPr>
        <w:t>”</w:t>
      </w:r>
      <w:r>
        <w:rPr>
          <w:rFonts w:hint="eastAsia" w:ascii="Times New Roman" w:hAnsi="Times New Roman" w:eastAsia="仿宋_GB2312"/>
          <w:color w:val="auto"/>
        </w:rPr>
        <w:t>状位置，新增水土保持措施主要包括修建排水沟和沉沙池等，构建排水系统，减少地表径流冲刷，使泥、土、石“难出沟、不入湖”；在表土临时堆场、土方转运场等“点”状位置，以拦挡、排水、临时苫盖为主。对园区</w:t>
      </w:r>
      <w:r>
        <w:rPr>
          <w:rFonts w:ascii="Times New Roman" w:hAnsi="Times New Roman" w:eastAsia="仿宋_GB2312"/>
          <w:color w:val="auto"/>
        </w:rPr>
        <w:t>实行分区防治</w:t>
      </w:r>
      <w:r>
        <w:rPr>
          <w:rFonts w:hint="eastAsia" w:ascii="Times New Roman" w:hAnsi="Times New Roman" w:eastAsia="仿宋_GB2312"/>
          <w:color w:val="auto"/>
        </w:rPr>
        <w:t>，</w:t>
      </w:r>
      <w:r>
        <w:rPr>
          <w:rFonts w:ascii="Times New Roman" w:hAnsi="Times New Roman" w:eastAsia="仿宋_GB2312"/>
          <w:color w:val="auto"/>
        </w:rPr>
        <w:t>即根据按每个功能地块的特点，逐一有针对性的设立相对独</w:t>
      </w:r>
      <w:r>
        <w:rPr>
          <w:rFonts w:hint="eastAsia" w:ascii="Times New Roman" w:hAnsi="Times New Roman" w:eastAsia="仿宋_GB2312"/>
          <w:color w:val="auto"/>
        </w:rPr>
        <w:t>立封闭的水土保持防治体系。</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综上所述，本</w:t>
      </w:r>
      <w:r>
        <w:rPr>
          <w:rFonts w:hint="eastAsia" w:ascii="Times New Roman" w:hAnsi="Times New Roman" w:eastAsia="仿宋_GB2312"/>
          <w:color w:val="auto"/>
          <w:lang w:val="en-US" w:eastAsia="zh-CN"/>
        </w:rPr>
        <w:t>区域评估报告</w:t>
      </w:r>
      <w:r>
        <w:rPr>
          <w:rFonts w:hint="eastAsia" w:ascii="Times New Roman" w:hAnsi="Times New Roman" w:eastAsia="仿宋_GB2312"/>
          <w:color w:val="auto"/>
        </w:rPr>
        <w:t>按照工程措施和植物措施相结合、重点治理和一般防护相结合、安全保护和水土资源保护相结合、治理水土流失和恢复、提高土地生产力相结合原则，对建设区水土流失进行系统、全面设计，形成完整的水土流失防治体系。</w:t>
      </w:r>
    </w:p>
    <w:p>
      <w:pPr>
        <w:snapToGrid w:val="0"/>
        <w:spacing w:line="360" w:lineRule="auto"/>
        <w:ind w:firstLine="555"/>
        <w:jc w:val="left"/>
        <w:rPr>
          <w:rFonts w:ascii="Times New Roman" w:hAnsi="Times New Roman" w:eastAsia="仿宋_GB2312" w:cs="Times New Roman"/>
          <w:snapToGrid w:val="0"/>
          <w:color w:val="auto"/>
          <w:kern w:val="0"/>
          <w:szCs w:val="24"/>
        </w:rPr>
      </w:pPr>
      <w:r>
        <w:rPr>
          <w:rFonts w:ascii="Times New Roman" w:hAnsi="Times New Roman" w:eastAsia="仿宋_GB2312" w:cs="Times New Roman"/>
          <w:snapToGrid w:val="0"/>
          <w:color w:val="auto"/>
          <w:kern w:val="0"/>
          <w:szCs w:val="24"/>
        </w:rPr>
        <w:t>水土流失防治措施体系图和项目区水土保持措施布局图，详见图5</w:t>
      </w:r>
      <w:r>
        <w:rPr>
          <w:rFonts w:hint="eastAsia" w:ascii="Times New Roman" w:hAnsi="Times New Roman" w:eastAsia="仿宋_GB2312" w:cs="Times New Roman"/>
          <w:snapToGrid w:val="0"/>
          <w:color w:val="auto"/>
          <w:kern w:val="0"/>
          <w:szCs w:val="24"/>
        </w:rPr>
        <w:t>.</w:t>
      </w:r>
      <w:r>
        <w:rPr>
          <w:rFonts w:ascii="Times New Roman" w:hAnsi="Times New Roman" w:eastAsia="仿宋_GB2312" w:cs="Times New Roman"/>
          <w:snapToGrid w:val="0"/>
          <w:color w:val="auto"/>
          <w:kern w:val="0"/>
          <w:szCs w:val="24"/>
        </w:rPr>
        <w:t>2-1和附图。</w:t>
      </w:r>
    </w:p>
    <w:p>
      <w:pPr>
        <w:ind w:left="24" w:leftChars="-295" w:hanging="732" w:hangingChars="305"/>
        <w:jc w:val="center"/>
        <w:rPr>
          <w:rFonts w:hint="eastAsia" w:ascii="Times New Roman" w:hAnsi="Times New Roman" w:eastAsia="宋体" w:cs="Times New Roman"/>
          <w:color w:val="auto"/>
          <w:kern w:val="0"/>
          <w:szCs w:val="24"/>
          <w:lang w:eastAsia="zh-CN"/>
        </w:rPr>
      </w:pPr>
      <w:r>
        <w:rPr>
          <w:rFonts w:hint="eastAsia" w:ascii="Times New Roman" w:hAnsi="Times New Roman" w:eastAsia="宋体" w:cs="Times New Roman"/>
          <w:color w:val="auto"/>
          <w:kern w:val="0"/>
          <w:szCs w:val="24"/>
          <w:lang w:eastAsia="zh-CN"/>
        </w:rPr>
        <w:drawing>
          <wp:inline distT="0" distB="0" distL="114300" distR="114300">
            <wp:extent cx="6395720" cy="4149090"/>
            <wp:effectExtent l="0" t="0" r="5080" b="3810"/>
            <wp:docPr id="41" name="图片 41" descr="bb97430721c4a13cba09f8798d1db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bb97430721c4a13cba09f8798d1dbef"/>
                    <pic:cNvPicPr>
                      <a:picLocks noChangeAspect="1"/>
                    </pic:cNvPicPr>
                  </pic:nvPicPr>
                  <pic:blipFill>
                    <a:blip r:embed="rId94"/>
                    <a:srcRect l="1758"/>
                    <a:stretch>
                      <a:fillRect/>
                    </a:stretch>
                  </pic:blipFill>
                  <pic:spPr>
                    <a:xfrm>
                      <a:off x="0" y="0"/>
                      <a:ext cx="6395720" cy="4149090"/>
                    </a:xfrm>
                    <a:prstGeom prst="rect">
                      <a:avLst/>
                    </a:prstGeom>
                  </pic:spPr>
                </pic:pic>
              </a:graphicData>
            </a:graphic>
          </wp:inline>
        </w:drawing>
      </w:r>
    </w:p>
    <w:p>
      <w:pPr>
        <w:snapToGrid w:val="0"/>
        <w:spacing w:line="360" w:lineRule="auto"/>
        <w:ind w:left="-425" w:leftChars="-177" w:firstLine="424" w:firstLineChars="176"/>
        <w:jc w:val="center"/>
        <w:rPr>
          <w:rFonts w:ascii="Times New Roman" w:hAnsi="Times New Roman" w:eastAsia="仿宋_GB2312" w:cs="Times New Roman"/>
          <w:b/>
          <w:color w:val="auto"/>
          <w:szCs w:val="24"/>
          <w:highlight w:val="none"/>
        </w:rPr>
      </w:pPr>
      <w:r>
        <w:rPr>
          <w:rFonts w:ascii="Times New Roman" w:hAnsi="Times New Roman" w:eastAsia="仿宋_GB2312" w:cs="Times New Roman"/>
          <w:b/>
          <w:color w:val="auto"/>
          <w:szCs w:val="24"/>
          <w:highlight w:val="none"/>
        </w:rPr>
        <w:t>图5</w:t>
      </w:r>
      <w:r>
        <w:rPr>
          <w:rFonts w:hint="eastAsia" w:ascii="Times New Roman" w:hAnsi="Times New Roman" w:eastAsia="仿宋_GB2312" w:cs="Times New Roman"/>
          <w:b/>
          <w:color w:val="auto"/>
          <w:szCs w:val="24"/>
          <w:highlight w:val="none"/>
        </w:rPr>
        <w:t>.</w:t>
      </w:r>
      <w:r>
        <w:rPr>
          <w:rFonts w:ascii="Times New Roman" w:hAnsi="Times New Roman" w:eastAsia="仿宋_GB2312" w:cs="Times New Roman"/>
          <w:b/>
          <w:color w:val="auto"/>
          <w:szCs w:val="24"/>
          <w:highlight w:val="none"/>
        </w:rPr>
        <w:t>2-1</w:t>
      </w:r>
      <w:r>
        <w:rPr>
          <w:rFonts w:hint="eastAsia" w:ascii="Times New Roman" w:hAnsi="Times New Roman" w:eastAsia="仿宋_GB2312" w:cs="Times New Roman"/>
          <w:b/>
          <w:color w:val="auto"/>
          <w:szCs w:val="24"/>
          <w:highlight w:val="none"/>
          <w:lang w:eastAsia="zh-CN"/>
        </w:rPr>
        <w:t>：</w:t>
      </w:r>
      <w:r>
        <w:rPr>
          <w:rFonts w:ascii="Times New Roman" w:hAnsi="Times New Roman" w:eastAsia="仿宋_GB2312" w:cs="Times New Roman"/>
          <w:b/>
          <w:color w:val="auto"/>
          <w:szCs w:val="24"/>
          <w:highlight w:val="none"/>
        </w:rPr>
        <w:t>水土流失防治措施体系框图</w:t>
      </w:r>
      <w:bookmarkStart w:id="327" w:name="_Toc16817"/>
    </w:p>
    <w:p>
      <w:pPr>
        <w:pStyle w:val="5"/>
        <w:rPr>
          <w:rFonts w:eastAsia="仿宋_GB2312"/>
          <w:color w:val="auto"/>
        </w:rPr>
      </w:pPr>
      <w:bookmarkStart w:id="328" w:name="_Toc15907"/>
      <w:bookmarkStart w:id="329" w:name="_Toc28152"/>
      <w:r>
        <w:rPr>
          <w:rFonts w:eastAsia="仿宋_GB2312"/>
          <w:color w:val="auto"/>
        </w:rPr>
        <w:t>5.3分区措施布设</w:t>
      </w:r>
      <w:bookmarkEnd w:id="328"/>
      <w:bookmarkEnd w:id="329"/>
    </w:p>
    <w:p>
      <w:pPr>
        <w:pStyle w:val="6"/>
        <w:rPr>
          <w:rFonts w:eastAsia="仿宋_GB2312"/>
          <w:color w:val="auto"/>
        </w:rPr>
      </w:pPr>
      <w:r>
        <w:rPr>
          <w:rFonts w:eastAsia="仿宋_GB2312"/>
          <w:color w:val="auto"/>
        </w:rPr>
        <w:t>5.3.1</w:t>
      </w:r>
      <w:r>
        <w:rPr>
          <w:rFonts w:eastAsia="仿宋_GB2312"/>
          <w:color w:val="auto"/>
          <w:kern w:val="0"/>
          <w:sz w:val="28"/>
          <w:szCs w:val="28"/>
        </w:rPr>
        <w:t>典型地块选取原则</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本次选取评估区内部典型地块，结合各个地块工程特点，进行分区防治措施布置。</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olor w:val="auto"/>
        </w:rPr>
        <w:t>结合本项目园区内原始标高与道路设计标高，新建道路设计标高高于厂区原始标高，道路施工期间主要产生填方边坡，坡比为1:1，最大坡高3.5m，</w:t>
      </w:r>
      <w:r>
        <w:rPr>
          <w:rFonts w:ascii="Times New Roman" w:hAnsi="Times New Roman" w:eastAsia="仿宋_GB2312"/>
          <w:color w:val="auto"/>
        </w:rPr>
        <w:t>本次选取</w:t>
      </w:r>
      <w:r>
        <w:rPr>
          <w:rFonts w:hint="eastAsia" w:ascii="Times New Roman" w:hAnsi="Times New Roman" w:eastAsia="仿宋_GB2312"/>
          <w:color w:val="auto"/>
        </w:rPr>
        <w:t>尤氨公路</w:t>
      </w:r>
      <w:r>
        <w:rPr>
          <w:rFonts w:ascii="Times New Roman" w:hAnsi="Times New Roman" w:eastAsia="仿宋_GB2312"/>
          <w:color w:val="auto"/>
        </w:rPr>
        <w:t>作为典型设计，因为该条道路</w:t>
      </w:r>
      <w:r>
        <w:rPr>
          <w:rFonts w:hint="eastAsia" w:ascii="Times New Roman" w:hAnsi="Times New Roman" w:eastAsia="仿宋_GB2312"/>
          <w:color w:val="auto"/>
        </w:rPr>
        <w:t>存在填方最大边坡</w:t>
      </w:r>
      <w:r>
        <w:rPr>
          <w:rFonts w:ascii="Times New Roman" w:hAnsi="Times New Roman" w:eastAsia="仿宋_GB2312"/>
          <w:color w:val="auto"/>
        </w:rPr>
        <w:t>，因此将其作为道路与交通设施用地防治区典型</w:t>
      </w:r>
      <w:r>
        <w:rPr>
          <w:rFonts w:hint="eastAsia" w:ascii="Times New Roman" w:hAnsi="Times New Roman" w:eastAsia="仿宋_GB2312"/>
          <w:color w:val="auto"/>
        </w:rPr>
        <w:t>道路</w:t>
      </w:r>
      <w:r>
        <w:rPr>
          <w:rFonts w:ascii="Times New Roman" w:hAnsi="Times New Roman" w:eastAsia="仿宋_GB2312"/>
          <w:color w:val="auto"/>
        </w:rPr>
        <w:t>。由于公用设施用地防治区</w:t>
      </w:r>
      <w:r>
        <w:rPr>
          <w:rFonts w:hint="eastAsia" w:ascii="Times New Roman" w:hAnsi="Times New Roman" w:eastAsia="仿宋_GB2312"/>
          <w:color w:val="auto"/>
        </w:rPr>
        <w:t>和</w:t>
      </w:r>
      <w:r>
        <w:rPr>
          <w:rFonts w:ascii="Times New Roman" w:hAnsi="Times New Roman" w:eastAsia="仿宋_GB2312"/>
          <w:color w:val="auto"/>
        </w:rPr>
        <w:t>绿地用地防治区内施工内容基本一致，本节中不再选取典型地块，分别以整个分区进行水土保持措施布局。由于区域规划功能防治区中的</w:t>
      </w:r>
      <w:r>
        <w:rPr>
          <w:rFonts w:hint="eastAsia" w:ascii="Times New Roman" w:hAnsi="Times New Roman" w:eastAsia="仿宋_GB2312"/>
          <w:color w:val="auto"/>
          <w:lang w:eastAsia="zh-CN"/>
        </w:rPr>
        <w:t>已建工程防治区未编报方案，其已实施措施也纳入本评估报告，主要为</w:t>
      </w:r>
      <w:r>
        <w:rPr>
          <w:rFonts w:hint="eastAsia" w:ascii="Times New Roman" w:hAnsi="Times New Roman" w:eastAsia="仿宋_GB2312"/>
          <w:color w:val="auto"/>
          <w:lang w:val="en-US" w:eastAsia="zh-CN"/>
        </w:rPr>
        <w:t>E09、E19地块</w:t>
      </w:r>
      <w:r>
        <w:rPr>
          <w:rFonts w:hint="eastAsia" w:ascii="Times New Roman" w:hAnsi="Times New Roman" w:eastAsia="仿宋_GB2312"/>
          <w:color w:val="auto"/>
          <w:lang w:eastAsia="zh-CN"/>
        </w:rPr>
        <w:t>场地平整和</w:t>
      </w:r>
      <w:r>
        <w:rPr>
          <w:rFonts w:hint="eastAsia" w:ascii="Times New Roman" w:hAnsi="Times New Roman" w:eastAsia="仿宋_GB2312"/>
          <w:color w:val="auto"/>
          <w:lang w:val="en-US" w:eastAsia="zh-CN"/>
        </w:rPr>
        <w:t>E11地块的排水和绿化工程；</w:t>
      </w:r>
      <w:r>
        <w:rPr>
          <w:rFonts w:hint="eastAsia" w:ascii="Times New Roman" w:hAnsi="Times New Roman" w:eastAsia="仿宋_GB2312"/>
          <w:color w:val="auto"/>
          <w:lang w:eastAsia="zh-CN"/>
        </w:rPr>
        <w:t>在建工程区其防治措施纳入其已批复水保方案中；待建工程区的建设内容主要为</w:t>
      </w:r>
      <w:r>
        <w:rPr>
          <w:rFonts w:ascii="Times New Roman" w:hAnsi="Times New Roman" w:eastAsia="仿宋_GB2312"/>
          <w:color w:val="auto"/>
        </w:rPr>
        <w:t>场地平整，为更加简洁并准确分析以上分区水土保持措施，本节中对各防治区域，选取一处典型地块开展水土保持措施布置。根据区域内工程施工特点，本次选取的典型地块为</w:t>
      </w:r>
      <w:r>
        <w:rPr>
          <w:rFonts w:hint="eastAsia" w:ascii="Times New Roman" w:hAnsi="Times New Roman" w:eastAsia="仿宋_GB2312"/>
          <w:color w:val="auto"/>
        </w:rPr>
        <w:t>E06</w:t>
      </w:r>
      <w:r>
        <w:rPr>
          <w:rFonts w:ascii="Times New Roman" w:hAnsi="Times New Roman" w:eastAsia="仿宋_GB2312"/>
          <w:color w:val="auto"/>
        </w:rPr>
        <w:t>地块，选取依据为该地块为</w:t>
      </w:r>
      <w:r>
        <w:rPr>
          <w:rFonts w:hint="eastAsia" w:ascii="Times New Roman" w:hAnsi="Times New Roman" w:eastAsia="仿宋_GB2312"/>
          <w:color w:val="auto"/>
          <w:lang w:eastAsia="zh-CN"/>
        </w:rPr>
        <w:t>暂未建设</w:t>
      </w:r>
      <w:r>
        <w:rPr>
          <w:rFonts w:ascii="Times New Roman" w:hAnsi="Times New Roman" w:eastAsia="仿宋_GB2312"/>
          <w:color w:val="auto"/>
        </w:rPr>
        <w:t>，</w:t>
      </w:r>
      <w:r>
        <w:rPr>
          <w:rFonts w:hint="eastAsia" w:ascii="Times New Roman" w:hAnsi="Times New Roman" w:eastAsia="仿宋_GB2312"/>
          <w:color w:val="auto"/>
        </w:rPr>
        <w:t>且周边存在已</w:t>
      </w:r>
      <w:r>
        <w:rPr>
          <w:rFonts w:ascii="Times New Roman" w:hAnsi="Times New Roman" w:eastAsia="仿宋_GB2312"/>
          <w:color w:val="auto"/>
        </w:rPr>
        <w:t>建</w:t>
      </w:r>
      <w:r>
        <w:rPr>
          <w:rFonts w:hint="eastAsia" w:ascii="Times New Roman" w:hAnsi="Times New Roman" w:eastAsia="仿宋_GB2312"/>
          <w:color w:val="auto"/>
        </w:rPr>
        <w:t>道路</w:t>
      </w:r>
      <w:r>
        <w:rPr>
          <w:rFonts w:ascii="Times New Roman" w:hAnsi="Times New Roman" w:eastAsia="仿宋_GB2312"/>
          <w:color w:val="auto"/>
        </w:rPr>
        <w:t>，具有代表性。</w:t>
      </w:r>
    </w:p>
    <w:p>
      <w:pPr>
        <w:pStyle w:val="6"/>
        <w:rPr>
          <w:rFonts w:eastAsia="仿宋_GB2312"/>
          <w:color w:val="auto"/>
        </w:rPr>
      </w:pPr>
      <w:r>
        <w:rPr>
          <w:rFonts w:eastAsia="仿宋_GB2312"/>
          <w:color w:val="auto"/>
        </w:rPr>
        <w:t>5.3.2分区防治措施布设</w:t>
      </w:r>
    </w:p>
    <w:p>
      <w:pPr>
        <w:pStyle w:val="7"/>
        <w:snapToGrid w:val="0"/>
        <w:spacing w:line="360" w:lineRule="auto"/>
        <w:rPr>
          <w:rFonts w:eastAsia="仿宋_GB2312"/>
          <w:color w:val="auto"/>
          <w:sz w:val="28"/>
          <w:szCs w:val="28"/>
        </w:rPr>
      </w:pPr>
      <w:r>
        <w:rPr>
          <w:rFonts w:hint="eastAsia"/>
          <w:color w:val="auto"/>
          <w:sz w:val="28"/>
          <w:szCs w:val="28"/>
        </w:rPr>
        <w:t>5</w:t>
      </w:r>
      <w:r>
        <w:rPr>
          <w:color w:val="auto"/>
          <w:sz w:val="28"/>
          <w:szCs w:val="28"/>
        </w:rPr>
        <w:t>.3.</w:t>
      </w:r>
      <w:r>
        <w:rPr>
          <w:rFonts w:hint="eastAsia"/>
          <w:color w:val="auto"/>
          <w:sz w:val="28"/>
          <w:szCs w:val="28"/>
        </w:rPr>
        <w:t>2</w:t>
      </w:r>
      <w:r>
        <w:rPr>
          <w:color w:val="auto"/>
          <w:sz w:val="28"/>
          <w:szCs w:val="28"/>
        </w:rPr>
        <w:t>.</w:t>
      </w:r>
      <w:r>
        <w:rPr>
          <w:rFonts w:hint="eastAsia"/>
          <w:color w:val="auto"/>
          <w:sz w:val="28"/>
          <w:szCs w:val="28"/>
        </w:rPr>
        <w:t>1</w:t>
      </w:r>
      <w:r>
        <w:rPr>
          <w:rFonts w:eastAsia="仿宋_GB2312"/>
          <w:color w:val="auto"/>
          <w:sz w:val="28"/>
          <w:szCs w:val="28"/>
        </w:rPr>
        <w:t>公共基础设施防治区</w:t>
      </w:r>
    </w:p>
    <w:p>
      <w:pPr>
        <w:spacing w:line="360" w:lineRule="auto"/>
        <w:ind w:firstLine="482" w:firstLineChars="200"/>
        <w:rPr>
          <w:rFonts w:ascii="Times New Roman" w:hAnsi="Times New Roman" w:eastAsia="仿宋_GB2312"/>
          <w:b/>
          <w:color w:val="auto"/>
        </w:rPr>
      </w:pPr>
      <w:r>
        <w:rPr>
          <w:rFonts w:hint="eastAsia" w:ascii="Times New Roman" w:hAnsi="Times New Roman" w:eastAsia="仿宋_GB2312"/>
          <w:b/>
          <w:color w:val="auto"/>
        </w:rPr>
        <w:t>（一）道路与交通设施用地防治区</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道路交通设施防治区建设内容包括：</w:t>
      </w:r>
      <w:r>
        <w:rPr>
          <w:rFonts w:hint="eastAsia" w:ascii="Times New Roman" w:hAnsi="Times New Roman" w:eastAsia="仿宋_GB2312"/>
          <w:color w:val="auto"/>
        </w:rPr>
        <w:t>规划区域内各地块周边道路及停车场</w:t>
      </w:r>
      <w:r>
        <w:rPr>
          <w:rFonts w:ascii="Times New Roman" w:hAnsi="Times New Roman" w:eastAsia="仿宋_GB2312"/>
          <w:color w:val="auto"/>
        </w:rPr>
        <w:t>。</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本区域主体规划设计的水土保持措施包括：表土剥离、表土回填、雨水管网、透水铺装及道路绿化等措施，本</w:t>
      </w:r>
      <w:r>
        <w:rPr>
          <w:rFonts w:hint="eastAsia" w:ascii="Times New Roman" w:hAnsi="Times New Roman" w:eastAsia="仿宋_GB2312"/>
          <w:color w:val="auto"/>
          <w:lang w:val="en-US" w:eastAsia="zh-CN"/>
        </w:rPr>
        <w:t>区域评估报告</w:t>
      </w:r>
      <w:r>
        <w:rPr>
          <w:rFonts w:hint="eastAsia" w:ascii="Times New Roman" w:hAnsi="Times New Roman" w:eastAsia="仿宋_GB2312"/>
          <w:color w:val="auto"/>
        </w:rPr>
        <w:t>将补充施工期间道路两侧的临时排水沉沙及坡面铺草皮护坡和苫盖措施。</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（1）土地整治工程</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施工前</w:t>
      </w:r>
      <w:r>
        <w:rPr>
          <w:rFonts w:hint="eastAsia" w:ascii="Times New Roman" w:hAnsi="Times New Roman" w:eastAsia="仿宋_GB2312"/>
          <w:color w:val="auto"/>
        </w:rPr>
        <w:t>，</w:t>
      </w:r>
      <w:r>
        <w:rPr>
          <w:rFonts w:ascii="Times New Roman" w:hAnsi="Times New Roman" w:eastAsia="仿宋_GB2312"/>
          <w:color w:val="auto"/>
        </w:rPr>
        <w:t>对区域有表土的区域进行表土剥离</w:t>
      </w:r>
      <w:r>
        <w:rPr>
          <w:rFonts w:hint="eastAsia" w:ascii="Times New Roman" w:hAnsi="Times New Roman" w:eastAsia="仿宋_GB2312"/>
          <w:color w:val="auto"/>
        </w:rPr>
        <w:t>，</w:t>
      </w:r>
      <w:r>
        <w:rPr>
          <w:rFonts w:ascii="Times New Roman" w:hAnsi="Times New Roman" w:eastAsia="仿宋_GB2312"/>
          <w:color w:val="auto"/>
        </w:rPr>
        <w:t>剥离</w:t>
      </w:r>
      <w:r>
        <w:rPr>
          <w:rFonts w:hint="eastAsia" w:ascii="Times New Roman" w:hAnsi="Times New Roman" w:eastAsia="仿宋_GB2312"/>
          <w:color w:val="auto"/>
        </w:rPr>
        <w:t>的表土</w:t>
      </w:r>
      <w:r>
        <w:rPr>
          <w:rFonts w:ascii="Times New Roman" w:hAnsi="Times New Roman" w:eastAsia="仿宋_GB2312"/>
          <w:color w:val="auto"/>
        </w:rPr>
        <w:t>集中</w:t>
      </w:r>
      <w:r>
        <w:rPr>
          <w:rFonts w:hint="eastAsia" w:ascii="Times New Roman" w:hAnsi="Times New Roman" w:eastAsia="仿宋_GB2312"/>
          <w:color w:val="auto"/>
        </w:rPr>
        <w:t>堆放于表土堆场。路基施工结束后，道路两侧绿化前进行表土回填，以利于植物的生长。工程量：表土剥离0.98万m</w:t>
      </w:r>
      <w:r>
        <w:rPr>
          <w:rFonts w:hint="eastAsia" w:ascii="Times New Roman" w:hAnsi="Times New Roman" w:eastAsia="仿宋_GB2312"/>
          <w:color w:val="auto"/>
          <w:vertAlign w:val="superscript"/>
        </w:rPr>
        <w:t>3</w:t>
      </w:r>
      <w:r>
        <w:rPr>
          <w:rFonts w:hint="eastAsia" w:ascii="Times New Roman" w:hAnsi="Times New Roman" w:eastAsia="仿宋_GB2312"/>
          <w:color w:val="auto"/>
        </w:rPr>
        <w:t>，表土回填0.08万m</w:t>
      </w:r>
      <w:r>
        <w:rPr>
          <w:rFonts w:hint="eastAsia" w:ascii="Times New Roman" w:hAnsi="Times New Roman" w:eastAsia="仿宋_GB2312"/>
          <w:color w:val="auto"/>
          <w:vertAlign w:val="superscript"/>
        </w:rPr>
        <w:t>3</w:t>
      </w:r>
      <w:r>
        <w:rPr>
          <w:rFonts w:hint="eastAsia" w:ascii="Times New Roman" w:hAnsi="Times New Roman" w:eastAsia="仿宋_GB2312"/>
          <w:color w:val="auto"/>
        </w:rPr>
        <w:t>。</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（2）排水工程</w:t>
      </w:r>
    </w:p>
    <w:p>
      <w:pPr>
        <w:spacing w:line="360" w:lineRule="auto"/>
        <w:ind w:firstLine="480" w:firstLineChars="200"/>
        <w:rPr>
          <w:rFonts w:hint="default" w:ascii="Times New Roman" w:hAnsi="Times New Roman" w:eastAsia="仿宋_GB2312"/>
          <w:color w:val="auto"/>
          <w:lang w:val="en-US" w:eastAsia="zh-CN"/>
        </w:rPr>
      </w:pPr>
      <w:r>
        <w:rPr>
          <w:rFonts w:hint="eastAsia" w:ascii="Times New Roman" w:hAnsi="Times New Roman" w:eastAsia="仿宋_GB2312"/>
          <w:color w:val="auto"/>
        </w:rPr>
        <w:t>道路排水工程由雨水管、雨水口、雨水井</w:t>
      </w:r>
      <w:r>
        <w:rPr>
          <w:rFonts w:hint="eastAsia" w:ascii="Times New Roman" w:hAnsi="Times New Roman" w:eastAsia="仿宋_GB2312"/>
          <w:color w:val="auto"/>
          <w:lang w:eastAsia="zh-CN"/>
        </w:rPr>
        <w:t>及雨水箱涵</w:t>
      </w:r>
      <w:r>
        <w:rPr>
          <w:rFonts w:hint="eastAsia" w:ascii="Times New Roman" w:hAnsi="Times New Roman" w:eastAsia="仿宋_GB2312"/>
          <w:color w:val="auto"/>
        </w:rPr>
        <w:t>组成。雨水管线布置结合受道路设计高程、规划上下游雨水管道衔接、其他管线避让等情况综合考虑布置在道路下方。工程量：雨水管2</w:t>
      </w:r>
      <w:r>
        <w:rPr>
          <w:rFonts w:hint="eastAsia" w:ascii="Times New Roman" w:hAnsi="Times New Roman" w:eastAsia="仿宋_GB2312"/>
          <w:color w:val="auto"/>
          <w:lang w:val="en-US" w:eastAsia="zh-CN"/>
        </w:rPr>
        <w:t>496</w:t>
      </w:r>
      <w:r>
        <w:rPr>
          <w:rFonts w:hint="eastAsia" w:ascii="Times New Roman" w:hAnsi="Times New Roman" w:eastAsia="仿宋_GB2312"/>
          <w:color w:val="auto"/>
        </w:rPr>
        <w:t>m，雨水口</w:t>
      </w:r>
      <w:r>
        <w:rPr>
          <w:rFonts w:hint="eastAsia" w:ascii="Times New Roman" w:hAnsi="Times New Roman" w:eastAsia="仿宋_GB2312"/>
          <w:color w:val="auto"/>
          <w:lang w:val="en-US" w:eastAsia="zh-CN"/>
        </w:rPr>
        <w:t>112</w:t>
      </w:r>
      <w:r>
        <w:rPr>
          <w:rFonts w:hint="eastAsia" w:ascii="Times New Roman" w:hAnsi="Times New Roman" w:eastAsia="仿宋_GB2312"/>
          <w:color w:val="auto"/>
        </w:rPr>
        <w:t>个，雨水井</w:t>
      </w:r>
      <w:r>
        <w:rPr>
          <w:rFonts w:hint="eastAsia" w:ascii="Times New Roman" w:hAnsi="Times New Roman" w:eastAsia="仿宋_GB2312"/>
          <w:color w:val="auto"/>
          <w:lang w:val="en-US" w:eastAsia="zh-CN"/>
        </w:rPr>
        <w:t>56</w:t>
      </w:r>
      <w:r>
        <w:rPr>
          <w:rFonts w:hint="eastAsia" w:ascii="Times New Roman" w:hAnsi="Times New Roman" w:eastAsia="仿宋_GB2312"/>
          <w:color w:val="auto"/>
        </w:rPr>
        <w:t>座</w:t>
      </w:r>
      <w:r>
        <w:rPr>
          <w:rFonts w:hint="eastAsia" w:ascii="Times New Roman" w:hAnsi="Times New Roman" w:eastAsia="仿宋_GB2312"/>
          <w:color w:val="auto"/>
          <w:lang w:eastAsia="zh-CN"/>
        </w:rPr>
        <w:t>，雨水箱涵</w:t>
      </w:r>
      <w:r>
        <w:rPr>
          <w:rFonts w:hint="eastAsia" w:ascii="Times New Roman" w:hAnsi="Times New Roman" w:eastAsia="仿宋_GB2312"/>
          <w:color w:val="auto"/>
          <w:lang w:val="en-US" w:eastAsia="zh-CN"/>
        </w:rPr>
        <w:t>1136m（其中包含经十八路已建成雨水</w:t>
      </w:r>
      <w:r>
        <w:rPr>
          <w:rFonts w:hint="eastAsia" w:ascii="Times New Roman" w:hAnsi="Times New Roman" w:eastAsia="仿宋_GB2312" w:cs="Times New Roman"/>
          <w:color w:val="auto"/>
        </w:rPr>
        <w:t>管</w:t>
      </w:r>
      <w:r>
        <w:rPr>
          <w:rFonts w:hint="eastAsia" w:ascii="Times New Roman" w:hAnsi="Times New Roman" w:eastAsia="仿宋_GB2312" w:cs="Times New Roman"/>
          <w:color w:val="auto"/>
          <w:lang w:val="en-US" w:eastAsia="zh-CN"/>
        </w:rPr>
        <w:t>276</w:t>
      </w:r>
      <w:r>
        <w:rPr>
          <w:rFonts w:hint="eastAsia" w:ascii="Times New Roman" w:hAnsi="Times New Roman" w:eastAsia="仿宋_GB2312" w:cs="Times New Roman"/>
          <w:color w:val="auto"/>
        </w:rPr>
        <w:t>m，雨水口</w:t>
      </w:r>
      <w:r>
        <w:rPr>
          <w:rFonts w:hint="eastAsia" w:ascii="Times New Roman" w:hAnsi="Times New Roman" w:eastAsia="仿宋_GB2312" w:cs="Times New Roman"/>
          <w:color w:val="auto"/>
          <w:lang w:val="en-US" w:eastAsia="zh-CN"/>
        </w:rPr>
        <w:t>16</w:t>
      </w:r>
      <w:r>
        <w:rPr>
          <w:rFonts w:hint="eastAsia" w:ascii="Times New Roman" w:hAnsi="Times New Roman" w:eastAsia="仿宋_GB2312" w:cs="Times New Roman"/>
          <w:color w:val="auto"/>
        </w:rPr>
        <w:t>个，雨水井</w:t>
      </w:r>
      <w:r>
        <w:rPr>
          <w:rFonts w:hint="eastAsia" w:ascii="Times New Roman" w:hAnsi="Times New Roman" w:eastAsia="仿宋_GB2312" w:cs="Times New Roman"/>
          <w:color w:val="auto"/>
          <w:lang w:val="en-US" w:eastAsia="zh-CN"/>
        </w:rPr>
        <w:t>5</w:t>
      </w:r>
      <w:r>
        <w:rPr>
          <w:rFonts w:hint="eastAsia" w:ascii="Times New Roman" w:hAnsi="Times New Roman" w:eastAsia="仿宋_GB2312" w:cs="Times New Roman"/>
          <w:color w:val="auto"/>
        </w:rPr>
        <w:t>座</w:t>
      </w:r>
      <w:r>
        <w:rPr>
          <w:rFonts w:hint="eastAsia" w:ascii="Times New Roman" w:hAnsi="Times New Roman" w:eastAsia="仿宋_GB2312" w:cs="Times New Roman"/>
          <w:color w:val="auto"/>
          <w:lang w:eastAsia="zh-CN"/>
        </w:rPr>
        <w:t>；</w:t>
      </w:r>
      <w:r>
        <w:rPr>
          <w:rFonts w:hint="eastAsia" w:ascii="Times New Roman" w:hAnsi="Times New Roman" w:eastAsia="仿宋_GB2312"/>
          <w:color w:val="auto"/>
          <w:lang w:val="en-US" w:eastAsia="zh-CN"/>
        </w:rPr>
        <w:t>杨家山路已建成</w:t>
      </w:r>
      <w:r>
        <w:rPr>
          <w:rFonts w:hint="eastAsia" w:ascii="Times New Roman" w:hAnsi="Times New Roman" w:eastAsia="仿宋_GB2312" w:cs="Times New Roman"/>
          <w:color w:val="auto"/>
        </w:rPr>
        <w:t>雨水箱涵1336m</w:t>
      </w:r>
      <w:r>
        <w:rPr>
          <w:rFonts w:hint="eastAsia" w:ascii="Times New Roman" w:hAnsi="Times New Roman" w:eastAsia="仿宋_GB2312"/>
          <w:color w:val="auto"/>
          <w:lang w:val="en-US" w:eastAsia="zh-CN"/>
        </w:rPr>
        <w:t>）。</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（3）透水铺装工程</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道路两侧设置的人行道</w:t>
      </w:r>
      <w:r>
        <w:rPr>
          <w:rFonts w:ascii="Times New Roman" w:hAnsi="Times New Roman" w:eastAsia="仿宋_GB2312"/>
          <w:color w:val="auto"/>
        </w:rPr>
        <w:t>设计结合海绵城市建设理念，采用</w:t>
      </w:r>
      <w:r>
        <w:rPr>
          <w:rFonts w:hint="eastAsia" w:ascii="Times New Roman" w:hAnsi="Times New Roman" w:eastAsia="仿宋_GB2312"/>
          <w:color w:val="auto"/>
        </w:rPr>
        <w:t>面</w:t>
      </w:r>
      <w:r>
        <w:rPr>
          <w:rFonts w:ascii="Times New Roman" w:hAnsi="Times New Roman" w:eastAsia="仿宋_GB2312"/>
          <w:color w:val="auto"/>
        </w:rPr>
        <w:t>层6cm厚的透水砖</w:t>
      </w:r>
      <w:r>
        <w:rPr>
          <w:rFonts w:hint="eastAsia" w:ascii="Times New Roman" w:hAnsi="Times New Roman" w:eastAsia="仿宋_GB2312"/>
          <w:color w:val="auto"/>
        </w:rPr>
        <w:t>、封层3cm厚水泥砂浆、基层15</w:t>
      </w:r>
      <w:r>
        <w:rPr>
          <w:rFonts w:ascii="Times New Roman" w:hAnsi="Times New Roman" w:eastAsia="仿宋_GB2312"/>
          <w:color w:val="auto"/>
        </w:rPr>
        <w:t>cmC20透水混凝土和垫层</w:t>
      </w:r>
      <w:r>
        <w:rPr>
          <w:rFonts w:hint="eastAsia" w:ascii="Times New Roman" w:hAnsi="Times New Roman" w:eastAsia="仿宋_GB2312"/>
          <w:color w:val="auto"/>
        </w:rPr>
        <w:t>10cm级配碎石的</w:t>
      </w:r>
      <w:r>
        <w:rPr>
          <w:rFonts w:ascii="Times New Roman" w:hAnsi="Times New Roman" w:eastAsia="仿宋_GB2312"/>
          <w:color w:val="auto"/>
        </w:rPr>
        <w:t>型式进行人行道铺装。</w:t>
      </w:r>
      <w:r>
        <w:rPr>
          <w:rFonts w:hint="eastAsia" w:ascii="Times New Roman" w:hAnsi="Times New Roman" w:eastAsia="仿宋_GB2312"/>
          <w:color w:val="auto"/>
        </w:rPr>
        <w:t>工程量：透水铺装</w:t>
      </w:r>
      <w:r>
        <w:rPr>
          <w:rFonts w:hint="eastAsia" w:ascii="Times New Roman" w:hAnsi="Times New Roman" w:eastAsia="仿宋_GB2312"/>
          <w:color w:val="auto"/>
          <w:lang w:val="en-US" w:eastAsia="zh-CN"/>
        </w:rPr>
        <w:t>3.83</w:t>
      </w:r>
      <w:r>
        <w:rPr>
          <w:rFonts w:hint="eastAsia" w:ascii="Times New Roman" w:hAnsi="Times New Roman" w:eastAsia="仿宋_GB2312"/>
          <w:color w:val="auto"/>
        </w:rPr>
        <w:t>hm</w:t>
      </w:r>
      <w:r>
        <w:rPr>
          <w:rFonts w:hint="eastAsia" w:ascii="Times New Roman" w:hAnsi="Times New Roman" w:eastAsia="仿宋_GB2312"/>
          <w:color w:val="auto"/>
          <w:vertAlign w:val="superscript"/>
        </w:rPr>
        <w:t>2</w:t>
      </w:r>
      <w:r>
        <w:rPr>
          <w:rFonts w:hint="eastAsia" w:ascii="Times New Roman" w:hAnsi="Times New Roman" w:eastAsia="仿宋_GB2312"/>
          <w:color w:val="auto"/>
          <w:lang w:val="en-US" w:eastAsia="zh-CN"/>
        </w:rPr>
        <w:t>（其中包含经十八路已建成</w:t>
      </w:r>
      <w:r>
        <w:rPr>
          <w:rFonts w:hint="eastAsia" w:ascii="Times New Roman" w:hAnsi="Times New Roman" w:eastAsia="仿宋_GB2312"/>
          <w:color w:val="auto"/>
        </w:rPr>
        <w:t>透水铺装</w:t>
      </w:r>
      <w:r>
        <w:rPr>
          <w:rFonts w:hint="eastAsia" w:ascii="Times New Roman" w:hAnsi="Times New Roman" w:eastAsia="仿宋_GB2312"/>
          <w:color w:val="auto"/>
          <w:lang w:val="en-US" w:eastAsia="zh-CN"/>
        </w:rPr>
        <w:t>0.32</w:t>
      </w:r>
      <w:r>
        <w:rPr>
          <w:rFonts w:hint="eastAsia" w:ascii="Times New Roman" w:hAnsi="Times New Roman" w:eastAsia="仿宋_GB2312"/>
          <w:color w:val="auto"/>
        </w:rPr>
        <w:t>hm</w:t>
      </w:r>
      <w:r>
        <w:rPr>
          <w:rFonts w:hint="eastAsia" w:ascii="Times New Roman" w:hAnsi="Times New Roman" w:eastAsia="仿宋_GB2312"/>
          <w:color w:val="auto"/>
          <w:vertAlign w:val="superscript"/>
        </w:rPr>
        <w:t>2</w:t>
      </w:r>
      <w:r>
        <w:rPr>
          <w:rFonts w:hint="eastAsia" w:ascii="Times New Roman" w:hAnsi="Times New Roman" w:eastAsia="仿宋_GB2312" w:cs="Times New Roman"/>
          <w:color w:val="auto"/>
          <w:lang w:eastAsia="zh-CN"/>
        </w:rPr>
        <w:t>；</w:t>
      </w:r>
      <w:r>
        <w:rPr>
          <w:rFonts w:hint="eastAsia" w:ascii="Times New Roman" w:hAnsi="Times New Roman" w:eastAsia="仿宋_GB2312"/>
          <w:color w:val="auto"/>
          <w:lang w:val="en-US" w:eastAsia="zh-CN"/>
        </w:rPr>
        <w:t>杨家山路已建成</w:t>
      </w:r>
      <w:r>
        <w:rPr>
          <w:rFonts w:hint="eastAsia" w:ascii="Times New Roman" w:hAnsi="Times New Roman" w:eastAsia="仿宋_GB2312"/>
          <w:color w:val="auto"/>
        </w:rPr>
        <w:t>透水铺装</w:t>
      </w:r>
      <w:r>
        <w:rPr>
          <w:rFonts w:hint="eastAsia" w:ascii="Times New Roman" w:hAnsi="Times New Roman" w:eastAsia="仿宋_GB2312"/>
          <w:color w:val="auto"/>
          <w:lang w:val="en-US" w:eastAsia="zh-CN"/>
        </w:rPr>
        <w:t>0.83</w:t>
      </w:r>
      <w:r>
        <w:rPr>
          <w:rFonts w:hint="eastAsia" w:ascii="Times New Roman" w:hAnsi="Times New Roman" w:eastAsia="仿宋_GB2312"/>
          <w:color w:val="auto"/>
        </w:rPr>
        <w:t>hm</w:t>
      </w:r>
      <w:r>
        <w:rPr>
          <w:rFonts w:hint="eastAsia" w:ascii="Times New Roman" w:hAnsi="Times New Roman" w:eastAsia="仿宋_GB2312"/>
          <w:color w:val="auto"/>
          <w:vertAlign w:val="superscript"/>
        </w:rPr>
        <w:t>2</w:t>
      </w:r>
      <w:r>
        <w:rPr>
          <w:rFonts w:hint="eastAsia" w:ascii="Times New Roman" w:hAnsi="Times New Roman" w:eastAsia="仿宋_GB2312"/>
          <w:color w:val="auto"/>
          <w:lang w:val="en-US" w:eastAsia="zh-CN"/>
        </w:rPr>
        <w:t>）</w:t>
      </w:r>
      <w:r>
        <w:rPr>
          <w:rFonts w:hint="eastAsia" w:ascii="Times New Roman" w:hAnsi="Times New Roman" w:eastAsia="仿宋_GB2312"/>
          <w:color w:val="auto"/>
        </w:rPr>
        <w:t>。</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（4）护坡工程</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本项目先进行园区道路的施工，再进行各地块的平整，同时根据园区原始标高及道路设计标高，道路路基回填产生填方边坡，</w:t>
      </w:r>
      <w:r>
        <w:rPr>
          <w:rFonts w:hint="eastAsia" w:ascii="Times New Roman" w:hAnsi="Times New Roman" w:eastAsia="仿宋_GB2312"/>
          <w:color w:val="auto"/>
          <w:lang w:val="en-US" w:eastAsia="zh-CN"/>
        </w:rPr>
        <w:t>评估报告</w:t>
      </w:r>
      <w:r>
        <w:rPr>
          <w:rFonts w:hint="eastAsia" w:ascii="Times New Roman" w:hAnsi="Times New Roman" w:eastAsia="仿宋_GB2312"/>
          <w:color w:val="auto"/>
        </w:rPr>
        <w:t>新增对产生的回填边坡进行铺植草皮防护，减弱雨水对坡面的冲刷作用，防止发生大面积水土流失。工程量：铺植草皮护坡2.10hm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（5）绿化工程</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s="Times New Roman"/>
          <w:color w:val="auto"/>
          <w:szCs w:val="24"/>
        </w:rPr>
        <w:t>本项目道路绿化主要为栽植行道树和分隔带绿化，以本地树种为主，形成四季有花、四季常绿的景观环境。同时体现时代特色，营造出清新明快的氛围。乔灌草、乔灌花的合理搭配，落叶与常绿叶树种的搭配，注重季相变化，创造出生态景观路的优美景致。</w:t>
      </w:r>
      <w:r>
        <w:rPr>
          <w:rFonts w:hint="eastAsia" w:ascii="Times New Roman" w:hAnsi="Times New Roman" w:eastAsia="仿宋_GB2312"/>
          <w:color w:val="auto"/>
        </w:rPr>
        <w:t>工程量：道路绿化0.</w:t>
      </w:r>
      <w:r>
        <w:rPr>
          <w:rFonts w:hint="eastAsia" w:ascii="Times New Roman" w:hAnsi="Times New Roman" w:eastAsia="仿宋_GB2312"/>
          <w:color w:val="auto"/>
          <w:lang w:val="en-US" w:eastAsia="zh-CN"/>
        </w:rPr>
        <w:t>46</w:t>
      </w:r>
      <w:r>
        <w:rPr>
          <w:rFonts w:hint="eastAsia" w:ascii="Times New Roman" w:hAnsi="Times New Roman" w:eastAsia="仿宋_GB2312"/>
          <w:color w:val="auto"/>
        </w:rPr>
        <w:t>hm</w:t>
      </w:r>
      <w:r>
        <w:rPr>
          <w:rFonts w:hint="eastAsia" w:ascii="Times New Roman" w:hAnsi="Times New Roman" w:eastAsia="仿宋_GB2312"/>
          <w:color w:val="auto"/>
          <w:vertAlign w:val="superscript"/>
        </w:rPr>
        <w:t>2</w:t>
      </w:r>
      <w:r>
        <w:rPr>
          <w:rFonts w:hint="eastAsia" w:ascii="Times New Roman" w:hAnsi="Times New Roman" w:eastAsia="仿宋_GB2312"/>
          <w:color w:val="auto"/>
          <w:lang w:val="en-US" w:eastAsia="zh-CN"/>
        </w:rPr>
        <w:t>（其中包含经十八路已建成</w:t>
      </w:r>
      <w:r>
        <w:rPr>
          <w:rFonts w:hint="eastAsia" w:ascii="Times New Roman" w:hAnsi="Times New Roman" w:eastAsia="仿宋_GB2312"/>
          <w:color w:val="auto"/>
        </w:rPr>
        <w:t>道路绿化</w:t>
      </w:r>
      <w:r>
        <w:rPr>
          <w:rFonts w:hint="eastAsia" w:ascii="Times New Roman" w:hAnsi="Times New Roman" w:eastAsia="仿宋_GB2312"/>
          <w:color w:val="auto"/>
          <w:lang w:val="en-US" w:eastAsia="zh-CN"/>
        </w:rPr>
        <w:t>0.04</w:t>
      </w:r>
      <w:r>
        <w:rPr>
          <w:rFonts w:hint="eastAsia" w:ascii="Times New Roman" w:hAnsi="Times New Roman" w:eastAsia="仿宋_GB2312"/>
          <w:color w:val="auto"/>
        </w:rPr>
        <w:t>hm</w:t>
      </w:r>
      <w:r>
        <w:rPr>
          <w:rFonts w:hint="eastAsia" w:ascii="Times New Roman" w:hAnsi="Times New Roman" w:eastAsia="仿宋_GB2312"/>
          <w:color w:val="auto"/>
          <w:vertAlign w:val="superscript"/>
        </w:rPr>
        <w:t>2</w:t>
      </w:r>
      <w:r>
        <w:rPr>
          <w:rFonts w:hint="eastAsia" w:ascii="Times New Roman" w:hAnsi="Times New Roman" w:eastAsia="仿宋_GB2312" w:cs="Times New Roman"/>
          <w:color w:val="auto"/>
          <w:lang w:eastAsia="zh-CN"/>
        </w:rPr>
        <w:t>；</w:t>
      </w:r>
      <w:r>
        <w:rPr>
          <w:rFonts w:hint="eastAsia" w:ascii="Times New Roman" w:hAnsi="Times New Roman" w:eastAsia="仿宋_GB2312"/>
          <w:color w:val="auto"/>
          <w:lang w:val="en-US" w:eastAsia="zh-CN"/>
        </w:rPr>
        <w:t>杨家山路已建成</w:t>
      </w:r>
      <w:r>
        <w:rPr>
          <w:rFonts w:hint="eastAsia" w:ascii="Times New Roman" w:hAnsi="Times New Roman" w:eastAsia="仿宋_GB2312"/>
          <w:color w:val="auto"/>
        </w:rPr>
        <w:t>道路绿化</w:t>
      </w:r>
      <w:r>
        <w:rPr>
          <w:rFonts w:hint="eastAsia" w:ascii="Times New Roman" w:hAnsi="Times New Roman" w:eastAsia="仿宋_GB2312"/>
          <w:color w:val="auto"/>
          <w:lang w:val="en-US" w:eastAsia="zh-CN"/>
        </w:rPr>
        <w:t>0.11</w:t>
      </w:r>
      <w:r>
        <w:rPr>
          <w:rFonts w:hint="eastAsia" w:ascii="Times New Roman" w:hAnsi="Times New Roman" w:eastAsia="仿宋_GB2312"/>
          <w:color w:val="auto"/>
        </w:rPr>
        <w:t>hm</w:t>
      </w:r>
      <w:r>
        <w:rPr>
          <w:rFonts w:hint="eastAsia" w:ascii="Times New Roman" w:hAnsi="Times New Roman" w:eastAsia="仿宋_GB2312"/>
          <w:color w:val="auto"/>
          <w:vertAlign w:val="superscript"/>
        </w:rPr>
        <w:t>2</w:t>
      </w:r>
      <w:r>
        <w:rPr>
          <w:rFonts w:hint="eastAsia" w:ascii="Times New Roman" w:hAnsi="Times New Roman" w:eastAsia="仿宋_GB2312"/>
          <w:color w:val="auto"/>
          <w:lang w:val="en-US" w:eastAsia="zh-CN"/>
        </w:rPr>
        <w:t>）</w:t>
      </w:r>
      <w:r>
        <w:rPr>
          <w:rFonts w:hint="eastAsia" w:ascii="Times New Roman" w:hAnsi="Times New Roman" w:eastAsia="仿宋_GB2312"/>
          <w:color w:val="auto"/>
        </w:rPr>
        <w:t>。</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（6）临时防护工程</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根据主体设计资料，沿尤氨公路</w:t>
      </w:r>
      <w:r>
        <w:rPr>
          <w:rFonts w:hint="eastAsia" w:ascii="Times New Roman" w:hAnsi="Times New Roman" w:eastAsia="仿宋_GB2312"/>
          <w:color w:val="auto"/>
          <w:lang w:val="zh-CN"/>
        </w:rPr>
        <w:t>敷设一条综合管廊</w:t>
      </w:r>
      <w:r>
        <w:rPr>
          <w:rFonts w:hint="eastAsia" w:ascii="Times New Roman" w:hAnsi="Times New Roman" w:eastAsia="仿宋_GB2312"/>
          <w:color w:val="auto"/>
        </w:rPr>
        <w:t>，管廊基坑开挖期间，沿开挖基坑底部设置基坑排水沟，并沿排水沟布设沉沙池；同时后期场地内道路路基回填期间于道路两侧填方边坡底部设置临时排水沉沙措施，收集坡面雨水，并对坡面进行临时苫盖。工程量：基坑排水沟1150m、基坑沉沙池9座、临时排水沟7420m、临时沉沙池49座、苫布覆盖2.10h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s="Times New Roman"/>
          <w:color w:val="auto"/>
        </w:rPr>
        <w:t>道路与交通设施用地防治区</w:t>
      </w:r>
      <w:r>
        <w:rPr>
          <w:rFonts w:ascii="Times New Roman" w:hAnsi="Times New Roman" w:eastAsia="仿宋_GB2312" w:cs="Times New Roman"/>
          <w:color w:val="auto"/>
        </w:rPr>
        <w:t>水土保持措施工程量详见表5.3-1。</w:t>
      </w:r>
    </w:p>
    <w:p>
      <w:pPr>
        <w:widowControl/>
        <w:snapToGrid w:val="0"/>
        <w:spacing w:line="360" w:lineRule="auto"/>
        <w:jc w:val="center"/>
        <w:rPr>
          <w:rFonts w:ascii="Times New Roman" w:hAnsi="Times New Roman" w:eastAsia="仿宋_GB2312" w:cs="Times New Roman"/>
          <w:b/>
          <w:color w:val="auto"/>
        </w:rPr>
      </w:pPr>
      <w:r>
        <w:rPr>
          <w:rFonts w:hint="eastAsia" w:ascii="Times New Roman" w:hAnsi="Times New Roman" w:eastAsia="仿宋_GB2312" w:cs="Times New Roman"/>
          <w:b/>
          <w:color w:val="auto"/>
        </w:rPr>
        <w:t>表5.3-1：道路与交通设施用地防治区水土保持措施工程量表</w:t>
      </w:r>
    </w:p>
    <w:tbl>
      <w:tblPr>
        <w:tblStyle w:val="37"/>
        <w:tblW w:w="508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41"/>
        <w:gridCol w:w="1838"/>
        <w:gridCol w:w="838"/>
        <w:gridCol w:w="887"/>
        <w:gridCol w:w="741"/>
        <w:gridCol w:w="1944"/>
        <w:gridCol w:w="833"/>
        <w:gridCol w:w="85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2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序号</w:t>
            </w:r>
          </w:p>
        </w:tc>
        <w:tc>
          <w:tcPr>
            <w:tcW w:w="1059"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b/>
                <w:bCs/>
                <w:color w:val="auto"/>
                <w:sz w:val="21"/>
                <w:szCs w:val="21"/>
              </w:rPr>
            </w:pPr>
            <w:r>
              <w:rPr>
                <w:rFonts w:hint="eastAsia" w:ascii="Times New Roman" w:hAnsi="Times New Roman" w:eastAsia="仿宋_GB2312" w:cs="Times New Roman"/>
                <w:b/>
                <w:bCs/>
                <w:color w:val="auto"/>
                <w:sz w:val="21"/>
                <w:szCs w:val="21"/>
                <w:lang w:val="en-US" w:eastAsia="zh-CN"/>
              </w:rPr>
              <w:t>措施</w:t>
            </w:r>
            <w:r>
              <w:rPr>
                <w:rFonts w:ascii="Times New Roman" w:hAnsi="Times New Roman" w:eastAsia="仿宋_GB2312" w:cs="Times New Roman"/>
                <w:b/>
                <w:bCs/>
                <w:color w:val="auto"/>
                <w:sz w:val="21"/>
                <w:szCs w:val="21"/>
              </w:rPr>
              <w:t>名称</w:t>
            </w:r>
          </w:p>
        </w:tc>
        <w:tc>
          <w:tcPr>
            <w:tcW w:w="483"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单位</w:t>
            </w:r>
          </w:p>
        </w:tc>
        <w:tc>
          <w:tcPr>
            <w:tcW w:w="511"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工程量</w:t>
            </w:r>
          </w:p>
        </w:tc>
        <w:tc>
          <w:tcPr>
            <w:tcW w:w="42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序号</w:t>
            </w:r>
          </w:p>
        </w:tc>
        <w:tc>
          <w:tcPr>
            <w:tcW w:w="1120"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b/>
                <w:bCs/>
                <w:color w:val="auto"/>
                <w:sz w:val="21"/>
                <w:szCs w:val="21"/>
              </w:rPr>
            </w:pPr>
            <w:r>
              <w:rPr>
                <w:rFonts w:hint="eastAsia" w:ascii="Times New Roman" w:hAnsi="Times New Roman" w:eastAsia="仿宋_GB2312" w:cs="Times New Roman"/>
                <w:b/>
                <w:bCs/>
                <w:color w:val="auto"/>
                <w:sz w:val="21"/>
                <w:szCs w:val="21"/>
                <w:lang w:val="en-US" w:eastAsia="zh-CN"/>
              </w:rPr>
              <w:t>措施</w:t>
            </w:r>
            <w:r>
              <w:rPr>
                <w:rFonts w:ascii="Times New Roman" w:hAnsi="Times New Roman" w:eastAsia="仿宋_GB2312" w:cs="Times New Roman"/>
                <w:b/>
                <w:bCs/>
                <w:color w:val="auto"/>
                <w:sz w:val="21"/>
                <w:szCs w:val="21"/>
              </w:rPr>
              <w:t>名称</w:t>
            </w:r>
          </w:p>
        </w:tc>
        <w:tc>
          <w:tcPr>
            <w:tcW w:w="480"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单位</w:t>
            </w:r>
          </w:p>
        </w:tc>
        <w:tc>
          <w:tcPr>
            <w:tcW w:w="490"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工程量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2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一</w:t>
            </w:r>
          </w:p>
        </w:tc>
        <w:tc>
          <w:tcPr>
            <w:tcW w:w="1059"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工程措施</w:t>
            </w:r>
          </w:p>
        </w:tc>
        <w:tc>
          <w:tcPr>
            <w:tcW w:w="483"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p>
        </w:tc>
        <w:tc>
          <w:tcPr>
            <w:tcW w:w="511"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p>
        </w:tc>
        <w:tc>
          <w:tcPr>
            <w:tcW w:w="427"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0"/>
                <w:sz w:val="21"/>
                <w:szCs w:val="21"/>
                <w:lang w:val="en-US" w:eastAsia="zh-CN" w:bidi="ar-SA"/>
              </w:rPr>
            </w:pPr>
            <w:r>
              <w:rPr>
                <w:rFonts w:ascii="Times New Roman" w:hAnsi="Times New Roman" w:eastAsia="仿宋_GB2312" w:cs="Times New Roman"/>
                <w:color w:val="auto"/>
                <w:kern w:val="0"/>
                <w:sz w:val="21"/>
                <w:szCs w:val="21"/>
              </w:rPr>
              <w:t>（1）</w:t>
            </w:r>
          </w:p>
        </w:tc>
        <w:tc>
          <w:tcPr>
            <w:tcW w:w="1120"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ascii="Times New Roman" w:hAnsi="Times New Roman" w:eastAsia="仿宋_GB2312" w:cs="Times New Roman"/>
                <w:color w:val="auto"/>
                <w:kern w:val="0"/>
                <w:sz w:val="21"/>
                <w:szCs w:val="21"/>
                <w:lang w:val="en-US" w:eastAsia="zh-CN" w:bidi="ar-SA"/>
              </w:rPr>
            </w:pPr>
            <w:r>
              <w:rPr>
                <w:rFonts w:ascii="Times New Roman" w:hAnsi="Times New Roman" w:eastAsia="仿宋_GB2312" w:cs="Times New Roman"/>
                <w:color w:val="auto"/>
                <w:kern w:val="0"/>
                <w:sz w:val="21"/>
                <w:szCs w:val="21"/>
              </w:rPr>
              <w:t>铺植草皮护坡</w:t>
            </w:r>
          </w:p>
        </w:tc>
        <w:tc>
          <w:tcPr>
            <w:tcW w:w="480"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490"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2.10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2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59"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土地整治工程</w:t>
            </w:r>
          </w:p>
        </w:tc>
        <w:tc>
          <w:tcPr>
            <w:tcW w:w="483"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p>
        </w:tc>
        <w:tc>
          <w:tcPr>
            <w:tcW w:w="511"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p>
        </w:tc>
        <w:tc>
          <w:tcPr>
            <w:tcW w:w="42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b/>
                <w:color w:val="auto"/>
                <w:kern w:val="2"/>
                <w:sz w:val="21"/>
                <w:szCs w:val="21"/>
                <w:lang w:val="en-US" w:eastAsia="zh-CN" w:bidi="ar-SA"/>
              </w:rPr>
            </w:pPr>
            <w:r>
              <w:rPr>
                <w:rFonts w:ascii="Times New Roman" w:hAnsi="Times New Roman" w:eastAsia="仿宋_GB2312" w:cs="Times New Roman"/>
                <w:b/>
                <w:color w:val="auto"/>
                <w:sz w:val="21"/>
                <w:szCs w:val="21"/>
              </w:rPr>
              <w:t>二</w:t>
            </w:r>
          </w:p>
        </w:tc>
        <w:tc>
          <w:tcPr>
            <w:tcW w:w="1120"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b/>
                <w:color w:val="auto"/>
                <w:kern w:val="2"/>
                <w:sz w:val="21"/>
                <w:szCs w:val="21"/>
                <w:lang w:val="en-US" w:eastAsia="zh-CN" w:bidi="ar-SA"/>
              </w:rPr>
            </w:pPr>
            <w:r>
              <w:rPr>
                <w:rFonts w:ascii="Times New Roman" w:hAnsi="Times New Roman" w:eastAsia="仿宋_GB2312" w:cs="Times New Roman"/>
                <w:b/>
                <w:color w:val="auto"/>
                <w:sz w:val="21"/>
                <w:szCs w:val="21"/>
              </w:rPr>
              <w:t>植物措施</w:t>
            </w:r>
          </w:p>
        </w:tc>
        <w:tc>
          <w:tcPr>
            <w:tcW w:w="480"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b/>
                <w:color w:val="auto"/>
                <w:kern w:val="2"/>
                <w:sz w:val="21"/>
                <w:szCs w:val="21"/>
                <w:lang w:val="en-US" w:eastAsia="zh-CN" w:bidi="ar-SA"/>
              </w:rPr>
            </w:pPr>
          </w:p>
        </w:tc>
        <w:tc>
          <w:tcPr>
            <w:tcW w:w="490"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b/>
                <w:color w:val="auto"/>
                <w:kern w:val="2"/>
                <w:sz w:val="21"/>
                <w:szCs w:val="21"/>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2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59"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表土剥离</w:t>
            </w:r>
          </w:p>
        </w:tc>
        <w:tc>
          <w:tcPr>
            <w:tcW w:w="483"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万m</w:t>
            </w:r>
            <w:r>
              <w:rPr>
                <w:rFonts w:ascii="Times New Roman" w:hAnsi="Times New Roman" w:eastAsia="仿宋_GB2312" w:cs="Times New Roman"/>
                <w:color w:val="auto"/>
                <w:sz w:val="21"/>
                <w:szCs w:val="21"/>
                <w:vertAlign w:val="superscript"/>
              </w:rPr>
              <w:t>3</w:t>
            </w:r>
          </w:p>
        </w:tc>
        <w:tc>
          <w:tcPr>
            <w:tcW w:w="511"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0.98</w:t>
            </w:r>
          </w:p>
        </w:tc>
        <w:tc>
          <w:tcPr>
            <w:tcW w:w="42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1</w:t>
            </w:r>
          </w:p>
        </w:tc>
        <w:tc>
          <w:tcPr>
            <w:tcW w:w="1120"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绿化工程</w:t>
            </w:r>
          </w:p>
        </w:tc>
        <w:tc>
          <w:tcPr>
            <w:tcW w:w="480"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2"/>
                <w:sz w:val="21"/>
                <w:szCs w:val="21"/>
                <w:lang w:val="en-US" w:eastAsia="zh-CN" w:bidi="ar-SA"/>
              </w:rPr>
            </w:pPr>
          </w:p>
        </w:tc>
        <w:tc>
          <w:tcPr>
            <w:tcW w:w="490"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color w:val="auto"/>
                <w:kern w:val="2"/>
                <w:sz w:val="21"/>
                <w:szCs w:val="21"/>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2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059"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表土回填</w:t>
            </w:r>
          </w:p>
        </w:tc>
        <w:tc>
          <w:tcPr>
            <w:tcW w:w="483"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万m</w:t>
            </w:r>
            <w:r>
              <w:rPr>
                <w:rFonts w:ascii="Times New Roman" w:hAnsi="Times New Roman" w:eastAsia="仿宋_GB2312" w:cs="Times New Roman"/>
                <w:color w:val="auto"/>
                <w:sz w:val="21"/>
                <w:szCs w:val="21"/>
                <w:vertAlign w:val="superscript"/>
              </w:rPr>
              <w:t>3</w:t>
            </w:r>
          </w:p>
        </w:tc>
        <w:tc>
          <w:tcPr>
            <w:tcW w:w="511"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0.08</w:t>
            </w:r>
          </w:p>
        </w:tc>
        <w:tc>
          <w:tcPr>
            <w:tcW w:w="427"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0"/>
                <w:sz w:val="21"/>
                <w:szCs w:val="21"/>
                <w:lang w:val="en-US" w:eastAsia="zh-CN" w:bidi="ar-SA"/>
              </w:rPr>
            </w:pPr>
            <w:r>
              <w:rPr>
                <w:rFonts w:ascii="Times New Roman" w:hAnsi="Times New Roman" w:eastAsia="仿宋_GB2312" w:cs="Times New Roman"/>
                <w:color w:val="auto"/>
                <w:kern w:val="0"/>
                <w:sz w:val="21"/>
                <w:szCs w:val="21"/>
              </w:rPr>
              <w:t>（1）</w:t>
            </w:r>
          </w:p>
        </w:tc>
        <w:tc>
          <w:tcPr>
            <w:tcW w:w="1120"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道路绿化</w:t>
            </w:r>
          </w:p>
        </w:tc>
        <w:tc>
          <w:tcPr>
            <w:tcW w:w="480"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490"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0.</w:t>
            </w:r>
            <w:r>
              <w:rPr>
                <w:rFonts w:hint="eastAsia" w:ascii="Times New Roman" w:hAnsi="Times New Roman" w:eastAsia="仿宋_GB2312" w:cs="Times New Roman"/>
                <w:color w:val="auto"/>
                <w:sz w:val="21"/>
                <w:szCs w:val="21"/>
                <w:lang w:val="en-US" w:eastAsia="zh-CN"/>
              </w:rPr>
              <w:t>46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2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059"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排水工程</w:t>
            </w:r>
          </w:p>
        </w:tc>
        <w:tc>
          <w:tcPr>
            <w:tcW w:w="483"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p>
        </w:tc>
        <w:tc>
          <w:tcPr>
            <w:tcW w:w="511"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p>
        </w:tc>
        <w:tc>
          <w:tcPr>
            <w:tcW w:w="42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b/>
                <w:color w:val="auto"/>
                <w:kern w:val="2"/>
                <w:sz w:val="21"/>
                <w:szCs w:val="21"/>
                <w:lang w:val="en-US" w:eastAsia="zh-CN" w:bidi="ar-SA"/>
              </w:rPr>
            </w:pPr>
            <w:r>
              <w:rPr>
                <w:rFonts w:ascii="Times New Roman" w:hAnsi="Times New Roman" w:eastAsia="仿宋_GB2312" w:cs="Times New Roman"/>
                <w:b/>
                <w:color w:val="auto"/>
                <w:sz w:val="21"/>
                <w:szCs w:val="21"/>
              </w:rPr>
              <w:t>三</w:t>
            </w:r>
          </w:p>
        </w:tc>
        <w:tc>
          <w:tcPr>
            <w:tcW w:w="1120"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b/>
                <w:color w:val="auto"/>
                <w:kern w:val="2"/>
                <w:sz w:val="21"/>
                <w:szCs w:val="21"/>
                <w:lang w:val="en-US" w:eastAsia="zh-CN" w:bidi="ar-SA"/>
              </w:rPr>
            </w:pPr>
            <w:r>
              <w:rPr>
                <w:rFonts w:ascii="Times New Roman" w:hAnsi="Times New Roman" w:eastAsia="仿宋_GB2312" w:cs="Times New Roman"/>
                <w:b/>
                <w:color w:val="auto"/>
                <w:sz w:val="21"/>
                <w:szCs w:val="21"/>
              </w:rPr>
              <w:t>临时措施</w:t>
            </w:r>
          </w:p>
        </w:tc>
        <w:tc>
          <w:tcPr>
            <w:tcW w:w="480"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2"/>
                <w:sz w:val="21"/>
                <w:szCs w:val="21"/>
                <w:lang w:val="en-US" w:eastAsia="zh-CN" w:bidi="ar-SA"/>
              </w:rPr>
            </w:pPr>
          </w:p>
        </w:tc>
        <w:tc>
          <w:tcPr>
            <w:tcW w:w="490"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2"/>
                <w:sz w:val="21"/>
                <w:szCs w:val="21"/>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2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59"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雨水管</w:t>
            </w:r>
          </w:p>
        </w:tc>
        <w:tc>
          <w:tcPr>
            <w:tcW w:w="483"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511"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color w:val="auto"/>
                <w:sz w:val="21"/>
                <w:szCs w:val="21"/>
                <w:lang w:val="en-US" w:eastAsia="zh-CN"/>
              </w:rPr>
            </w:pPr>
            <w:r>
              <w:rPr>
                <w:rFonts w:ascii="Times New Roman" w:hAnsi="Times New Roman" w:eastAsia="仿宋_GB2312" w:cs="Times New Roman"/>
                <w:color w:val="auto"/>
                <w:sz w:val="21"/>
                <w:szCs w:val="21"/>
              </w:rPr>
              <w:t>2</w:t>
            </w:r>
            <w:r>
              <w:rPr>
                <w:rFonts w:hint="eastAsia" w:ascii="Times New Roman" w:hAnsi="Times New Roman" w:eastAsia="仿宋_GB2312" w:cs="Times New Roman"/>
                <w:color w:val="auto"/>
                <w:sz w:val="21"/>
                <w:szCs w:val="21"/>
                <w:lang w:val="en-US" w:eastAsia="zh-CN"/>
              </w:rPr>
              <w:t>496</w:t>
            </w:r>
          </w:p>
        </w:tc>
        <w:tc>
          <w:tcPr>
            <w:tcW w:w="42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1</w:t>
            </w:r>
          </w:p>
        </w:tc>
        <w:tc>
          <w:tcPr>
            <w:tcW w:w="1120"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临时防护措施</w:t>
            </w:r>
          </w:p>
        </w:tc>
        <w:tc>
          <w:tcPr>
            <w:tcW w:w="480"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b/>
                <w:color w:val="auto"/>
                <w:kern w:val="2"/>
                <w:sz w:val="21"/>
                <w:szCs w:val="21"/>
                <w:lang w:val="en-US" w:eastAsia="zh-CN" w:bidi="ar-SA"/>
              </w:rPr>
            </w:pPr>
          </w:p>
        </w:tc>
        <w:tc>
          <w:tcPr>
            <w:tcW w:w="490"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2"/>
                <w:sz w:val="21"/>
                <w:szCs w:val="21"/>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2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059"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雨水口</w:t>
            </w:r>
          </w:p>
        </w:tc>
        <w:tc>
          <w:tcPr>
            <w:tcW w:w="483"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个</w:t>
            </w:r>
          </w:p>
        </w:tc>
        <w:tc>
          <w:tcPr>
            <w:tcW w:w="511"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112</w:t>
            </w:r>
          </w:p>
        </w:tc>
        <w:tc>
          <w:tcPr>
            <w:tcW w:w="42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（1）</w:t>
            </w:r>
          </w:p>
        </w:tc>
        <w:tc>
          <w:tcPr>
            <w:tcW w:w="1120"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ascii="仿宋_GB2312" w:hAnsi="Times New Roman" w:eastAsia="仿宋_GB2312" w:cs="Times New Roman"/>
                <w:color w:val="auto"/>
                <w:kern w:val="2"/>
                <w:sz w:val="21"/>
                <w:szCs w:val="21"/>
                <w:lang w:val="en-US" w:eastAsia="zh-CN" w:bidi="ar-SA"/>
              </w:rPr>
            </w:pPr>
            <w:r>
              <w:rPr>
                <w:rFonts w:hint="eastAsia" w:ascii="仿宋_GB2312" w:hAnsi="Times New Roman" w:eastAsia="仿宋_GB2312" w:cs="Times New Roman"/>
                <w:color w:val="auto"/>
                <w:kern w:val="0"/>
                <w:sz w:val="21"/>
                <w:szCs w:val="21"/>
              </w:rPr>
              <w:t>基坑排水沟◆</w:t>
            </w:r>
          </w:p>
        </w:tc>
        <w:tc>
          <w:tcPr>
            <w:tcW w:w="480"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m</w:t>
            </w:r>
          </w:p>
        </w:tc>
        <w:tc>
          <w:tcPr>
            <w:tcW w:w="490"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1150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2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1059"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雨水井</w:t>
            </w:r>
          </w:p>
        </w:tc>
        <w:tc>
          <w:tcPr>
            <w:tcW w:w="483"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个</w:t>
            </w:r>
          </w:p>
        </w:tc>
        <w:tc>
          <w:tcPr>
            <w:tcW w:w="511"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56</w:t>
            </w:r>
          </w:p>
        </w:tc>
        <w:tc>
          <w:tcPr>
            <w:tcW w:w="42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（2）</w:t>
            </w:r>
          </w:p>
        </w:tc>
        <w:tc>
          <w:tcPr>
            <w:tcW w:w="1120"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ascii="仿宋_GB2312" w:hAnsi="Times New Roman" w:eastAsia="仿宋_GB2312" w:cs="Times New Roman"/>
                <w:color w:val="auto"/>
                <w:kern w:val="2"/>
                <w:sz w:val="21"/>
                <w:szCs w:val="21"/>
                <w:lang w:val="en-US" w:eastAsia="zh-CN" w:bidi="ar-SA"/>
              </w:rPr>
            </w:pPr>
            <w:r>
              <w:rPr>
                <w:rFonts w:hint="eastAsia" w:ascii="仿宋_GB2312" w:hAnsi="Times New Roman" w:eastAsia="仿宋_GB2312" w:cs="Times New Roman"/>
                <w:color w:val="auto"/>
                <w:kern w:val="0"/>
                <w:sz w:val="21"/>
                <w:szCs w:val="21"/>
              </w:rPr>
              <w:t>基坑沉沙池◆</w:t>
            </w:r>
          </w:p>
        </w:tc>
        <w:tc>
          <w:tcPr>
            <w:tcW w:w="480"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座</w:t>
            </w:r>
          </w:p>
        </w:tc>
        <w:tc>
          <w:tcPr>
            <w:tcW w:w="490"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2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1059"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透水铺装工程</w:t>
            </w:r>
          </w:p>
        </w:tc>
        <w:tc>
          <w:tcPr>
            <w:tcW w:w="483"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p>
        </w:tc>
        <w:tc>
          <w:tcPr>
            <w:tcW w:w="511"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p>
        </w:tc>
        <w:tc>
          <w:tcPr>
            <w:tcW w:w="42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（3）</w:t>
            </w:r>
          </w:p>
        </w:tc>
        <w:tc>
          <w:tcPr>
            <w:tcW w:w="1120"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ascii="仿宋_GB2312" w:hAnsi="Times New Roman" w:eastAsia="仿宋_GB2312" w:cs="Times New Roman"/>
                <w:color w:val="auto"/>
                <w:kern w:val="2"/>
                <w:sz w:val="21"/>
                <w:szCs w:val="21"/>
                <w:lang w:val="en-US" w:eastAsia="zh-CN" w:bidi="ar-SA"/>
              </w:rPr>
            </w:pPr>
            <w:r>
              <w:rPr>
                <w:rFonts w:hint="eastAsia" w:ascii="仿宋_GB2312" w:hAnsi="Times New Roman" w:eastAsia="仿宋_GB2312" w:cs="Times New Roman"/>
                <w:color w:val="auto"/>
                <w:kern w:val="0"/>
                <w:sz w:val="21"/>
                <w:szCs w:val="21"/>
              </w:rPr>
              <w:t>临时排水沟◆</w:t>
            </w:r>
          </w:p>
        </w:tc>
        <w:tc>
          <w:tcPr>
            <w:tcW w:w="480"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m</w:t>
            </w:r>
          </w:p>
        </w:tc>
        <w:tc>
          <w:tcPr>
            <w:tcW w:w="490"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7420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27"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（1）</w:t>
            </w:r>
          </w:p>
        </w:tc>
        <w:tc>
          <w:tcPr>
            <w:tcW w:w="1059"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透水铺装</w:t>
            </w:r>
          </w:p>
        </w:tc>
        <w:tc>
          <w:tcPr>
            <w:tcW w:w="483"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511"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val="en-US" w:eastAsia="zh-CN"/>
              </w:rPr>
              <w:t>3</w:t>
            </w:r>
            <w:r>
              <w:rPr>
                <w:rFonts w:ascii="Times New Roman" w:hAnsi="Times New Roman" w:eastAsia="仿宋_GB2312" w:cs="Times New Roman"/>
                <w:color w:val="auto"/>
                <w:sz w:val="21"/>
                <w:szCs w:val="21"/>
              </w:rPr>
              <w:t>.83</w:t>
            </w:r>
          </w:p>
        </w:tc>
        <w:tc>
          <w:tcPr>
            <w:tcW w:w="42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（4）</w:t>
            </w:r>
          </w:p>
        </w:tc>
        <w:tc>
          <w:tcPr>
            <w:tcW w:w="1120"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ascii="仿宋_GB2312" w:hAnsi="Times New Roman" w:eastAsia="仿宋_GB2312" w:cs="Times New Roman"/>
                <w:color w:val="auto"/>
                <w:kern w:val="2"/>
                <w:sz w:val="21"/>
                <w:szCs w:val="21"/>
                <w:lang w:val="en-US" w:eastAsia="zh-CN" w:bidi="ar-SA"/>
              </w:rPr>
            </w:pPr>
            <w:r>
              <w:rPr>
                <w:rFonts w:hint="eastAsia" w:ascii="仿宋_GB2312" w:hAnsi="Times New Roman" w:eastAsia="仿宋_GB2312" w:cs="Times New Roman"/>
                <w:color w:val="auto"/>
                <w:kern w:val="0"/>
                <w:sz w:val="21"/>
                <w:szCs w:val="21"/>
              </w:rPr>
              <w:t>临时沉沙池◆</w:t>
            </w:r>
          </w:p>
        </w:tc>
        <w:tc>
          <w:tcPr>
            <w:tcW w:w="480"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座</w:t>
            </w:r>
          </w:p>
        </w:tc>
        <w:tc>
          <w:tcPr>
            <w:tcW w:w="490"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49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27"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4</w:t>
            </w:r>
          </w:p>
        </w:tc>
        <w:tc>
          <w:tcPr>
            <w:tcW w:w="1059"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护坡工程</w:t>
            </w:r>
          </w:p>
        </w:tc>
        <w:tc>
          <w:tcPr>
            <w:tcW w:w="483"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p>
        </w:tc>
        <w:tc>
          <w:tcPr>
            <w:tcW w:w="511"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sz w:val="21"/>
                <w:szCs w:val="21"/>
              </w:rPr>
            </w:pPr>
          </w:p>
        </w:tc>
        <w:tc>
          <w:tcPr>
            <w:tcW w:w="427" w:type="pct"/>
            <w:vAlign w:val="center"/>
          </w:tcPr>
          <w:p>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（5）</w:t>
            </w:r>
          </w:p>
        </w:tc>
        <w:tc>
          <w:tcPr>
            <w:tcW w:w="1120"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ascii="仿宋_GB2312" w:hAnsi="Times New Roman" w:eastAsia="仿宋_GB2312" w:cs="Times New Roman"/>
                <w:color w:val="auto"/>
                <w:kern w:val="2"/>
                <w:sz w:val="21"/>
                <w:szCs w:val="21"/>
                <w:lang w:val="en-US" w:eastAsia="zh-CN" w:bidi="ar-SA"/>
              </w:rPr>
            </w:pPr>
            <w:r>
              <w:rPr>
                <w:rFonts w:hint="eastAsia" w:ascii="仿宋_GB2312" w:hAnsi="Times New Roman" w:eastAsia="仿宋_GB2312" w:cs="Times New Roman"/>
                <w:color w:val="auto"/>
                <w:kern w:val="0"/>
                <w:sz w:val="21"/>
                <w:szCs w:val="21"/>
              </w:rPr>
              <w:t>苫布覆盖◆</w:t>
            </w:r>
          </w:p>
        </w:tc>
        <w:tc>
          <w:tcPr>
            <w:tcW w:w="480"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490" w:type="pct"/>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2.10</w:t>
            </w:r>
          </w:p>
        </w:tc>
      </w:tr>
    </w:tbl>
    <w:p>
      <w:pPr>
        <w:pStyle w:val="180"/>
        <w:spacing w:line="360" w:lineRule="auto"/>
        <w:ind w:firstLine="420"/>
        <w:rPr>
          <w:rFonts w:hint="default" w:ascii="Times New Roman" w:hAnsi="Times New Roman" w:eastAsia="仿宋_GB2312" w:cs="Times New Roman"/>
          <w:color w:val="auto"/>
          <w:szCs w:val="24"/>
        </w:rPr>
      </w:pPr>
      <w:r>
        <w:rPr>
          <w:rFonts w:ascii="Times New Roman" w:hAnsi="Times New Roman" w:eastAsia="仿宋_GB2312" w:cs="Times New Roman"/>
          <w:color w:val="auto"/>
          <w:szCs w:val="24"/>
        </w:rPr>
        <w:t>注：</w:t>
      </w:r>
      <w:r>
        <w:rPr>
          <w:rFonts w:ascii="宋体" w:hAnsi="宋体" w:cs="宋体"/>
          <w:bCs/>
          <w:color w:val="auto"/>
          <w:szCs w:val="24"/>
        </w:rPr>
        <w:t>◆</w:t>
      </w:r>
      <w:r>
        <w:rPr>
          <w:rFonts w:ascii="Times New Roman" w:hAnsi="Times New Roman" w:eastAsia="仿宋_GB2312" w:cs="Times New Roman"/>
          <w:color w:val="auto"/>
          <w:szCs w:val="24"/>
        </w:rPr>
        <w:t>表示本</w:t>
      </w:r>
      <w:r>
        <w:rPr>
          <w:rFonts w:hint="eastAsia" w:ascii="Times New Roman" w:hAnsi="Times New Roman" w:eastAsia="仿宋_GB2312" w:cs="Times New Roman"/>
          <w:color w:val="auto"/>
          <w:szCs w:val="24"/>
          <w:lang w:val="en-US" w:eastAsia="zh-CN"/>
        </w:rPr>
        <w:t>区域评估报告</w:t>
      </w:r>
      <w:r>
        <w:rPr>
          <w:rFonts w:ascii="Times New Roman" w:hAnsi="Times New Roman" w:eastAsia="仿宋_GB2312" w:cs="Times New Roman"/>
          <w:color w:val="auto"/>
          <w:szCs w:val="24"/>
        </w:rPr>
        <w:t>新增或补充完善措施</w:t>
      </w:r>
    </w:p>
    <w:p>
      <w:pPr>
        <w:widowControl/>
        <w:spacing w:line="360" w:lineRule="auto"/>
        <w:ind w:firstLine="482" w:firstLineChars="200"/>
        <w:jc w:val="left"/>
        <w:rPr>
          <w:rFonts w:ascii="仿宋_GB2312" w:hAnsi="Times New Roman" w:eastAsia="仿宋_GB2312"/>
          <w:b/>
          <w:color w:val="auto"/>
        </w:rPr>
      </w:pPr>
      <w:r>
        <w:rPr>
          <w:rFonts w:hint="eastAsia" w:ascii="仿宋_GB2312" w:hAnsi="Times New Roman" w:eastAsia="仿宋_GB2312" w:cs="Times New Roman"/>
          <w:b/>
          <w:color w:val="auto"/>
          <w:kern w:val="0"/>
          <w:szCs w:val="24"/>
        </w:rPr>
        <w:t>（二）</w:t>
      </w:r>
      <w:r>
        <w:rPr>
          <w:rFonts w:hint="eastAsia" w:ascii="仿宋_GB2312" w:hAnsi="宋体" w:eastAsia="仿宋_GB2312" w:cs="仿宋_GB2312"/>
          <w:b/>
          <w:color w:val="auto"/>
          <w:kern w:val="0"/>
          <w:szCs w:val="24"/>
        </w:rPr>
        <w:t>公用设施用地防治区</w:t>
      </w:r>
    </w:p>
    <w:p>
      <w:pPr>
        <w:widowControl/>
        <w:spacing w:line="360" w:lineRule="auto"/>
        <w:ind w:firstLine="480" w:firstLineChars="200"/>
        <w:jc w:val="left"/>
        <w:rPr>
          <w:rFonts w:ascii="Times New Roman" w:hAnsi="Times New Roman" w:eastAsia="仿宋_GB2312"/>
          <w:color w:val="auto"/>
        </w:rPr>
      </w:pPr>
      <w:r>
        <w:rPr>
          <w:rFonts w:hint="eastAsia" w:ascii="仿宋_GB2312" w:hAnsi="宋体" w:eastAsia="仿宋_GB2312" w:cs="仿宋_GB2312"/>
          <w:color w:val="auto"/>
          <w:kern w:val="0"/>
          <w:szCs w:val="24"/>
        </w:rPr>
        <w:t>公用设施用地防治区建设内容包括：主要为供水、供电及环卫等用地平整。</w:t>
      </w:r>
    </w:p>
    <w:p>
      <w:pPr>
        <w:widowControl/>
        <w:spacing w:line="360" w:lineRule="auto"/>
        <w:ind w:firstLine="480" w:firstLineChars="200"/>
        <w:jc w:val="left"/>
        <w:rPr>
          <w:rFonts w:ascii="Times New Roman" w:hAnsi="Times New Roman" w:eastAsia="仿宋_GB2312"/>
          <w:color w:val="auto"/>
        </w:rPr>
      </w:pPr>
      <w:r>
        <w:rPr>
          <w:rFonts w:hint="eastAsia" w:ascii="仿宋_GB2312" w:hAnsi="宋体" w:eastAsia="仿宋_GB2312" w:cs="仿宋_GB2312"/>
          <w:color w:val="auto"/>
          <w:kern w:val="0"/>
          <w:szCs w:val="24"/>
        </w:rPr>
        <w:t>本区域主体规划设计的水土保持措施包括：表土剥离、场地平整和撒播草籽，本</w:t>
      </w:r>
      <w:r>
        <w:rPr>
          <w:rFonts w:hint="eastAsia" w:ascii="仿宋_GB2312" w:hAnsi="宋体" w:eastAsia="仿宋_GB2312" w:cs="仿宋_GB2312"/>
          <w:color w:val="auto"/>
          <w:kern w:val="0"/>
          <w:szCs w:val="24"/>
          <w:lang w:val="en-US" w:eastAsia="zh-CN"/>
        </w:rPr>
        <w:t>区域评估报告</w:t>
      </w:r>
      <w:r>
        <w:rPr>
          <w:rFonts w:hint="eastAsia" w:ascii="仿宋_GB2312" w:hAnsi="宋体" w:eastAsia="仿宋_GB2312" w:cs="仿宋_GB2312"/>
          <w:color w:val="auto"/>
          <w:kern w:val="0"/>
          <w:szCs w:val="24"/>
        </w:rPr>
        <w:t>将补充施工期的临时排水沉沙及苫盖措施。</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（1）土地整治工程</w:t>
      </w:r>
    </w:p>
    <w:p>
      <w:pPr>
        <w:spacing w:line="360" w:lineRule="auto"/>
        <w:ind w:firstLine="480" w:firstLineChars="200"/>
        <w:rPr>
          <w:rFonts w:ascii="Times New Roman" w:hAnsi="Times New Roman" w:eastAsia="仿宋_GB2312"/>
          <w:color w:val="auto"/>
          <w:szCs w:val="24"/>
        </w:rPr>
      </w:pPr>
      <w:r>
        <w:rPr>
          <w:rFonts w:ascii="Times New Roman" w:hAnsi="Times New Roman" w:eastAsia="仿宋_GB2312"/>
          <w:color w:val="auto"/>
          <w:szCs w:val="24"/>
        </w:rPr>
        <w:t>施工前</w:t>
      </w:r>
      <w:r>
        <w:rPr>
          <w:rFonts w:hint="eastAsia" w:ascii="Times New Roman" w:hAnsi="Times New Roman" w:eastAsia="仿宋_GB2312"/>
          <w:color w:val="auto"/>
          <w:szCs w:val="24"/>
        </w:rPr>
        <w:t>，</w:t>
      </w:r>
      <w:r>
        <w:rPr>
          <w:rFonts w:ascii="Times New Roman" w:hAnsi="Times New Roman" w:eastAsia="仿宋_GB2312"/>
          <w:color w:val="auto"/>
          <w:szCs w:val="24"/>
        </w:rPr>
        <w:t>对区域有表土的区域进行表土剥离</w:t>
      </w:r>
      <w:r>
        <w:rPr>
          <w:rFonts w:hint="eastAsia" w:ascii="Times New Roman" w:hAnsi="Times New Roman" w:eastAsia="仿宋_GB2312"/>
          <w:color w:val="auto"/>
          <w:szCs w:val="24"/>
        </w:rPr>
        <w:t>，</w:t>
      </w:r>
      <w:r>
        <w:rPr>
          <w:rFonts w:ascii="Times New Roman" w:hAnsi="Times New Roman" w:eastAsia="仿宋_GB2312"/>
          <w:color w:val="auto"/>
          <w:szCs w:val="24"/>
        </w:rPr>
        <w:t>剥离</w:t>
      </w:r>
      <w:r>
        <w:rPr>
          <w:rFonts w:hint="eastAsia" w:ascii="Times New Roman" w:hAnsi="Times New Roman" w:eastAsia="仿宋_GB2312"/>
          <w:color w:val="auto"/>
          <w:szCs w:val="24"/>
        </w:rPr>
        <w:t>的表土</w:t>
      </w:r>
      <w:r>
        <w:rPr>
          <w:rFonts w:ascii="Times New Roman" w:hAnsi="Times New Roman" w:eastAsia="仿宋_GB2312"/>
          <w:color w:val="auto"/>
          <w:szCs w:val="24"/>
        </w:rPr>
        <w:t>集中</w:t>
      </w:r>
      <w:r>
        <w:rPr>
          <w:rFonts w:hint="eastAsia" w:ascii="Times New Roman" w:hAnsi="Times New Roman" w:eastAsia="仿宋_GB2312"/>
          <w:color w:val="auto"/>
          <w:szCs w:val="24"/>
        </w:rPr>
        <w:t>堆放于表土堆场，待后期场地整平之后，对其进行场地平整及表土回填，以利于撒播草籽复绿工程量：表土剥离1.86</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hint="eastAsia" w:ascii="Times New Roman" w:hAnsi="Times New Roman" w:eastAsia="仿宋_GB2312"/>
          <w:color w:val="auto"/>
          <w:szCs w:val="24"/>
        </w:rPr>
        <w:t>，场地平整12.87</w:t>
      </w:r>
      <w:r>
        <w:rPr>
          <w:rFonts w:ascii="Times New Roman" w:hAnsi="Times New Roman" w:eastAsia="仿宋_GB2312" w:cs="Times New Roman"/>
          <w:color w:val="auto"/>
          <w:szCs w:val="24"/>
        </w:rPr>
        <w:t>hm</w:t>
      </w:r>
      <w:r>
        <w:rPr>
          <w:rFonts w:ascii="Times New Roman" w:hAnsi="Times New Roman" w:eastAsia="仿宋_GB2312" w:cs="Times New Roman"/>
          <w:color w:val="auto"/>
          <w:szCs w:val="24"/>
          <w:vertAlign w:val="superscript"/>
        </w:rPr>
        <w:t>2</w:t>
      </w:r>
      <w:r>
        <w:rPr>
          <w:rFonts w:hint="eastAsia" w:ascii="Times New Roman" w:hAnsi="Times New Roman" w:eastAsia="仿宋_GB2312"/>
          <w:color w:val="auto"/>
          <w:szCs w:val="24"/>
        </w:rPr>
        <w:t>。</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（2）绿化工程</w:t>
      </w:r>
    </w:p>
    <w:p>
      <w:pPr>
        <w:widowControl/>
        <w:spacing w:line="360" w:lineRule="auto"/>
        <w:ind w:firstLine="480" w:firstLineChars="200"/>
        <w:jc w:val="left"/>
        <w:rPr>
          <w:rFonts w:ascii="Times New Roman" w:hAnsi="Times New Roman" w:eastAsia="仿宋_GB2312" w:cs="Times New Roman"/>
          <w:color w:val="auto"/>
        </w:rPr>
      </w:pPr>
      <w:r>
        <w:rPr>
          <w:rFonts w:ascii="Times New Roman" w:hAnsi="Times New Roman" w:eastAsia="仿宋_GB2312" w:cs="Times New Roman"/>
          <w:color w:val="auto"/>
          <w:kern w:val="0"/>
          <w:szCs w:val="24"/>
        </w:rPr>
        <w:t>场地五通一平后，本</w:t>
      </w:r>
      <w:r>
        <w:rPr>
          <w:rFonts w:hint="eastAsia" w:ascii="Times New Roman" w:hAnsi="Times New Roman" w:eastAsia="仿宋_GB2312" w:cs="Times New Roman"/>
          <w:color w:val="auto"/>
          <w:kern w:val="0"/>
          <w:szCs w:val="24"/>
          <w:lang w:val="en-US" w:eastAsia="zh-CN"/>
        </w:rPr>
        <w:t>区域评估报告</w:t>
      </w:r>
      <w:r>
        <w:rPr>
          <w:rFonts w:ascii="Times New Roman" w:hAnsi="Times New Roman" w:eastAsia="仿宋_GB2312" w:cs="Times New Roman"/>
          <w:color w:val="auto"/>
          <w:kern w:val="0"/>
          <w:szCs w:val="24"/>
        </w:rPr>
        <w:t>对裸露区域实施撒播草籽，草籽选用狗牙根与黑麦草混播，混播密度为80kg/hm</w:t>
      </w:r>
      <w:r>
        <w:rPr>
          <w:rFonts w:ascii="Times New Roman" w:hAnsi="Times New Roman" w:eastAsia="仿宋_GB2312" w:cs="Times New Roman"/>
          <w:color w:val="auto"/>
          <w:kern w:val="0"/>
          <w:szCs w:val="24"/>
          <w:vertAlign w:val="superscript"/>
        </w:rPr>
        <w:t>2</w:t>
      </w:r>
      <w:r>
        <w:rPr>
          <w:rFonts w:ascii="Times New Roman" w:hAnsi="Times New Roman" w:eastAsia="仿宋_GB2312" w:cs="Times New Roman"/>
          <w:color w:val="auto"/>
          <w:kern w:val="0"/>
          <w:szCs w:val="24"/>
        </w:rPr>
        <w:t>。工程量：撒播草籽面积12.87hm</w:t>
      </w:r>
      <w:r>
        <w:rPr>
          <w:rFonts w:ascii="Times New Roman" w:hAnsi="Times New Roman" w:eastAsia="仿宋_GB2312" w:cs="Times New Roman"/>
          <w:color w:val="auto"/>
          <w:kern w:val="0"/>
          <w:szCs w:val="24"/>
          <w:vertAlign w:val="superscript"/>
        </w:rPr>
        <w:t>2</w:t>
      </w:r>
      <w:r>
        <w:rPr>
          <w:rFonts w:ascii="Times New Roman" w:hAnsi="Times New Roman" w:eastAsia="仿宋_GB2312" w:cs="Times New Roman"/>
          <w:color w:val="auto"/>
          <w:kern w:val="0"/>
          <w:szCs w:val="24"/>
        </w:rPr>
        <w:t>。</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（3）临时防护工程</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施工期间，在场地周边直接开挖土质排水沟组织场地雨水走</w:t>
      </w:r>
      <w:r>
        <w:rPr>
          <w:rFonts w:hint="eastAsia" w:ascii="Times New Roman" w:hAnsi="Times New Roman" w:eastAsia="仿宋_GB2312"/>
          <w:color w:val="auto"/>
        </w:rPr>
        <w:t>向，并沿排水沟布设沉沙池，雨水经沉沙后排水周边沟渠或水系。施工后期，待场地整平后，区域内地表裸露，对裸露区域实施临时苫盖。工程量：临时排水沟1698m、临时沉沙池11座、苫布覆盖12.87</w:t>
      </w:r>
      <w:r>
        <w:rPr>
          <w:rFonts w:ascii="Times New Roman" w:hAnsi="Times New Roman" w:eastAsia="仿宋_GB2312"/>
          <w:color w:val="auto"/>
        </w:rPr>
        <w:t>hm</w:t>
      </w:r>
      <w:r>
        <w:rPr>
          <w:rFonts w:ascii="Times New Roman" w:hAnsi="Times New Roman" w:eastAsia="仿宋_GB2312"/>
          <w:color w:val="auto"/>
          <w:vertAlign w:val="superscript"/>
        </w:rPr>
        <w:t>2</w:t>
      </w:r>
      <w:r>
        <w:rPr>
          <w:rFonts w:hint="eastAsia" w:ascii="Times New Roman" w:hAnsi="Times New Roman" w:eastAsia="仿宋_GB2312"/>
          <w:color w:val="auto"/>
        </w:rPr>
        <w:t>。</w:t>
      </w:r>
    </w:p>
    <w:p>
      <w:pPr>
        <w:spacing w:line="360" w:lineRule="auto"/>
        <w:ind w:firstLine="480" w:firstLineChars="200"/>
        <w:rPr>
          <w:rFonts w:ascii="Times New Roman" w:hAnsi="Times New Roman" w:eastAsia="仿宋_GB2312" w:cs="Times New Roman"/>
          <w:color w:val="auto"/>
        </w:rPr>
      </w:pPr>
      <w:r>
        <w:rPr>
          <w:rFonts w:hint="eastAsia" w:ascii="Times New Roman" w:hAnsi="Times New Roman" w:eastAsia="仿宋_GB2312"/>
          <w:color w:val="auto"/>
        </w:rPr>
        <w:t>公用设施用地防治区</w:t>
      </w:r>
      <w:r>
        <w:rPr>
          <w:rFonts w:ascii="Times New Roman" w:hAnsi="Times New Roman" w:eastAsia="仿宋_GB2312" w:cs="Times New Roman"/>
          <w:color w:val="auto"/>
        </w:rPr>
        <w:t>水土保持措施工程量详见表5.3-</w:t>
      </w:r>
      <w:r>
        <w:rPr>
          <w:rFonts w:hint="eastAsia" w:ascii="Times New Roman" w:hAnsi="Times New Roman" w:eastAsia="仿宋_GB2312" w:cs="Times New Roman"/>
          <w:color w:val="auto"/>
        </w:rPr>
        <w:t>2</w:t>
      </w:r>
      <w:r>
        <w:rPr>
          <w:rFonts w:ascii="Times New Roman" w:hAnsi="Times New Roman" w:eastAsia="仿宋_GB2312" w:cs="Times New Roman"/>
          <w:color w:val="auto"/>
        </w:rPr>
        <w:t>。</w:t>
      </w:r>
    </w:p>
    <w:p>
      <w:pPr>
        <w:widowControl/>
        <w:snapToGrid w:val="0"/>
        <w:spacing w:line="360" w:lineRule="auto"/>
        <w:jc w:val="center"/>
        <w:rPr>
          <w:rFonts w:ascii="Times New Roman" w:hAnsi="Times New Roman" w:eastAsia="仿宋_GB2312" w:cs="Times New Roman"/>
          <w:b/>
          <w:color w:val="auto"/>
        </w:rPr>
      </w:pPr>
      <w:r>
        <w:rPr>
          <w:rFonts w:hint="eastAsia" w:ascii="Times New Roman" w:hAnsi="Times New Roman" w:eastAsia="仿宋_GB2312" w:cs="Times New Roman"/>
          <w:b/>
          <w:color w:val="auto"/>
        </w:rPr>
        <w:t>表5.3-2：公用设施用地防治区水土保持措施工程量表</w:t>
      </w:r>
    </w:p>
    <w:tbl>
      <w:tblPr>
        <w:tblStyle w:val="37"/>
        <w:tblW w:w="508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41"/>
        <w:gridCol w:w="1838"/>
        <w:gridCol w:w="838"/>
        <w:gridCol w:w="887"/>
        <w:gridCol w:w="741"/>
        <w:gridCol w:w="1944"/>
        <w:gridCol w:w="833"/>
        <w:gridCol w:w="85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427"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序号</w:t>
            </w:r>
          </w:p>
        </w:tc>
        <w:tc>
          <w:tcPr>
            <w:tcW w:w="1059" w:type="pct"/>
            <w:vAlign w:val="center"/>
          </w:tcPr>
          <w:p>
            <w:pPr>
              <w:jc w:val="center"/>
              <w:rPr>
                <w:rFonts w:ascii="Times New Roman" w:hAnsi="Times New Roman" w:eastAsia="仿宋_GB2312" w:cs="Times New Roman"/>
                <w:b/>
                <w:bCs/>
                <w:color w:val="auto"/>
                <w:sz w:val="21"/>
                <w:szCs w:val="21"/>
              </w:rPr>
            </w:pPr>
            <w:r>
              <w:rPr>
                <w:rFonts w:hint="eastAsia" w:ascii="Times New Roman" w:hAnsi="Times New Roman" w:eastAsia="仿宋_GB2312" w:cs="Times New Roman"/>
                <w:b/>
                <w:bCs/>
                <w:color w:val="auto"/>
                <w:sz w:val="21"/>
                <w:szCs w:val="21"/>
                <w:lang w:val="en-US" w:eastAsia="zh-CN"/>
              </w:rPr>
              <w:t>措施</w:t>
            </w:r>
            <w:r>
              <w:rPr>
                <w:rFonts w:ascii="Times New Roman" w:hAnsi="Times New Roman" w:eastAsia="仿宋_GB2312" w:cs="Times New Roman"/>
                <w:b/>
                <w:bCs/>
                <w:color w:val="auto"/>
                <w:sz w:val="21"/>
                <w:szCs w:val="21"/>
              </w:rPr>
              <w:t>名称</w:t>
            </w:r>
          </w:p>
        </w:tc>
        <w:tc>
          <w:tcPr>
            <w:tcW w:w="483"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单位</w:t>
            </w:r>
          </w:p>
        </w:tc>
        <w:tc>
          <w:tcPr>
            <w:tcW w:w="511"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工程量</w:t>
            </w:r>
          </w:p>
        </w:tc>
        <w:tc>
          <w:tcPr>
            <w:tcW w:w="427"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序号</w:t>
            </w:r>
          </w:p>
        </w:tc>
        <w:tc>
          <w:tcPr>
            <w:tcW w:w="1120" w:type="pct"/>
            <w:vAlign w:val="center"/>
          </w:tcPr>
          <w:p>
            <w:pPr>
              <w:jc w:val="center"/>
              <w:rPr>
                <w:rFonts w:ascii="Times New Roman" w:hAnsi="Times New Roman" w:eastAsia="仿宋_GB2312" w:cs="Times New Roman"/>
                <w:b/>
                <w:bCs/>
                <w:color w:val="auto"/>
                <w:sz w:val="21"/>
                <w:szCs w:val="21"/>
              </w:rPr>
            </w:pPr>
            <w:r>
              <w:rPr>
                <w:rFonts w:hint="eastAsia" w:ascii="Times New Roman" w:hAnsi="Times New Roman" w:eastAsia="仿宋_GB2312" w:cs="Times New Roman"/>
                <w:b/>
                <w:bCs/>
                <w:color w:val="auto"/>
                <w:sz w:val="21"/>
                <w:szCs w:val="21"/>
                <w:lang w:val="en-US" w:eastAsia="zh-CN"/>
              </w:rPr>
              <w:t>措施</w:t>
            </w:r>
            <w:r>
              <w:rPr>
                <w:rFonts w:ascii="Times New Roman" w:hAnsi="Times New Roman" w:eastAsia="仿宋_GB2312" w:cs="Times New Roman"/>
                <w:b/>
                <w:bCs/>
                <w:color w:val="auto"/>
                <w:sz w:val="21"/>
                <w:szCs w:val="21"/>
              </w:rPr>
              <w:t>名称</w:t>
            </w:r>
          </w:p>
        </w:tc>
        <w:tc>
          <w:tcPr>
            <w:tcW w:w="480"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单位</w:t>
            </w:r>
          </w:p>
        </w:tc>
        <w:tc>
          <w:tcPr>
            <w:tcW w:w="490"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工程量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427" w:type="pct"/>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一</w:t>
            </w:r>
          </w:p>
        </w:tc>
        <w:tc>
          <w:tcPr>
            <w:tcW w:w="1059" w:type="pct"/>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工程措施</w:t>
            </w:r>
          </w:p>
        </w:tc>
        <w:tc>
          <w:tcPr>
            <w:tcW w:w="483" w:type="pct"/>
            <w:vAlign w:val="center"/>
          </w:tcPr>
          <w:p>
            <w:pPr>
              <w:jc w:val="center"/>
              <w:rPr>
                <w:rFonts w:ascii="Times New Roman" w:hAnsi="Times New Roman" w:eastAsia="仿宋_GB2312" w:cs="Times New Roman"/>
                <w:color w:val="auto"/>
                <w:sz w:val="21"/>
                <w:szCs w:val="21"/>
              </w:rPr>
            </w:pPr>
          </w:p>
        </w:tc>
        <w:tc>
          <w:tcPr>
            <w:tcW w:w="511" w:type="pct"/>
            <w:vAlign w:val="center"/>
          </w:tcPr>
          <w:p>
            <w:pPr>
              <w:jc w:val="center"/>
              <w:rPr>
                <w:rFonts w:ascii="Times New Roman" w:hAnsi="Times New Roman" w:eastAsia="仿宋_GB2312" w:cs="Times New Roman"/>
                <w:color w:val="auto"/>
                <w:sz w:val="21"/>
                <w:szCs w:val="21"/>
              </w:rPr>
            </w:pPr>
          </w:p>
        </w:tc>
        <w:tc>
          <w:tcPr>
            <w:tcW w:w="427" w:type="pct"/>
            <w:vAlign w:val="center"/>
          </w:tcPr>
          <w:p>
            <w:pPr>
              <w:widowControl/>
              <w:jc w:val="center"/>
              <w:rPr>
                <w:rFonts w:ascii="Times New Roman" w:hAnsi="Times New Roman" w:eastAsia="仿宋_GB2312" w:cs="Times New Roman"/>
                <w:color w:val="auto"/>
                <w:kern w:val="0"/>
                <w:sz w:val="21"/>
                <w:szCs w:val="21"/>
                <w:lang w:val="en-US" w:eastAsia="zh-CN" w:bidi="ar-SA"/>
              </w:rPr>
            </w:pPr>
            <w:r>
              <w:rPr>
                <w:rFonts w:ascii="Times New Roman" w:hAnsi="Times New Roman" w:eastAsia="仿宋_GB2312" w:cs="Times New Roman"/>
                <w:color w:val="auto"/>
                <w:kern w:val="0"/>
                <w:sz w:val="21"/>
                <w:szCs w:val="21"/>
              </w:rPr>
              <w:t>（1）</w:t>
            </w:r>
          </w:p>
        </w:tc>
        <w:tc>
          <w:tcPr>
            <w:tcW w:w="1120" w:type="pct"/>
            <w:vAlign w:val="center"/>
          </w:tcPr>
          <w:p>
            <w:pPr>
              <w:widowControl/>
              <w:spacing w:line="240" w:lineRule="atLeast"/>
              <w:jc w:val="center"/>
              <w:textAlignment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kern w:val="0"/>
                <w:sz w:val="21"/>
                <w:szCs w:val="21"/>
              </w:rPr>
              <w:t>撒播草籽</w:t>
            </w:r>
          </w:p>
        </w:tc>
        <w:tc>
          <w:tcPr>
            <w:tcW w:w="480" w:type="pct"/>
            <w:vAlign w:val="center"/>
          </w:tcPr>
          <w:p>
            <w:pPr>
              <w:widowControl/>
              <w:spacing w:line="240" w:lineRule="atLeast"/>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490" w:type="pct"/>
            <w:vAlign w:val="center"/>
          </w:tcPr>
          <w:p>
            <w:pPr>
              <w:widowControl/>
              <w:spacing w:line="240" w:lineRule="atLeast"/>
              <w:jc w:val="center"/>
              <w:textAlignment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12.87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59"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土地整治工程</w:t>
            </w:r>
          </w:p>
        </w:tc>
        <w:tc>
          <w:tcPr>
            <w:tcW w:w="483" w:type="pct"/>
            <w:vAlign w:val="center"/>
          </w:tcPr>
          <w:p>
            <w:pPr>
              <w:jc w:val="center"/>
              <w:rPr>
                <w:rFonts w:ascii="Times New Roman" w:hAnsi="Times New Roman" w:eastAsia="仿宋_GB2312" w:cs="Times New Roman"/>
                <w:color w:val="auto"/>
                <w:sz w:val="21"/>
                <w:szCs w:val="21"/>
              </w:rPr>
            </w:pPr>
          </w:p>
        </w:tc>
        <w:tc>
          <w:tcPr>
            <w:tcW w:w="511" w:type="pct"/>
            <w:vAlign w:val="center"/>
          </w:tcPr>
          <w:p>
            <w:pPr>
              <w:jc w:val="center"/>
              <w:rPr>
                <w:rFonts w:ascii="Times New Roman" w:hAnsi="Times New Roman" w:eastAsia="仿宋_GB2312" w:cs="Times New Roman"/>
                <w:color w:val="auto"/>
                <w:sz w:val="21"/>
                <w:szCs w:val="21"/>
              </w:rPr>
            </w:pPr>
          </w:p>
        </w:tc>
        <w:tc>
          <w:tcPr>
            <w:tcW w:w="427" w:type="pct"/>
            <w:vAlign w:val="center"/>
          </w:tcPr>
          <w:p>
            <w:pPr>
              <w:jc w:val="center"/>
              <w:rPr>
                <w:rFonts w:ascii="Times New Roman" w:hAnsi="Times New Roman" w:eastAsia="仿宋_GB2312" w:cs="Times New Roman"/>
                <w:b/>
                <w:color w:val="auto"/>
                <w:kern w:val="2"/>
                <w:sz w:val="21"/>
                <w:szCs w:val="21"/>
                <w:lang w:val="en-US" w:eastAsia="zh-CN" w:bidi="ar-SA"/>
              </w:rPr>
            </w:pPr>
            <w:r>
              <w:rPr>
                <w:rFonts w:ascii="Times New Roman" w:hAnsi="Times New Roman" w:eastAsia="仿宋_GB2312" w:cs="Times New Roman"/>
                <w:b/>
                <w:color w:val="auto"/>
                <w:sz w:val="21"/>
                <w:szCs w:val="21"/>
              </w:rPr>
              <w:t>三</w:t>
            </w:r>
          </w:p>
        </w:tc>
        <w:tc>
          <w:tcPr>
            <w:tcW w:w="1120" w:type="pct"/>
            <w:vAlign w:val="center"/>
          </w:tcPr>
          <w:p>
            <w:pPr>
              <w:jc w:val="center"/>
              <w:rPr>
                <w:rFonts w:ascii="Times New Roman" w:hAnsi="Times New Roman" w:eastAsia="仿宋_GB2312" w:cs="Times New Roman"/>
                <w:b/>
                <w:color w:val="auto"/>
                <w:kern w:val="2"/>
                <w:sz w:val="21"/>
                <w:szCs w:val="21"/>
                <w:lang w:val="en-US" w:eastAsia="zh-CN" w:bidi="ar-SA"/>
              </w:rPr>
            </w:pPr>
            <w:r>
              <w:rPr>
                <w:rFonts w:ascii="Times New Roman" w:hAnsi="Times New Roman" w:eastAsia="仿宋_GB2312" w:cs="Times New Roman"/>
                <w:b/>
                <w:color w:val="auto"/>
                <w:sz w:val="21"/>
                <w:szCs w:val="21"/>
              </w:rPr>
              <w:t>临时措施</w:t>
            </w:r>
          </w:p>
        </w:tc>
        <w:tc>
          <w:tcPr>
            <w:tcW w:w="480" w:type="pct"/>
            <w:vAlign w:val="center"/>
          </w:tcPr>
          <w:p>
            <w:pPr>
              <w:jc w:val="center"/>
              <w:rPr>
                <w:rFonts w:ascii="Times New Roman" w:hAnsi="Times New Roman" w:eastAsia="仿宋_GB2312" w:cs="Times New Roman"/>
                <w:color w:val="auto"/>
                <w:kern w:val="2"/>
                <w:sz w:val="21"/>
                <w:szCs w:val="21"/>
                <w:lang w:val="en-US" w:eastAsia="zh-CN" w:bidi="ar-SA"/>
              </w:rPr>
            </w:pPr>
          </w:p>
        </w:tc>
        <w:tc>
          <w:tcPr>
            <w:tcW w:w="490" w:type="pct"/>
            <w:vAlign w:val="center"/>
          </w:tcPr>
          <w:p>
            <w:pPr>
              <w:jc w:val="center"/>
              <w:rPr>
                <w:rFonts w:ascii="Times New Roman" w:hAnsi="Times New Roman" w:eastAsia="仿宋_GB2312" w:cs="Times New Roman"/>
                <w:color w:val="auto"/>
                <w:kern w:val="2"/>
                <w:sz w:val="21"/>
                <w:szCs w:val="21"/>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59"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表土剥离</w:t>
            </w:r>
          </w:p>
        </w:tc>
        <w:tc>
          <w:tcPr>
            <w:tcW w:w="483"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万m</w:t>
            </w:r>
            <w:r>
              <w:rPr>
                <w:rFonts w:ascii="Times New Roman" w:hAnsi="Times New Roman" w:eastAsia="仿宋_GB2312" w:cs="Times New Roman"/>
                <w:color w:val="auto"/>
                <w:sz w:val="21"/>
                <w:szCs w:val="21"/>
                <w:vertAlign w:val="superscript"/>
              </w:rPr>
              <w:t>3</w:t>
            </w:r>
          </w:p>
        </w:tc>
        <w:tc>
          <w:tcPr>
            <w:tcW w:w="511"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1.86</w:t>
            </w:r>
          </w:p>
        </w:tc>
        <w:tc>
          <w:tcPr>
            <w:tcW w:w="427" w:type="pct"/>
            <w:vAlign w:val="center"/>
          </w:tcPr>
          <w:p>
            <w:pPr>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1</w:t>
            </w:r>
          </w:p>
        </w:tc>
        <w:tc>
          <w:tcPr>
            <w:tcW w:w="1120"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lang w:val="en-US" w:eastAsia="zh-CN" w:bidi="ar-SA"/>
              </w:rPr>
            </w:pPr>
            <w:r>
              <w:rPr>
                <w:rFonts w:ascii="Times New Roman" w:hAnsi="Times New Roman" w:eastAsia="仿宋_GB2312" w:cs="Times New Roman"/>
                <w:color w:val="auto"/>
                <w:kern w:val="0"/>
                <w:sz w:val="21"/>
                <w:szCs w:val="21"/>
              </w:rPr>
              <w:t>临时防护工程</w:t>
            </w:r>
          </w:p>
        </w:tc>
        <w:tc>
          <w:tcPr>
            <w:tcW w:w="480" w:type="pct"/>
            <w:vAlign w:val="center"/>
          </w:tcPr>
          <w:p>
            <w:pPr>
              <w:widowControl/>
              <w:spacing w:line="240" w:lineRule="atLeast"/>
              <w:jc w:val="center"/>
              <w:rPr>
                <w:rFonts w:ascii="Times New Roman" w:hAnsi="Times New Roman" w:eastAsia="仿宋_GB2312" w:cs="Times New Roman"/>
                <w:color w:val="auto"/>
                <w:kern w:val="2"/>
                <w:sz w:val="21"/>
                <w:szCs w:val="21"/>
                <w:lang w:val="en-US" w:eastAsia="zh-CN" w:bidi="ar-SA"/>
              </w:rPr>
            </w:pPr>
          </w:p>
        </w:tc>
        <w:tc>
          <w:tcPr>
            <w:tcW w:w="490"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059"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场地平整</w:t>
            </w:r>
          </w:p>
        </w:tc>
        <w:tc>
          <w:tcPr>
            <w:tcW w:w="483"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511"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12.87</w:t>
            </w:r>
          </w:p>
        </w:tc>
        <w:tc>
          <w:tcPr>
            <w:tcW w:w="427" w:type="pct"/>
            <w:vAlign w:val="center"/>
          </w:tcPr>
          <w:p>
            <w:pPr>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（1）</w:t>
            </w:r>
          </w:p>
        </w:tc>
        <w:tc>
          <w:tcPr>
            <w:tcW w:w="1120" w:type="pct"/>
            <w:vAlign w:val="center"/>
          </w:tcPr>
          <w:p>
            <w:pPr>
              <w:widowControl/>
              <w:spacing w:line="240" w:lineRule="atLeast"/>
              <w:jc w:val="center"/>
              <w:textAlignment w:val="center"/>
              <w:rPr>
                <w:rFonts w:ascii="仿宋_GB2312" w:hAnsi="Times New Roman" w:eastAsia="仿宋_GB2312" w:cs="Times New Roman"/>
                <w:color w:val="auto"/>
                <w:kern w:val="2"/>
                <w:sz w:val="21"/>
                <w:szCs w:val="21"/>
                <w:lang w:val="en-US" w:eastAsia="zh-CN" w:bidi="ar-SA"/>
              </w:rPr>
            </w:pPr>
            <w:r>
              <w:rPr>
                <w:rFonts w:hint="eastAsia" w:ascii="仿宋_GB2312" w:hAnsi="Times New Roman" w:eastAsia="仿宋_GB2312" w:cs="Times New Roman"/>
                <w:color w:val="auto"/>
                <w:kern w:val="0"/>
                <w:sz w:val="21"/>
                <w:szCs w:val="21"/>
              </w:rPr>
              <w:t>临时排水沟◆</w:t>
            </w:r>
          </w:p>
        </w:tc>
        <w:tc>
          <w:tcPr>
            <w:tcW w:w="480" w:type="pct"/>
            <w:vAlign w:val="center"/>
          </w:tcPr>
          <w:p>
            <w:pPr>
              <w:widowControl/>
              <w:spacing w:line="240" w:lineRule="atLeast"/>
              <w:jc w:val="center"/>
              <w:textAlignment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m</w:t>
            </w:r>
          </w:p>
        </w:tc>
        <w:tc>
          <w:tcPr>
            <w:tcW w:w="490" w:type="pct"/>
            <w:vAlign w:val="center"/>
          </w:tcPr>
          <w:p>
            <w:pPr>
              <w:widowControl/>
              <w:spacing w:line="240" w:lineRule="atLeast"/>
              <w:jc w:val="center"/>
              <w:textAlignment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1698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427" w:type="pct"/>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二</w:t>
            </w:r>
          </w:p>
        </w:tc>
        <w:tc>
          <w:tcPr>
            <w:tcW w:w="1059" w:type="pct"/>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植物措施</w:t>
            </w:r>
          </w:p>
        </w:tc>
        <w:tc>
          <w:tcPr>
            <w:tcW w:w="483" w:type="pct"/>
            <w:vAlign w:val="center"/>
          </w:tcPr>
          <w:p>
            <w:pPr>
              <w:jc w:val="center"/>
              <w:rPr>
                <w:rFonts w:ascii="Times New Roman" w:hAnsi="Times New Roman" w:eastAsia="仿宋_GB2312" w:cs="Times New Roman"/>
                <w:b/>
                <w:color w:val="auto"/>
                <w:sz w:val="21"/>
                <w:szCs w:val="21"/>
              </w:rPr>
            </w:pPr>
          </w:p>
        </w:tc>
        <w:tc>
          <w:tcPr>
            <w:tcW w:w="511" w:type="pct"/>
            <w:vAlign w:val="center"/>
          </w:tcPr>
          <w:p>
            <w:pPr>
              <w:jc w:val="center"/>
              <w:rPr>
                <w:rFonts w:ascii="Times New Roman" w:hAnsi="Times New Roman" w:eastAsia="仿宋_GB2312" w:cs="Times New Roman"/>
                <w:b/>
                <w:color w:val="auto"/>
                <w:sz w:val="21"/>
                <w:szCs w:val="21"/>
              </w:rPr>
            </w:pPr>
          </w:p>
        </w:tc>
        <w:tc>
          <w:tcPr>
            <w:tcW w:w="427" w:type="pct"/>
            <w:vAlign w:val="center"/>
          </w:tcPr>
          <w:p>
            <w:pPr>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（2）</w:t>
            </w:r>
          </w:p>
        </w:tc>
        <w:tc>
          <w:tcPr>
            <w:tcW w:w="1120" w:type="pct"/>
            <w:vAlign w:val="center"/>
          </w:tcPr>
          <w:p>
            <w:pPr>
              <w:widowControl/>
              <w:spacing w:line="240" w:lineRule="atLeast"/>
              <w:jc w:val="center"/>
              <w:textAlignment w:val="center"/>
              <w:rPr>
                <w:rFonts w:ascii="仿宋_GB2312" w:hAnsi="Times New Roman" w:eastAsia="仿宋_GB2312" w:cs="Times New Roman"/>
                <w:color w:val="auto"/>
                <w:kern w:val="2"/>
                <w:sz w:val="21"/>
                <w:szCs w:val="21"/>
                <w:lang w:val="en-US" w:eastAsia="zh-CN" w:bidi="ar-SA"/>
              </w:rPr>
            </w:pPr>
            <w:r>
              <w:rPr>
                <w:rFonts w:hint="eastAsia" w:ascii="仿宋_GB2312" w:hAnsi="Times New Roman" w:eastAsia="仿宋_GB2312" w:cs="Times New Roman"/>
                <w:color w:val="auto"/>
                <w:kern w:val="0"/>
                <w:sz w:val="21"/>
                <w:szCs w:val="21"/>
              </w:rPr>
              <w:t>临时沉沙池◆</w:t>
            </w:r>
          </w:p>
        </w:tc>
        <w:tc>
          <w:tcPr>
            <w:tcW w:w="480" w:type="pct"/>
            <w:vAlign w:val="center"/>
          </w:tcPr>
          <w:p>
            <w:pPr>
              <w:widowControl/>
              <w:spacing w:line="240" w:lineRule="atLeast"/>
              <w:jc w:val="center"/>
              <w:textAlignment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座</w:t>
            </w:r>
          </w:p>
        </w:tc>
        <w:tc>
          <w:tcPr>
            <w:tcW w:w="490" w:type="pct"/>
            <w:vAlign w:val="center"/>
          </w:tcPr>
          <w:p>
            <w:pPr>
              <w:widowControl/>
              <w:spacing w:line="240" w:lineRule="atLeast"/>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59"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绿化工程</w:t>
            </w:r>
          </w:p>
        </w:tc>
        <w:tc>
          <w:tcPr>
            <w:tcW w:w="483" w:type="pct"/>
            <w:vAlign w:val="center"/>
          </w:tcPr>
          <w:p>
            <w:pPr>
              <w:jc w:val="center"/>
              <w:rPr>
                <w:rFonts w:ascii="Times New Roman" w:hAnsi="Times New Roman" w:eastAsia="仿宋_GB2312" w:cs="Times New Roman"/>
                <w:color w:val="auto"/>
                <w:sz w:val="21"/>
                <w:szCs w:val="21"/>
              </w:rPr>
            </w:pPr>
          </w:p>
        </w:tc>
        <w:tc>
          <w:tcPr>
            <w:tcW w:w="511" w:type="pct"/>
            <w:vAlign w:val="center"/>
          </w:tcPr>
          <w:p>
            <w:pPr>
              <w:jc w:val="center"/>
              <w:rPr>
                <w:rFonts w:ascii="Times New Roman" w:hAnsi="Times New Roman" w:eastAsia="仿宋_GB2312" w:cs="Times New Roman"/>
                <w:color w:val="auto"/>
                <w:sz w:val="21"/>
                <w:szCs w:val="21"/>
              </w:rPr>
            </w:pPr>
          </w:p>
        </w:tc>
        <w:tc>
          <w:tcPr>
            <w:tcW w:w="427" w:type="pct"/>
            <w:vAlign w:val="center"/>
          </w:tcPr>
          <w:p>
            <w:pPr>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（3）</w:t>
            </w:r>
          </w:p>
        </w:tc>
        <w:tc>
          <w:tcPr>
            <w:tcW w:w="1120" w:type="pct"/>
            <w:vAlign w:val="center"/>
          </w:tcPr>
          <w:p>
            <w:pPr>
              <w:widowControl/>
              <w:spacing w:line="240" w:lineRule="atLeast"/>
              <w:jc w:val="center"/>
              <w:textAlignment w:val="center"/>
              <w:rPr>
                <w:rFonts w:ascii="仿宋_GB2312" w:hAnsi="Times New Roman" w:eastAsia="仿宋_GB2312" w:cs="Times New Roman"/>
                <w:color w:val="auto"/>
                <w:kern w:val="2"/>
                <w:sz w:val="21"/>
                <w:szCs w:val="21"/>
                <w:lang w:val="en-US" w:eastAsia="zh-CN" w:bidi="ar-SA"/>
              </w:rPr>
            </w:pPr>
            <w:r>
              <w:rPr>
                <w:rFonts w:hint="eastAsia" w:ascii="仿宋_GB2312" w:hAnsi="Times New Roman" w:eastAsia="仿宋_GB2312" w:cs="Times New Roman"/>
                <w:color w:val="auto"/>
                <w:kern w:val="0"/>
                <w:sz w:val="21"/>
                <w:szCs w:val="21"/>
              </w:rPr>
              <w:t>苫布覆盖◆</w:t>
            </w:r>
          </w:p>
        </w:tc>
        <w:tc>
          <w:tcPr>
            <w:tcW w:w="480" w:type="pct"/>
            <w:vAlign w:val="center"/>
          </w:tcPr>
          <w:p>
            <w:pPr>
              <w:widowControl/>
              <w:spacing w:line="240" w:lineRule="atLeast"/>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490" w:type="pct"/>
            <w:vAlign w:val="center"/>
          </w:tcPr>
          <w:p>
            <w:pPr>
              <w:widowControl/>
              <w:spacing w:line="240" w:lineRule="atLeast"/>
              <w:jc w:val="center"/>
              <w:rPr>
                <w:rFonts w:ascii="Times New Roman" w:hAnsi="Times New Roman" w:eastAsia="仿宋_GB2312" w:cs="Times New Roman"/>
                <w:color w:val="auto"/>
                <w:kern w:val="2"/>
                <w:sz w:val="21"/>
                <w:szCs w:val="21"/>
                <w:lang w:val="en-US" w:eastAsia="zh-CN" w:bidi="ar-SA"/>
              </w:rPr>
            </w:pPr>
            <w:r>
              <w:rPr>
                <w:rFonts w:ascii="Times New Roman" w:hAnsi="Times New Roman" w:eastAsia="仿宋_GB2312" w:cs="Times New Roman"/>
                <w:color w:val="auto"/>
                <w:sz w:val="21"/>
                <w:szCs w:val="21"/>
              </w:rPr>
              <w:t>12.87</w:t>
            </w:r>
          </w:p>
        </w:tc>
      </w:tr>
    </w:tbl>
    <w:p>
      <w:pPr>
        <w:spacing w:line="360" w:lineRule="auto"/>
        <w:ind w:firstLine="420" w:firstLineChars="200"/>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注：</w:t>
      </w:r>
      <w:r>
        <w:rPr>
          <w:rFonts w:ascii="宋体" w:hAnsi="宋体" w:cs="宋体"/>
          <w:bCs/>
          <w:color w:val="auto"/>
          <w:sz w:val="21"/>
          <w:szCs w:val="21"/>
        </w:rPr>
        <w:t>◆</w:t>
      </w:r>
      <w:r>
        <w:rPr>
          <w:rFonts w:ascii="Times New Roman" w:hAnsi="Times New Roman" w:eastAsia="仿宋_GB2312" w:cs="Times New Roman"/>
          <w:color w:val="auto"/>
          <w:sz w:val="21"/>
          <w:szCs w:val="21"/>
        </w:rPr>
        <w:t>表示本</w:t>
      </w:r>
      <w:r>
        <w:rPr>
          <w:rFonts w:hint="eastAsia" w:ascii="Times New Roman" w:hAnsi="Times New Roman" w:eastAsia="仿宋_GB2312" w:cs="Times New Roman"/>
          <w:color w:val="auto"/>
          <w:sz w:val="21"/>
          <w:szCs w:val="21"/>
          <w:lang w:val="en-US" w:eastAsia="zh-CN"/>
        </w:rPr>
        <w:t>区域评估报告</w:t>
      </w:r>
      <w:r>
        <w:rPr>
          <w:rFonts w:ascii="Times New Roman" w:hAnsi="Times New Roman" w:eastAsia="仿宋_GB2312" w:cs="Times New Roman"/>
          <w:color w:val="auto"/>
          <w:sz w:val="21"/>
          <w:szCs w:val="21"/>
        </w:rPr>
        <w:t>新增或补充完善措施</w:t>
      </w:r>
    </w:p>
    <w:p>
      <w:pPr>
        <w:spacing w:line="360" w:lineRule="auto"/>
        <w:ind w:firstLine="482" w:firstLineChars="200"/>
        <w:rPr>
          <w:rFonts w:ascii="Times New Roman" w:hAnsi="Times New Roman" w:eastAsia="仿宋_GB2312"/>
          <w:b/>
          <w:color w:val="auto"/>
        </w:rPr>
      </w:pPr>
      <w:r>
        <w:rPr>
          <w:rFonts w:hint="eastAsia" w:ascii="Times New Roman" w:hAnsi="Times New Roman" w:eastAsia="仿宋_GB2312"/>
          <w:b/>
          <w:color w:val="auto"/>
        </w:rPr>
        <w:t>（三）绿地防治区</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绿地防治区主要包括：公共绿地和防护绿地的建设。</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本区域主体规划设计的水土保持措施包括：表土剥离、场地平整、表土回填和景观绿化；本</w:t>
      </w:r>
      <w:r>
        <w:rPr>
          <w:rFonts w:hint="eastAsia" w:ascii="Times New Roman" w:hAnsi="Times New Roman" w:eastAsia="仿宋_GB2312"/>
          <w:color w:val="auto"/>
          <w:lang w:val="en-US" w:eastAsia="zh-CN"/>
        </w:rPr>
        <w:t>评估报告</w:t>
      </w:r>
      <w:r>
        <w:rPr>
          <w:rFonts w:hint="eastAsia" w:ascii="Times New Roman" w:hAnsi="Times New Roman" w:eastAsia="仿宋_GB2312"/>
          <w:color w:val="auto"/>
        </w:rPr>
        <w:t>将补充施工期间的临时排水沉沙及苫盖，同时根据实际需求，建成后于场地内布设植草沟，收集排导雨水。</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（1）土地整治工程</w:t>
      </w:r>
    </w:p>
    <w:p>
      <w:pPr>
        <w:spacing w:line="360" w:lineRule="auto"/>
        <w:ind w:firstLine="480" w:firstLineChars="200"/>
        <w:rPr>
          <w:rFonts w:ascii="Times New Roman" w:hAnsi="Times New Roman" w:eastAsia="仿宋_GB2312"/>
          <w:color w:val="auto"/>
          <w:szCs w:val="24"/>
        </w:rPr>
      </w:pPr>
      <w:r>
        <w:rPr>
          <w:rFonts w:ascii="Times New Roman" w:hAnsi="Times New Roman" w:eastAsia="仿宋_GB2312"/>
          <w:color w:val="auto"/>
          <w:szCs w:val="24"/>
        </w:rPr>
        <w:t>施工前</w:t>
      </w:r>
      <w:r>
        <w:rPr>
          <w:rFonts w:hint="eastAsia" w:ascii="Times New Roman" w:hAnsi="Times New Roman" w:eastAsia="仿宋_GB2312"/>
          <w:color w:val="auto"/>
          <w:szCs w:val="24"/>
        </w:rPr>
        <w:t>，</w:t>
      </w:r>
      <w:r>
        <w:rPr>
          <w:rFonts w:ascii="Times New Roman" w:hAnsi="Times New Roman" w:eastAsia="仿宋_GB2312"/>
          <w:color w:val="auto"/>
          <w:szCs w:val="24"/>
        </w:rPr>
        <w:t>对区域有表土的区域进行表土剥离</w:t>
      </w:r>
      <w:r>
        <w:rPr>
          <w:rFonts w:hint="eastAsia" w:ascii="Times New Roman" w:hAnsi="Times New Roman" w:eastAsia="仿宋_GB2312"/>
          <w:color w:val="auto"/>
          <w:szCs w:val="24"/>
        </w:rPr>
        <w:t>，</w:t>
      </w:r>
      <w:r>
        <w:rPr>
          <w:rFonts w:ascii="Times New Roman" w:hAnsi="Times New Roman" w:eastAsia="仿宋_GB2312"/>
          <w:color w:val="auto"/>
          <w:szCs w:val="24"/>
        </w:rPr>
        <w:t>剥离</w:t>
      </w:r>
      <w:r>
        <w:rPr>
          <w:rFonts w:hint="eastAsia" w:ascii="Times New Roman" w:hAnsi="Times New Roman" w:eastAsia="仿宋_GB2312"/>
          <w:color w:val="auto"/>
          <w:szCs w:val="24"/>
        </w:rPr>
        <w:t>的表土</w:t>
      </w:r>
      <w:r>
        <w:rPr>
          <w:rFonts w:ascii="Times New Roman" w:hAnsi="Times New Roman" w:eastAsia="仿宋_GB2312"/>
          <w:color w:val="auto"/>
          <w:szCs w:val="24"/>
        </w:rPr>
        <w:t>集中</w:t>
      </w:r>
      <w:r>
        <w:rPr>
          <w:rFonts w:hint="eastAsia" w:ascii="Times New Roman" w:hAnsi="Times New Roman" w:eastAsia="仿宋_GB2312"/>
          <w:color w:val="auto"/>
          <w:szCs w:val="24"/>
        </w:rPr>
        <w:t>堆放于表土堆场，待后期场地整平之后，对其进行场地平整及表土回填，以利于植物生长。工程量：表土剥离1.79</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hint="eastAsia" w:ascii="Times New Roman" w:hAnsi="Times New Roman" w:eastAsia="仿宋_GB2312"/>
          <w:color w:val="auto"/>
          <w:szCs w:val="24"/>
        </w:rPr>
        <w:t>，场地平整18.81</w:t>
      </w:r>
      <w:r>
        <w:rPr>
          <w:rFonts w:ascii="Times New Roman" w:hAnsi="Times New Roman" w:eastAsia="仿宋_GB2312" w:cs="Times New Roman"/>
          <w:color w:val="auto"/>
          <w:szCs w:val="24"/>
        </w:rPr>
        <w:t>hm</w:t>
      </w:r>
      <w:r>
        <w:rPr>
          <w:rFonts w:ascii="Times New Roman" w:hAnsi="Times New Roman" w:eastAsia="仿宋_GB2312" w:cs="Times New Roman"/>
          <w:color w:val="auto"/>
          <w:szCs w:val="24"/>
          <w:vertAlign w:val="superscript"/>
        </w:rPr>
        <w:t>2</w:t>
      </w:r>
      <w:r>
        <w:rPr>
          <w:rFonts w:hint="eastAsia" w:ascii="Times New Roman" w:hAnsi="Times New Roman" w:eastAsia="仿宋_GB2312"/>
          <w:color w:val="auto"/>
          <w:szCs w:val="24"/>
        </w:rPr>
        <w:t>、表土回填4.83</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hint="eastAsia" w:ascii="Times New Roman" w:hAnsi="Times New Roman" w:eastAsia="仿宋_GB2312"/>
          <w:color w:val="auto"/>
          <w:szCs w:val="24"/>
        </w:rPr>
        <w:t>。</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（2）排水工程</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为组织绿地区域内雨水走向，根据实际需求，本</w:t>
      </w:r>
      <w:r>
        <w:rPr>
          <w:rFonts w:hint="eastAsia" w:ascii="Times New Roman" w:hAnsi="Times New Roman" w:eastAsia="仿宋_GB2312"/>
          <w:color w:val="auto"/>
          <w:lang w:val="en-US" w:eastAsia="zh-CN"/>
        </w:rPr>
        <w:t>区域评估报告</w:t>
      </w:r>
      <w:r>
        <w:rPr>
          <w:rFonts w:hint="eastAsia" w:ascii="Times New Roman" w:hAnsi="Times New Roman" w:eastAsia="仿宋_GB2312"/>
          <w:color w:val="auto"/>
        </w:rPr>
        <w:t>依据场地地势于公园绿地内布设植草沟，收集场地内雨水，雨水通过植草沟收集后排入西侧西总干渠内。工程量：植草沟955m。</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（3）绿化工程</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本项目公园绿地主要以铺设草皮和栽植景观树种相结合的方式布设，防护绿地主要为环园区周边</w:t>
      </w:r>
      <w:r>
        <w:rPr>
          <w:rFonts w:ascii="Times New Roman" w:hAnsi="Times New Roman" w:eastAsia="仿宋_GB2312"/>
          <w:color w:val="auto"/>
        </w:rPr>
        <w:t>30m</w:t>
      </w:r>
      <w:r>
        <w:rPr>
          <w:rFonts w:hint="eastAsia" w:ascii="Times New Roman" w:hAnsi="Times New Roman" w:eastAsia="仿宋_GB2312"/>
          <w:color w:val="auto"/>
        </w:rPr>
        <w:t>范围布设，以乔灌草组成的隔离绿地。工程量：景观绿化面积18.81</w:t>
      </w:r>
      <w:r>
        <w:rPr>
          <w:rFonts w:ascii="Times New Roman" w:hAnsi="Times New Roman" w:eastAsia="仿宋_GB2312" w:cs="Times New Roman"/>
          <w:color w:val="auto"/>
          <w:szCs w:val="24"/>
        </w:rPr>
        <w:t>hm</w:t>
      </w:r>
      <w:r>
        <w:rPr>
          <w:rFonts w:ascii="Times New Roman" w:hAnsi="Times New Roman" w:eastAsia="仿宋_GB2312" w:cs="Times New Roman"/>
          <w:color w:val="auto"/>
          <w:szCs w:val="24"/>
          <w:vertAlign w:val="superscript"/>
        </w:rPr>
        <w:t>2</w:t>
      </w:r>
      <w:r>
        <w:rPr>
          <w:rFonts w:hint="eastAsia" w:ascii="Times New Roman" w:hAnsi="Times New Roman" w:eastAsia="仿宋_GB2312"/>
          <w:color w:val="auto"/>
          <w:szCs w:val="24"/>
        </w:rPr>
        <w:t>。</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（4）透水铺装工程</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工程主体设计结合海绵城市建设理念，在</w:t>
      </w:r>
      <w:r>
        <w:rPr>
          <w:rFonts w:hint="eastAsia" w:ascii="Times New Roman" w:hAnsi="Times New Roman" w:eastAsia="仿宋_GB2312"/>
          <w:color w:val="auto"/>
        </w:rPr>
        <w:t>公园绿地内部人行道</w:t>
      </w:r>
      <w:r>
        <w:rPr>
          <w:rFonts w:ascii="Times New Roman" w:hAnsi="Times New Roman" w:eastAsia="仿宋_GB2312"/>
          <w:color w:val="auto"/>
        </w:rPr>
        <w:t>路设置透水铺装，</w:t>
      </w:r>
      <w:r>
        <w:rPr>
          <w:rFonts w:hint="eastAsia" w:ascii="Times New Roman" w:hAnsi="Times New Roman" w:eastAsia="仿宋_GB2312"/>
          <w:color w:val="auto"/>
        </w:rPr>
        <w:t>工程量：</w:t>
      </w:r>
      <w:r>
        <w:rPr>
          <w:rFonts w:ascii="Times New Roman" w:hAnsi="Times New Roman" w:eastAsia="仿宋_GB2312"/>
          <w:color w:val="auto"/>
        </w:rPr>
        <w:t>透水铺装</w:t>
      </w:r>
      <w:r>
        <w:rPr>
          <w:rFonts w:hint="eastAsia" w:ascii="Times New Roman" w:hAnsi="Times New Roman" w:eastAsia="仿宋_GB2312"/>
          <w:color w:val="auto"/>
        </w:rPr>
        <w:t>面积1.20hm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（5）临时防护工程</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施工期间，在场地周边直接开挖土质排水沟组织场地雨水走</w:t>
      </w:r>
      <w:r>
        <w:rPr>
          <w:rFonts w:hint="eastAsia" w:ascii="Times New Roman" w:hAnsi="Times New Roman" w:eastAsia="仿宋_GB2312"/>
          <w:color w:val="auto"/>
        </w:rPr>
        <w:t>向，并沿排水沟布设沉沙池，雨水经沉沙后排水周边沟渠或水系。施工后期，待场地整平后，区域内地表裸露，对裸露区域实施临时苫盖。工程量：临时排水沟1568m、临时沉沙池10座、苫布覆盖20.01</w:t>
      </w:r>
      <w:r>
        <w:rPr>
          <w:rFonts w:ascii="Times New Roman" w:hAnsi="Times New Roman" w:eastAsia="仿宋_GB2312"/>
          <w:color w:val="auto"/>
        </w:rPr>
        <w:t>hm</w:t>
      </w:r>
      <w:r>
        <w:rPr>
          <w:rFonts w:ascii="Times New Roman" w:hAnsi="Times New Roman" w:eastAsia="仿宋_GB2312"/>
          <w:color w:val="auto"/>
          <w:vertAlign w:val="superscript"/>
        </w:rPr>
        <w:t>2</w:t>
      </w:r>
      <w:r>
        <w:rPr>
          <w:rFonts w:hint="eastAsia" w:ascii="Times New Roman" w:hAnsi="Times New Roman" w:eastAsia="仿宋_GB2312"/>
          <w:color w:val="auto"/>
        </w:rPr>
        <w:t>。</w:t>
      </w:r>
    </w:p>
    <w:p>
      <w:pPr>
        <w:spacing w:line="360" w:lineRule="auto"/>
        <w:ind w:firstLine="480" w:firstLineChars="200"/>
        <w:rPr>
          <w:rFonts w:ascii="Times New Roman" w:hAnsi="Times New Roman" w:eastAsia="仿宋_GB2312" w:cs="Times New Roman"/>
          <w:color w:val="auto"/>
        </w:rPr>
      </w:pPr>
      <w:r>
        <w:rPr>
          <w:rFonts w:hint="eastAsia" w:ascii="Times New Roman" w:hAnsi="Times New Roman" w:eastAsia="仿宋_GB2312"/>
          <w:color w:val="auto"/>
        </w:rPr>
        <w:t>绿地防治区</w:t>
      </w:r>
      <w:r>
        <w:rPr>
          <w:rFonts w:ascii="Times New Roman" w:hAnsi="Times New Roman" w:eastAsia="仿宋_GB2312" w:cs="Times New Roman"/>
          <w:color w:val="auto"/>
        </w:rPr>
        <w:t>水土保持措施工程量详见表5.3-</w:t>
      </w:r>
      <w:r>
        <w:rPr>
          <w:rFonts w:hint="eastAsia" w:ascii="Times New Roman" w:hAnsi="Times New Roman" w:eastAsia="仿宋_GB2312" w:cs="Times New Roman"/>
          <w:color w:val="auto"/>
        </w:rPr>
        <w:t>3</w:t>
      </w:r>
      <w:r>
        <w:rPr>
          <w:rFonts w:ascii="Times New Roman" w:hAnsi="Times New Roman" w:eastAsia="仿宋_GB2312" w:cs="Times New Roman"/>
          <w:color w:val="auto"/>
        </w:rPr>
        <w:t>。</w:t>
      </w:r>
    </w:p>
    <w:p>
      <w:pPr>
        <w:widowControl/>
        <w:snapToGrid w:val="0"/>
        <w:spacing w:line="360" w:lineRule="auto"/>
        <w:jc w:val="center"/>
        <w:rPr>
          <w:rFonts w:hint="eastAsia" w:ascii="Times New Roman" w:hAnsi="Times New Roman" w:eastAsia="仿宋_GB2312" w:cs="Times New Roman"/>
          <w:b/>
          <w:color w:val="auto"/>
        </w:rPr>
      </w:pPr>
      <w:r>
        <w:rPr>
          <w:rFonts w:hint="eastAsia" w:ascii="Times New Roman" w:hAnsi="Times New Roman" w:eastAsia="仿宋_GB2312" w:cs="Times New Roman"/>
          <w:b/>
          <w:color w:val="auto"/>
        </w:rPr>
        <w:t>表5.3-3：绿地防治区水土保持措施工程量表</w:t>
      </w:r>
    </w:p>
    <w:tbl>
      <w:tblPr>
        <w:tblStyle w:val="37"/>
        <w:tblW w:w="508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41"/>
        <w:gridCol w:w="1837"/>
        <w:gridCol w:w="838"/>
        <w:gridCol w:w="888"/>
        <w:gridCol w:w="741"/>
        <w:gridCol w:w="1943"/>
        <w:gridCol w:w="834"/>
        <w:gridCol w:w="85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27"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序号</w:t>
            </w:r>
          </w:p>
        </w:tc>
        <w:tc>
          <w:tcPr>
            <w:tcW w:w="1059" w:type="pct"/>
            <w:vAlign w:val="center"/>
          </w:tcPr>
          <w:p>
            <w:pPr>
              <w:jc w:val="center"/>
              <w:rPr>
                <w:rFonts w:ascii="Times New Roman" w:hAnsi="Times New Roman" w:eastAsia="仿宋_GB2312" w:cs="Times New Roman"/>
                <w:b/>
                <w:bCs/>
                <w:color w:val="auto"/>
                <w:sz w:val="21"/>
                <w:szCs w:val="21"/>
              </w:rPr>
            </w:pPr>
            <w:r>
              <w:rPr>
                <w:rFonts w:hint="eastAsia" w:ascii="Times New Roman" w:hAnsi="Times New Roman" w:eastAsia="仿宋_GB2312" w:cs="Times New Roman"/>
                <w:b/>
                <w:bCs/>
                <w:color w:val="auto"/>
                <w:sz w:val="21"/>
                <w:szCs w:val="21"/>
                <w:lang w:val="en-US" w:eastAsia="zh-CN"/>
              </w:rPr>
              <w:t>措施</w:t>
            </w:r>
            <w:r>
              <w:rPr>
                <w:rFonts w:ascii="Times New Roman" w:hAnsi="Times New Roman" w:eastAsia="仿宋_GB2312" w:cs="Times New Roman"/>
                <w:b/>
                <w:bCs/>
                <w:color w:val="auto"/>
                <w:sz w:val="21"/>
                <w:szCs w:val="21"/>
              </w:rPr>
              <w:t>名称</w:t>
            </w:r>
          </w:p>
        </w:tc>
        <w:tc>
          <w:tcPr>
            <w:tcW w:w="483"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单位</w:t>
            </w:r>
          </w:p>
        </w:tc>
        <w:tc>
          <w:tcPr>
            <w:tcW w:w="512"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工程量</w:t>
            </w:r>
          </w:p>
        </w:tc>
        <w:tc>
          <w:tcPr>
            <w:tcW w:w="427"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序号</w:t>
            </w:r>
          </w:p>
        </w:tc>
        <w:tc>
          <w:tcPr>
            <w:tcW w:w="1120" w:type="pct"/>
            <w:vAlign w:val="center"/>
          </w:tcPr>
          <w:p>
            <w:pPr>
              <w:jc w:val="center"/>
              <w:rPr>
                <w:rFonts w:ascii="Times New Roman" w:hAnsi="Times New Roman" w:eastAsia="仿宋_GB2312" w:cs="Times New Roman"/>
                <w:b/>
                <w:bCs/>
                <w:color w:val="auto"/>
                <w:sz w:val="21"/>
                <w:szCs w:val="21"/>
              </w:rPr>
            </w:pPr>
            <w:r>
              <w:rPr>
                <w:rFonts w:hint="eastAsia" w:ascii="Times New Roman" w:hAnsi="Times New Roman" w:eastAsia="仿宋_GB2312" w:cs="Times New Roman"/>
                <w:b/>
                <w:bCs/>
                <w:color w:val="auto"/>
                <w:sz w:val="21"/>
                <w:szCs w:val="21"/>
                <w:lang w:val="en-US" w:eastAsia="zh-CN"/>
              </w:rPr>
              <w:t>措施</w:t>
            </w:r>
            <w:r>
              <w:rPr>
                <w:rFonts w:ascii="Times New Roman" w:hAnsi="Times New Roman" w:eastAsia="仿宋_GB2312" w:cs="Times New Roman"/>
                <w:b/>
                <w:bCs/>
                <w:color w:val="auto"/>
                <w:sz w:val="21"/>
                <w:szCs w:val="21"/>
              </w:rPr>
              <w:t>名称</w:t>
            </w:r>
          </w:p>
        </w:tc>
        <w:tc>
          <w:tcPr>
            <w:tcW w:w="481"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单位</w:t>
            </w:r>
          </w:p>
        </w:tc>
        <w:tc>
          <w:tcPr>
            <w:tcW w:w="490"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工程量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27" w:type="pct"/>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一</w:t>
            </w:r>
          </w:p>
        </w:tc>
        <w:tc>
          <w:tcPr>
            <w:tcW w:w="1059" w:type="pct"/>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工程措施</w:t>
            </w:r>
          </w:p>
        </w:tc>
        <w:tc>
          <w:tcPr>
            <w:tcW w:w="483" w:type="pct"/>
            <w:vAlign w:val="center"/>
          </w:tcPr>
          <w:p>
            <w:pPr>
              <w:jc w:val="center"/>
              <w:rPr>
                <w:rFonts w:ascii="Times New Roman" w:hAnsi="Times New Roman" w:eastAsia="仿宋_GB2312" w:cs="Times New Roman"/>
                <w:color w:val="auto"/>
                <w:sz w:val="21"/>
                <w:szCs w:val="21"/>
              </w:rPr>
            </w:pPr>
          </w:p>
        </w:tc>
        <w:tc>
          <w:tcPr>
            <w:tcW w:w="512" w:type="pct"/>
            <w:vAlign w:val="center"/>
          </w:tcPr>
          <w:p>
            <w:pPr>
              <w:jc w:val="center"/>
              <w:rPr>
                <w:rFonts w:ascii="Times New Roman" w:hAnsi="Times New Roman" w:eastAsia="仿宋_GB2312" w:cs="Times New Roman"/>
                <w:color w:val="auto"/>
                <w:sz w:val="21"/>
                <w:szCs w:val="21"/>
              </w:rPr>
            </w:pPr>
          </w:p>
        </w:tc>
        <w:tc>
          <w:tcPr>
            <w:tcW w:w="427" w:type="pct"/>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二</w:t>
            </w:r>
          </w:p>
        </w:tc>
        <w:tc>
          <w:tcPr>
            <w:tcW w:w="1120" w:type="pct"/>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植物措施</w:t>
            </w:r>
          </w:p>
        </w:tc>
        <w:tc>
          <w:tcPr>
            <w:tcW w:w="481" w:type="pct"/>
            <w:vAlign w:val="center"/>
          </w:tcPr>
          <w:p>
            <w:pPr>
              <w:jc w:val="center"/>
              <w:rPr>
                <w:rFonts w:ascii="Times New Roman" w:hAnsi="Times New Roman" w:eastAsia="仿宋_GB2312" w:cs="Times New Roman"/>
                <w:b/>
                <w:color w:val="auto"/>
                <w:sz w:val="21"/>
                <w:szCs w:val="21"/>
              </w:rPr>
            </w:pPr>
          </w:p>
        </w:tc>
        <w:tc>
          <w:tcPr>
            <w:tcW w:w="490" w:type="pct"/>
            <w:vAlign w:val="center"/>
          </w:tcPr>
          <w:p>
            <w:pPr>
              <w:jc w:val="center"/>
              <w:rPr>
                <w:rFonts w:ascii="Times New Roman" w:hAnsi="Times New Roman" w:eastAsia="仿宋_GB2312" w:cs="Times New Roman"/>
                <w:b/>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59"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土地整治工程</w:t>
            </w:r>
          </w:p>
        </w:tc>
        <w:tc>
          <w:tcPr>
            <w:tcW w:w="483" w:type="pct"/>
            <w:vAlign w:val="center"/>
          </w:tcPr>
          <w:p>
            <w:pPr>
              <w:jc w:val="center"/>
              <w:rPr>
                <w:rFonts w:ascii="Times New Roman" w:hAnsi="Times New Roman" w:eastAsia="仿宋_GB2312" w:cs="Times New Roman"/>
                <w:color w:val="auto"/>
                <w:sz w:val="21"/>
                <w:szCs w:val="21"/>
              </w:rPr>
            </w:pPr>
          </w:p>
        </w:tc>
        <w:tc>
          <w:tcPr>
            <w:tcW w:w="512" w:type="pct"/>
            <w:vAlign w:val="center"/>
          </w:tcPr>
          <w:p>
            <w:pPr>
              <w:jc w:val="center"/>
              <w:rPr>
                <w:rFonts w:ascii="Times New Roman" w:hAnsi="Times New Roman" w:eastAsia="仿宋_GB2312" w:cs="Times New Roman"/>
                <w:color w:val="auto"/>
                <w:sz w:val="21"/>
                <w:szCs w:val="21"/>
              </w:rPr>
            </w:pPr>
          </w:p>
        </w:tc>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20"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绿化工程</w:t>
            </w:r>
          </w:p>
        </w:tc>
        <w:tc>
          <w:tcPr>
            <w:tcW w:w="481" w:type="pct"/>
            <w:vAlign w:val="center"/>
          </w:tcPr>
          <w:p>
            <w:pPr>
              <w:jc w:val="center"/>
              <w:rPr>
                <w:rFonts w:ascii="Times New Roman" w:hAnsi="Times New Roman" w:eastAsia="仿宋_GB2312" w:cs="Times New Roman"/>
                <w:color w:val="auto"/>
                <w:sz w:val="21"/>
                <w:szCs w:val="21"/>
              </w:rPr>
            </w:pPr>
          </w:p>
        </w:tc>
        <w:tc>
          <w:tcPr>
            <w:tcW w:w="490" w:type="pct"/>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59"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表土剥离</w:t>
            </w:r>
          </w:p>
        </w:tc>
        <w:tc>
          <w:tcPr>
            <w:tcW w:w="483"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万m</w:t>
            </w:r>
            <w:r>
              <w:rPr>
                <w:rFonts w:ascii="Times New Roman" w:hAnsi="Times New Roman" w:eastAsia="仿宋_GB2312" w:cs="Times New Roman"/>
                <w:color w:val="auto"/>
                <w:sz w:val="21"/>
                <w:szCs w:val="21"/>
                <w:vertAlign w:val="superscript"/>
              </w:rPr>
              <w:t>3</w:t>
            </w:r>
          </w:p>
        </w:tc>
        <w:tc>
          <w:tcPr>
            <w:tcW w:w="512"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1.79</w:t>
            </w:r>
          </w:p>
        </w:tc>
        <w:tc>
          <w:tcPr>
            <w:tcW w:w="427" w:type="pct"/>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（1）</w:t>
            </w:r>
          </w:p>
        </w:tc>
        <w:tc>
          <w:tcPr>
            <w:tcW w:w="1120"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景观绿化</w:t>
            </w:r>
          </w:p>
        </w:tc>
        <w:tc>
          <w:tcPr>
            <w:tcW w:w="481"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490"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18.81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059"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场地平整</w:t>
            </w:r>
          </w:p>
        </w:tc>
        <w:tc>
          <w:tcPr>
            <w:tcW w:w="483"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512"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18.81</w:t>
            </w:r>
          </w:p>
        </w:tc>
        <w:tc>
          <w:tcPr>
            <w:tcW w:w="427" w:type="pct"/>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三</w:t>
            </w:r>
          </w:p>
        </w:tc>
        <w:tc>
          <w:tcPr>
            <w:tcW w:w="1120" w:type="pct"/>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临时措施</w:t>
            </w:r>
          </w:p>
        </w:tc>
        <w:tc>
          <w:tcPr>
            <w:tcW w:w="481" w:type="pct"/>
            <w:vAlign w:val="center"/>
          </w:tcPr>
          <w:p>
            <w:pPr>
              <w:jc w:val="center"/>
              <w:rPr>
                <w:rFonts w:ascii="Times New Roman" w:hAnsi="Times New Roman" w:eastAsia="仿宋_GB2312" w:cs="Times New Roman"/>
                <w:color w:val="auto"/>
                <w:sz w:val="21"/>
                <w:szCs w:val="21"/>
              </w:rPr>
            </w:pPr>
          </w:p>
        </w:tc>
        <w:tc>
          <w:tcPr>
            <w:tcW w:w="490" w:type="pct"/>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059"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表土回填</w:t>
            </w:r>
          </w:p>
        </w:tc>
        <w:tc>
          <w:tcPr>
            <w:tcW w:w="483"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万m</w:t>
            </w:r>
            <w:r>
              <w:rPr>
                <w:rFonts w:ascii="Times New Roman" w:hAnsi="Times New Roman" w:eastAsia="仿宋_GB2312" w:cs="Times New Roman"/>
                <w:color w:val="auto"/>
                <w:sz w:val="21"/>
                <w:szCs w:val="21"/>
                <w:vertAlign w:val="superscript"/>
              </w:rPr>
              <w:t>3</w:t>
            </w:r>
          </w:p>
        </w:tc>
        <w:tc>
          <w:tcPr>
            <w:tcW w:w="512"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4.83</w:t>
            </w:r>
          </w:p>
        </w:tc>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20"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临时防护工程</w:t>
            </w:r>
          </w:p>
        </w:tc>
        <w:tc>
          <w:tcPr>
            <w:tcW w:w="481" w:type="pct"/>
            <w:vAlign w:val="center"/>
          </w:tcPr>
          <w:p>
            <w:pPr>
              <w:widowControl/>
              <w:spacing w:line="240" w:lineRule="atLeast"/>
              <w:jc w:val="center"/>
              <w:rPr>
                <w:rFonts w:ascii="Times New Roman" w:hAnsi="Times New Roman" w:eastAsia="仿宋_GB2312" w:cs="Times New Roman"/>
                <w:color w:val="auto"/>
                <w:sz w:val="21"/>
                <w:szCs w:val="21"/>
              </w:rPr>
            </w:pPr>
          </w:p>
        </w:tc>
        <w:tc>
          <w:tcPr>
            <w:tcW w:w="490"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59"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透水铺装工程</w:t>
            </w:r>
          </w:p>
        </w:tc>
        <w:tc>
          <w:tcPr>
            <w:tcW w:w="483" w:type="pct"/>
            <w:vAlign w:val="center"/>
          </w:tcPr>
          <w:p>
            <w:pPr>
              <w:widowControl/>
              <w:spacing w:line="240" w:lineRule="atLeast"/>
              <w:jc w:val="center"/>
              <w:rPr>
                <w:rFonts w:ascii="Times New Roman" w:hAnsi="Times New Roman" w:eastAsia="仿宋_GB2312" w:cs="Times New Roman"/>
                <w:color w:val="auto"/>
                <w:sz w:val="21"/>
                <w:szCs w:val="21"/>
              </w:rPr>
            </w:pPr>
          </w:p>
        </w:tc>
        <w:tc>
          <w:tcPr>
            <w:tcW w:w="512" w:type="pct"/>
            <w:vAlign w:val="center"/>
          </w:tcPr>
          <w:p>
            <w:pPr>
              <w:widowControl/>
              <w:spacing w:line="240" w:lineRule="atLeast"/>
              <w:jc w:val="center"/>
              <w:rPr>
                <w:rFonts w:ascii="Times New Roman" w:hAnsi="Times New Roman" w:eastAsia="仿宋_GB2312" w:cs="Times New Roman"/>
                <w:color w:val="auto"/>
                <w:sz w:val="21"/>
                <w:szCs w:val="21"/>
              </w:rPr>
            </w:pPr>
          </w:p>
        </w:tc>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20" w:type="pct"/>
            <w:vAlign w:val="center"/>
          </w:tcPr>
          <w:p>
            <w:pPr>
              <w:widowControl/>
              <w:spacing w:line="240" w:lineRule="atLeast"/>
              <w:jc w:val="center"/>
              <w:textAlignment w:val="center"/>
              <w:rPr>
                <w:rFonts w:ascii="仿宋_GB2312" w:hAnsi="Times New Roman" w:eastAsia="仿宋_GB2312" w:cs="Times New Roman"/>
                <w:color w:val="auto"/>
                <w:sz w:val="21"/>
                <w:szCs w:val="21"/>
              </w:rPr>
            </w:pPr>
            <w:r>
              <w:rPr>
                <w:rFonts w:hint="eastAsia" w:ascii="仿宋_GB2312" w:hAnsi="Times New Roman" w:eastAsia="仿宋_GB2312" w:cs="Times New Roman"/>
                <w:color w:val="auto"/>
                <w:kern w:val="0"/>
                <w:sz w:val="21"/>
                <w:szCs w:val="21"/>
              </w:rPr>
              <w:t>临时排水沟◆</w:t>
            </w:r>
          </w:p>
        </w:tc>
        <w:tc>
          <w:tcPr>
            <w:tcW w:w="481"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490"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1568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059"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透水铺装</w:t>
            </w:r>
          </w:p>
        </w:tc>
        <w:tc>
          <w:tcPr>
            <w:tcW w:w="483"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512"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1.20</w:t>
            </w:r>
          </w:p>
        </w:tc>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120" w:type="pct"/>
            <w:vAlign w:val="center"/>
          </w:tcPr>
          <w:p>
            <w:pPr>
              <w:widowControl/>
              <w:spacing w:line="240" w:lineRule="atLeast"/>
              <w:jc w:val="center"/>
              <w:textAlignment w:val="center"/>
              <w:rPr>
                <w:rFonts w:ascii="仿宋_GB2312" w:hAnsi="Times New Roman" w:eastAsia="仿宋_GB2312" w:cs="Times New Roman"/>
                <w:color w:val="auto"/>
                <w:sz w:val="21"/>
                <w:szCs w:val="21"/>
              </w:rPr>
            </w:pPr>
            <w:r>
              <w:rPr>
                <w:rFonts w:hint="eastAsia" w:ascii="仿宋_GB2312" w:hAnsi="Times New Roman" w:eastAsia="仿宋_GB2312" w:cs="Times New Roman"/>
                <w:color w:val="auto"/>
                <w:kern w:val="0"/>
                <w:sz w:val="21"/>
                <w:szCs w:val="21"/>
              </w:rPr>
              <w:t>临时沉沙池◆</w:t>
            </w:r>
          </w:p>
        </w:tc>
        <w:tc>
          <w:tcPr>
            <w:tcW w:w="481"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座</w:t>
            </w:r>
          </w:p>
        </w:tc>
        <w:tc>
          <w:tcPr>
            <w:tcW w:w="490"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1059"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排水工程</w:t>
            </w:r>
          </w:p>
        </w:tc>
        <w:tc>
          <w:tcPr>
            <w:tcW w:w="483" w:type="pct"/>
            <w:vAlign w:val="center"/>
          </w:tcPr>
          <w:p>
            <w:pPr>
              <w:widowControl/>
              <w:spacing w:line="240" w:lineRule="atLeast"/>
              <w:jc w:val="center"/>
              <w:rPr>
                <w:rFonts w:ascii="Times New Roman" w:hAnsi="Times New Roman" w:eastAsia="仿宋_GB2312" w:cs="Times New Roman"/>
                <w:color w:val="auto"/>
                <w:sz w:val="21"/>
                <w:szCs w:val="21"/>
              </w:rPr>
            </w:pPr>
          </w:p>
        </w:tc>
        <w:tc>
          <w:tcPr>
            <w:tcW w:w="512" w:type="pct"/>
            <w:vAlign w:val="center"/>
          </w:tcPr>
          <w:p>
            <w:pPr>
              <w:widowControl/>
              <w:spacing w:line="240" w:lineRule="atLeast"/>
              <w:jc w:val="center"/>
              <w:rPr>
                <w:rFonts w:ascii="Times New Roman" w:hAnsi="Times New Roman" w:eastAsia="仿宋_GB2312" w:cs="Times New Roman"/>
                <w:color w:val="auto"/>
                <w:sz w:val="21"/>
                <w:szCs w:val="21"/>
              </w:rPr>
            </w:pPr>
          </w:p>
        </w:tc>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1120" w:type="pct"/>
            <w:vAlign w:val="center"/>
          </w:tcPr>
          <w:p>
            <w:pPr>
              <w:widowControl/>
              <w:spacing w:line="240" w:lineRule="atLeast"/>
              <w:jc w:val="center"/>
              <w:textAlignment w:val="center"/>
              <w:rPr>
                <w:rFonts w:ascii="仿宋_GB2312" w:hAnsi="Times New Roman" w:eastAsia="仿宋_GB2312" w:cs="Times New Roman"/>
                <w:color w:val="auto"/>
                <w:sz w:val="21"/>
                <w:szCs w:val="21"/>
              </w:rPr>
            </w:pPr>
            <w:r>
              <w:rPr>
                <w:rFonts w:hint="eastAsia" w:ascii="仿宋_GB2312" w:hAnsi="Times New Roman" w:eastAsia="仿宋_GB2312" w:cs="Times New Roman"/>
                <w:color w:val="auto"/>
                <w:kern w:val="0"/>
                <w:sz w:val="21"/>
                <w:szCs w:val="21"/>
              </w:rPr>
              <w:t>苫布覆盖◆</w:t>
            </w:r>
          </w:p>
        </w:tc>
        <w:tc>
          <w:tcPr>
            <w:tcW w:w="481"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490"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1059"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植草沟</w:t>
            </w:r>
            <w:r>
              <w:rPr>
                <w:rFonts w:hint="eastAsia" w:ascii="仿宋_GB2312" w:hAnsi="Times New Roman" w:eastAsia="仿宋_GB2312" w:cs="Times New Roman"/>
                <w:color w:val="auto"/>
                <w:kern w:val="0"/>
                <w:sz w:val="21"/>
                <w:szCs w:val="21"/>
              </w:rPr>
              <w:t>◆</w:t>
            </w:r>
          </w:p>
        </w:tc>
        <w:tc>
          <w:tcPr>
            <w:tcW w:w="483"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512"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955</w:t>
            </w:r>
          </w:p>
        </w:tc>
        <w:tc>
          <w:tcPr>
            <w:tcW w:w="427" w:type="pct"/>
            <w:vAlign w:val="center"/>
          </w:tcPr>
          <w:p>
            <w:pPr>
              <w:jc w:val="center"/>
              <w:rPr>
                <w:rFonts w:ascii="Times New Roman" w:hAnsi="Times New Roman" w:eastAsia="仿宋_GB2312" w:cs="Times New Roman"/>
                <w:color w:val="auto"/>
                <w:sz w:val="21"/>
                <w:szCs w:val="21"/>
              </w:rPr>
            </w:pPr>
          </w:p>
        </w:tc>
        <w:tc>
          <w:tcPr>
            <w:tcW w:w="1120"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p>
        </w:tc>
        <w:tc>
          <w:tcPr>
            <w:tcW w:w="481" w:type="pct"/>
            <w:vAlign w:val="center"/>
          </w:tcPr>
          <w:p>
            <w:pPr>
              <w:widowControl/>
              <w:spacing w:line="240" w:lineRule="atLeast"/>
              <w:jc w:val="center"/>
              <w:rPr>
                <w:rFonts w:ascii="Times New Roman" w:hAnsi="Times New Roman" w:eastAsia="仿宋_GB2312" w:cs="Times New Roman"/>
                <w:color w:val="auto"/>
                <w:sz w:val="21"/>
                <w:szCs w:val="21"/>
              </w:rPr>
            </w:pPr>
          </w:p>
        </w:tc>
        <w:tc>
          <w:tcPr>
            <w:tcW w:w="490" w:type="pct"/>
            <w:vAlign w:val="center"/>
          </w:tcPr>
          <w:p>
            <w:pPr>
              <w:widowControl/>
              <w:spacing w:line="240" w:lineRule="atLeast"/>
              <w:jc w:val="center"/>
              <w:rPr>
                <w:rFonts w:ascii="Times New Roman" w:hAnsi="Times New Roman" w:eastAsia="仿宋_GB2312" w:cs="Times New Roman"/>
                <w:color w:val="auto"/>
                <w:sz w:val="21"/>
                <w:szCs w:val="21"/>
              </w:rPr>
            </w:pPr>
          </w:p>
        </w:tc>
      </w:tr>
    </w:tbl>
    <w:p>
      <w:pPr>
        <w:pStyle w:val="180"/>
        <w:ind w:firstLine="420"/>
        <w:rPr>
          <w:rFonts w:hint="default" w:ascii="Times New Roman" w:hAnsi="Times New Roman" w:eastAsia="仿宋_GB2312" w:cs="Times New Roman"/>
          <w:color w:val="auto"/>
          <w:szCs w:val="24"/>
        </w:rPr>
      </w:pPr>
      <w:r>
        <w:rPr>
          <w:rFonts w:ascii="Times New Roman" w:hAnsi="Times New Roman" w:eastAsia="仿宋_GB2312" w:cs="Times New Roman"/>
          <w:color w:val="auto"/>
          <w:szCs w:val="24"/>
        </w:rPr>
        <w:t>注：</w:t>
      </w:r>
      <w:r>
        <w:rPr>
          <w:rFonts w:ascii="宋体" w:hAnsi="宋体" w:cs="宋体"/>
          <w:bCs/>
          <w:color w:val="auto"/>
          <w:szCs w:val="24"/>
        </w:rPr>
        <w:t>◆</w:t>
      </w:r>
      <w:r>
        <w:rPr>
          <w:rFonts w:ascii="Times New Roman" w:hAnsi="Times New Roman" w:eastAsia="仿宋_GB2312" w:cs="Times New Roman"/>
          <w:color w:val="auto"/>
          <w:szCs w:val="24"/>
        </w:rPr>
        <w:t>表示本</w:t>
      </w:r>
      <w:r>
        <w:rPr>
          <w:rFonts w:hint="eastAsia" w:ascii="Times New Roman" w:hAnsi="Times New Roman" w:eastAsia="仿宋_GB2312" w:cs="Times New Roman"/>
          <w:color w:val="auto"/>
          <w:szCs w:val="24"/>
          <w:lang w:val="en-US" w:eastAsia="zh-CN"/>
        </w:rPr>
        <w:t>区域评估报告</w:t>
      </w:r>
      <w:r>
        <w:rPr>
          <w:rFonts w:ascii="Times New Roman" w:hAnsi="Times New Roman" w:eastAsia="仿宋_GB2312" w:cs="Times New Roman"/>
          <w:color w:val="auto"/>
          <w:szCs w:val="24"/>
        </w:rPr>
        <w:t>新增或补充完善措施</w:t>
      </w:r>
    </w:p>
    <w:p>
      <w:pPr>
        <w:pStyle w:val="7"/>
        <w:snapToGrid w:val="0"/>
        <w:spacing w:line="360" w:lineRule="auto"/>
        <w:rPr>
          <w:rFonts w:eastAsia="仿宋_GB2312"/>
          <w:color w:val="auto"/>
          <w:sz w:val="28"/>
          <w:szCs w:val="28"/>
        </w:rPr>
      </w:pPr>
      <w:r>
        <w:rPr>
          <w:rFonts w:hint="eastAsia"/>
          <w:color w:val="auto"/>
          <w:sz w:val="28"/>
          <w:szCs w:val="28"/>
        </w:rPr>
        <w:t>5</w:t>
      </w:r>
      <w:r>
        <w:rPr>
          <w:color w:val="auto"/>
          <w:sz w:val="28"/>
          <w:szCs w:val="28"/>
        </w:rPr>
        <w:t>.3.</w:t>
      </w:r>
      <w:r>
        <w:rPr>
          <w:rFonts w:hint="eastAsia"/>
          <w:color w:val="auto"/>
          <w:sz w:val="28"/>
          <w:szCs w:val="28"/>
        </w:rPr>
        <w:t>2</w:t>
      </w:r>
      <w:r>
        <w:rPr>
          <w:color w:val="auto"/>
          <w:sz w:val="28"/>
          <w:szCs w:val="28"/>
        </w:rPr>
        <w:t>.</w:t>
      </w:r>
      <w:r>
        <w:rPr>
          <w:rFonts w:hint="eastAsia"/>
          <w:color w:val="auto"/>
          <w:sz w:val="28"/>
          <w:szCs w:val="28"/>
        </w:rPr>
        <w:t>2</w:t>
      </w:r>
      <w:r>
        <w:rPr>
          <w:rFonts w:hint="eastAsia" w:eastAsia="仿宋_GB2312"/>
          <w:color w:val="auto"/>
          <w:sz w:val="28"/>
          <w:szCs w:val="28"/>
        </w:rPr>
        <w:t>区域</w:t>
      </w:r>
      <w:r>
        <w:rPr>
          <w:rFonts w:eastAsia="仿宋_GB2312"/>
          <w:color w:val="auto"/>
          <w:sz w:val="28"/>
          <w:szCs w:val="28"/>
        </w:rPr>
        <w:t>规划功能防治区</w:t>
      </w:r>
    </w:p>
    <w:p>
      <w:pPr>
        <w:spacing w:line="360" w:lineRule="auto"/>
        <w:ind w:firstLine="482" w:firstLineChars="200"/>
        <w:rPr>
          <w:rFonts w:ascii="Times New Roman" w:hAnsi="Times New Roman" w:eastAsia="仿宋_GB2312"/>
          <w:b/>
          <w:color w:val="auto"/>
        </w:rPr>
      </w:pPr>
      <w:r>
        <w:rPr>
          <w:rFonts w:hint="eastAsia" w:ascii="Times New Roman" w:hAnsi="Times New Roman" w:eastAsia="仿宋_GB2312"/>
          <w:b/>
          <w:color w:val="auto"/>
        </w:rPr>
        <w:t>（一）已建工程防治区</w:t>
      </w:r>
    </w:p>
    <w:p>
      <w:pPr>
        <w:spacing w:line="360" w:lineRule="auto"/>
        <w:ind w:firstLine="480" w:firstLineChars="200"/>
        <w:rPr>
          <w:rFonts w:ascii="Times New Roman" w:hAnsi="Times New Roman" w:eastAsia="仿宋_GB2312"/>
          <w:b w:val="0"/>
          <w:bCs/>
          <w:color w:val="auto"/>
        </w:rPr>
      </w:pPr>
      <w:r>
        <w:rPr>
          <w:rFonts w:hint="eastAsia" w:ascii="Times New Roman" w:hAnsi="Times New Roman" w:eastAsia="仿宋_GB2312"/>
          <w:b w:val="0"/>
          <w:bCs/>
          <w:color w:val="auto"/>
        </w:rPr>
        <w:t>已建工程防治区</w:t>
      </w:r>
      <w:r>
        <w:rPr>
          <w:rFonts w:hint="eastAsia" w:ascii="Times New Roman" w:hAnsi="Times New Roman" w:eastAsia="仿宋_GB2312"/>
          <w:b w:val="0"/>
          <w:bCs/>
          <w:color w:val="auto"/>
          <w:lang w:eastAsia="zh-CN"/>
        </w:rPr>
        <w:t>包括</w:t>
      </w:r>
      <w:r>
        <w:rPr>
          <w:rFonts w:hint="eastAsia" w:ascii="Times New Roman" w:hAnsi="Times New Roman" w:eastAsia="仿宋_GB2312"/>
          <w:b w:val="0"/>
          <w:bCs/>
          <w:color w:val="auto"/>
          <w:lang w:val="en-US" w:eastAsia="zh-CN"/>
        </w:rPr>
        <w:t>E09、E11、E19地块，</w:t>
      </w:r>
      <w:r>
        <w:rPr>
          <w:rFonts w:hint="eastAsia" w:ascii="Times New Roman" w:hAnsi="Times New Roman" w:eastAsia="仿宋_GB2312"/>
          <w:b w:val="0"/>
          <w:bCs/>
          <w:color w:val="auto"/>
        </w:rPr>
        <w:t>本</w:t>
      </w:r>
      <w:r>
        <w:rPr>
          <w:rFonts w:hint="eastAsia" w:ascii="Times New Roman" w:hAnsi="Times New Roman" w:eastAsia="仿宋_GB2312"/>
          <w:b w:val="0"/>
          <w:bCs/>
          <w:color w:val="auto"/>
          <w:lang w:eastAsia="zh-CN"/>
        </w:rPr>
        <w:t>评估报告</w:t>
      </w:r>
      <w:r>
        <w:rPr>
          <w:rFonts w:hint="eastAsia" w:ascii="Times New Roman" w:hAnsi="Times New Roman" w:eastAsia="仿宋_GB2312"/>
          <w:b w:val="0"/>
          <w:bCs/>
          <w:color w:val="auto"/>
        </w:rPr>
        <w:t>介入时，由于已建工程防治区E11地块已有企业入驻，且已完成生产建设项目的建设，但未编</w:t>
      </w:r>
      <w:r>
        <w:rPr>
          <w:rFonts w:hint="eastAsia" w:ascii="Times New Roman" w:hAnsi="Times New Roman" w:eastAsia="仿宋_GB2312"/>
          <w:b w:val="0"/>
          <w:bCs/>
          <w:color w:val="auto"/>
          <w:lang w:eastAsia="zh-CN"/>
        </w:rPr>
        <w:t>报</w:t>
      </w:r>
      <w:r>
        <w:rPr>
          <w:rFonts w:hint="eastAsia" w:ascii="Times New Roman" w:hAnsi="Times New Roman" w:eastAsia="仿宋_GB2312"/>
          <w:b w:val="0"/>
          <w:bCs/>
          <w:color w:val="auto"/>
        </w:rPr>
        <w:t>水保方案，根据现场实际调查，该地块已实施的水保措施主要为雨水管网及厂区绿化；同时</w:t>
      </w:r>
      <w:r>
        <w:rPr>
          <w:rFonts w:hint="eastAsia" w:ascii="Times New Roman" w:hAnsi="Times New Roman" w:eastAsia="仿宋_GB2312"/>
          <w:b w:val="0"/>
          <w:bCs/>
          <w:color w:val="auto"/>
          <w:lang w:eastAsia="zh-CN"/>
        </w:rPr>
        <w:t>早期施工期间，建设单位已完成</w:t>
      </w:r>
      <w:r>
        <w:rPr>
          <w:rFonts w:hint="eastAsia" w:ascii="Times New Roman" w:hAnsi="Times New Roman" w:eastAsia="仿宋_GB2312"/>
          <w:b w:val="0"/>
          <w:bCs/>
          <w:color w:val="auto"/>
          <w:lang w:val="en-US" w:eastAsia="zh-CN"/>
        </w:rPr>
        <w:t>E09、E19地块的场地平整及撒播草籽施工。</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（1）土地整治工程</w:t>
      </w:r>
    </w:p>
    <w:p>
      <w:pPr>
        <w:spacing w:line="360" w:lineRule="auto"/>
        <w:ind w:left="480" w:leftChars="200" w:firstLine="0" w:firstLineChars="0"/>
        <w:rPr>
          <w:rFonts w:hint="eastAsia" w:ascii="Times New Roman" w:hAnsi="Times New Roman" w:eastAsia="仿宋_GB2312"/>
          <w:color w:val="auto"/>
          <w:lang w:eastAsia="zh-CN"/>
        </w:rPr>
      </w:pPr>
      <w:r>
        <w:rPr>
          <w:rFonts w:hint="eastAsia" w:ascii="Times New Roman" w:hAnsi="Times New Roman" w:eastAsia="仿宋_GB2312"/>
          <w:color w:val="auto"/>
          <w:lang w:eastAsia="zh-CN"/>
        </w:rPr>
        <w:t>绿化施工前，对场地进行</w:t>
      </w:r>
      <w:r>
        <w:rPr>
          <w:rFonts w:hint="eastAsia" w:ascii="Times New Roman" w:hAnsi="Times New Roman" w:eastAsia="仿宋_GB2312"/>
          <w:color w:val="auto"/>
        </w:rPr>
        <w:t>平整</w:t>
      </w:r>
      <w:r>
        <w:rPr>
          <w:rFonts w:hint="eastAsia" w:ascii="Times New Roman" w:hAnsi="Times New Roman" w:eastAsia="仿宋_GB2312"/>
          <w:color w:val="auto"/>
          <w:lang w:eastAsia="zh-CN"/>
        </w:rPr>
        <w:t>。</w:t>
      </w:r>
      <w:r>
        <w:rPr>
          <w:rFonts w:hint="eastAsia" w:ascii="Times New Roman" w:hAnsi="Times New Roman" w:eastAsia="仿宋_GB2312"/>
          <w:color w:val="auto"/>
        </w:rPr>
        <w:t>工程量：</w:t>
      </w:r>
      <w:r>
        <w:rPr>
          <w:rFonts w:hint="eastAsia" w:ascii="Times New Roman" w:hAnsi="Times New Roman" w:eastAsia="仿宋_GB2312"/>
          <w:color w:val="auto"/>
          <w:lang w:eastAsia="zh-CN"/>
        </w:rPr>
        <w:t>场地平整</w:t>
      </w:r>
      <w:r>
        <w:rPr>
          <w:rFonts w:hint="eastAsia" w:ascii="Times New Roman" w:hAnsi="Times New Roman" w:eastAsia="仿宋_GB2312"/>
          <w:color w:val="auto"/>
          <w:lang w:val="en-US" w:eastAsia="zh-CN"/>
        </w:rPr>
        <w:t>8.05</w:t>
      </w:r>
      <w:r>
        <w:rPr>
          <w:rFonts w:hint="eastAsia" w:ascii="Times New Roman" w:hAnsi="Times New Roman" w:eastAsia="仿宋_GB2312"/>
          <w:color w:val="auto"/>
        </w:rPr>
        <w:t>hm</w:t>
      </w:r>
      <w:r>
        <w:rPr>
          <w:rFonts w:hint="eastAsia" w:ascii="Times New Roman" w:hAnsi="Times New Roman" w:eastAsia="仿宋_GB2312"/>
          <w:color w:val="auto"/>
          <w:vertAlign w:val="superscript"/>
        </w:rPr>
        <w:t>2</w:t>
      </w:r>
      <w:r>
        <w:rPr>
          <w:rFonts w:hint="eastAsia" w:ascii="Times New Roman" w:hAnsi="Times New Roman" w:eastAsia="仿宋_GB2312"/>
          <w:color w:val="auto"/>
          <w:lang w:eastAsia="zh-CN"/>
        </w:rPr>
        <w:t>。</w:t>
      </w:r>
    </w:p>
    <w:p>
      <w:pPr>
        <w:spacing w:line="360" w:lineRule="auto"/>
        <w:ind w:left="480" w:leftChars="200" w:firstLine="0" w:firstLineChars="0"/>
        <w:rPr>
          <w:rFonts w:ascii="Times New Roman" w:hAnsi="Times New Roman" w:eastAsia="仿宋_GB2312"/>
          <w:color w:val="auto"/>
        </w:rPr>
      </w:pPr>
      <w:r>
        <w:rPr>
          <w:rFonts w:hint="eastAsia" w:ascii="Times New Roman" w:hAnsi="Times New Roman" w:eastAsia="仿宋_GB2312"/>
          <w:color w:val="auto"/>
        </w:rPr>
        <w:t>（2）排水工程</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根据现场实际调查，评估区域内E11地块已实施有完善的排水措施，主要有厂区内的雨水管网。工程量：雨水管585m，雨水口23个，雨水井12座。</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（3）绿化工程</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根据现场实际调查，评估区域内E11地块已实施的绿化工程主要为沿建筑物周边栽植桂花及撒播草籽绿化。工程量：厂区绿化0.02hm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w:t>
      </w:r>
    </w:p>
    <w:p>
      <w:pPr>
        <w:widowControl/>
        <w:spacing w:line="360" w:lineRule="auto"/>
        <w:ind w:firstLine="480" w:firstLineChars="200"/>
        <w:jc w:val="left"/>
        <w:rPr>
          <w:rFonts w:ascii="Times New Roman" w:hAnsi="Times New Roman" w:eastAsia="仿宋_GB2312"/>
          <w:color w:val="auto"/>
        </w:rPr>
      </w:pPr>
      <w:r>
        <w:rPr>
          <w:rFonts w:hint="eastAsia" w:ascii="仿宋_GB2312" w:hAnsi="宋体" w:eastAsia="仿宋_GB2312" w:cs="仿宋_GB2312"/>
          <w:color w:val="auto"/>
          <w:kern w:val="0"/>
          <w:szCs w:val="24"/>
          <w:lang w:eastAsia="zh-CN"/>
        </w:rPr>
        <w:t>本项目前期对</w:t>
      </w:r>
      <w:r>
        <w:rPr>
          <w:rFonts w:hint="eastAsia" w:ascii="Times New Roman" w:hAnsi="Times New Roman" w:eastAsia="仿宋_GB2312"/>
          <w:b w:val="0"/>
          <w:bCs/>
          <w:color w:val="auto"/>
          <w:lang w:val="en-US" w:eastAsia="zh-CN"/>
        </w:rPr>
        <w:t>E09、E19地块</w:t>
      </w:r>
      <w:r>
        <w:rPr>
          <w:rFonts w:ascii="仿宋_GB2312" w:hAnsi="宋体" w:eastAsia="仿宋_GB2312" w:cs="仿宋_GB2312"/>
          <w:color w:val="auto"/>
          <w:kern w:val="0"/>
          <w:szCs w:val="24"/>
        </w:rPr>
        <w:t>五通一平后，</w:t>
      </w:r>
      <w:r>
        <w:rPr>
          <w:rFonts w:hint="eastAsia" w:ascii="仿宋_GB2312" w:hAnsi="宋体" w:eastAsia="仿宋_GB2312" w:cs="仿宋_GB2312"/>
          <w:color w:val="auto"/>
          <w:kern w:val="0"/>
          <w:szCs w:val="24"/>
          <w:lang w:eastAsia="zh-CN"/>
        </w:rPr>
        <w:t>已</w:t>
      </w:r>
      <w:r>
        <w:rPr>
          <w:rFonts w:ascii="仿宋_GB2312" w:hAnsi="宋体" w:eastAsia="仿宋_GB2312" w:cs="仿宋_GB2312"/>
          <w:color w:val="auto"/>
          <w:kern w:val="0"/>
          <w:szCs w:val="24"/>
        </w:rPr>
        <w:t>对裸露区域实施撒播草籽，草籽选用</w:t>
      </w:r>
      <w:r>
        <w:rPr>
          <w:rFonts w:hint="eastAsia" w:ascii="仿宋_GB2312" w:hAnsi="宋体" w:eastAsia="仿宋_GB2312" w:cs="仿宋_GB2312"/>
          <w:color w:val="auto"/>
          <w:kern w:val="0"/>
          <w:szCs w:val="24"/>
        </w:rPr>
        <w:t>狗牙根与黑麦草混播，混播密度为</w:t>
      </w:r>
      <w:r>
        <w:rPr>
          <w:rFonts w:ascii="Times New Roman" w:hAnsi="Times New Roman" w:cs="Times New Roman"/>
          <w:color w:val="auto"/>
          <w:kern w:val="0"/>
          <w:szCs w:val="24"/>
        </w:rPr>
        <w:t>80kg/hm</w:t>
      </w:r>
      <w:r>
        <w:rPr>
          <w:rFonts w:hint="eastAsia" w:ascii="Times New Roman" w:hAnsi="Times New Roman" w:cs="Times New Roman"/>
          <w:color w:val="auto"/>
          <w:kern w:val="0"/>
          <w:szCs w:val="24"/>
          <w:vertAlign w:val="superscript"/>
        </w:rPr>
        <w:t>2</w:t>
      </w:r>
      <w:r>
        <w:rPr>
          <w:rFonts w:hint="eastAsia" w:ascii="仿宋_GB2312" w:hAnsi="宋体" w:eastAsia="仿宋_GB2312" w:cs="仿宋_GB2312"/>
          <w:color w:val="auto"/>
          <w:kern w:val="0"/>
          <w:szCs w:val="24"/>
        </w:rPr>
        <w:t>。工程量：撒播草籽面积</w:t>
      </w:r>
      <w:r>
        <w:rPr>
          <w:rFonts w:hint="default" w:ascii="Times New Roman" w:hAnsi="Times New Roman" w:eastAsia="仿宋_GB2312" w:cs="Times New Roman"/>
          <w:color w:val="auto"/>
          <w:kern w:val="0"/>
          <w:szCs w:val="24"/>
          <w:lang w:val="en-US" w:eastAsia="zh-CN"/>
        </w:rPr>
        <w:t>8.0</w:t>
      </w:r>
      <w:r>
        <w:rPr>
          <w:rFonts w:hint="eastAsia" w:ascii="Times New Roman" w:hAnsi="Times New Roman" w:eastAsia="仿宋_GB2312" w:cs="Times New Roman"/>
          <w:color w:val="auto"/>
          <w:kern w:val="0"/>
          <w:szCs w:val="24"/>
          <w:lang w:val="en-US" w:eastAsia="zh-CN"/>
        </w:rPr>
        <w:t>5</w:t>
      </w:r>
      <w:r>
        <w:rPr>
          <w:rFonts w:ascii="Times New Roman" w:hAnsi="Times New Roman" w:cs="Times New Roman"/>
          <w:color w:val="auto"/>
          <w:kern w:val="0"/>
          <w:szCs w:val="24"/>
        </w:rPr>
        <w:t>hm</w:t>
      </w:r>
      <w:r>
        <w:rPr>
          <w:rFonts w:hint="eastAsia" w:ascii="Times New Roman" w:hAnsi="Times New Roman" w:cs="Times New Roman"/>
          <w:color w:val="auto"/>
          <w:kern w:val="0"/>
          <w:szCs w:val="24"/>
          <w:vertAlign w:val="superscript"/>
        </w:rPr>
        <w:t>2</w:t>
      </w:r>
      <w:r>
        <w:rPr>
          <w:rFonts w:hint="eastAsia" w:ascii="仿宋_GB2312" w:hAnsi="宋体" w:eastAsia="仿宋_GB2312" w:cs="仿宋_GB2312"/>
          <w:color w:val="auto"/>
          <w:kern w:val="0"/>
          <w:szCs w:val="24"/>
        </w:rPr>
        <w:t>。</w:t>
      </w:r>
    </w:p>
    <w:p>
      <w:pPr>
        <w:spacing w:line="360" w:lineRule="auto"/>
        <w:jc w:val="center"/>
        <w:rPr>
          <w:rFonts w:ascii="Times New Roman" w:hAnsi="Times New Roman" w:eastAsia="仿宋_GB2312" w:cs="Times New Roman"/>
          <w:b/>
          <w:color w:val="auto"/>
        </w:rPr>
      </w:pPr>
      <w:r>
        <w:rPr>
          <w:rFonts w:ascii="Times New Roman" w:hAnsi="Times New Roman" w:eastAsia="仿宋_GB2312" w:cs="Times New Roman"/>
          <w:b/>
          <w:color w:val="auto"/>
        </w:rPr>
        <w:t>表5.3-</w:t>
      </w:r>
      <w:r>
        <w:rPr>
          <w:rFonts w:hint="eastAsia" w:ascii="Times New Roman" w:hAnsi="Times New Roman" w:eastAsia="仿宋_GB2312" w:cs="Times New Roman"/>
          <w:b/>
          <w:color w:val="auto"/>
        </w:rPr>
        <w:t>4</w:t>
      </w:r>
      <w:r>
        <w:rPr>
          <w:rFonts w:ascii="Times New Roman" w:hAnsi="Times New Roman" w:eastAsia="仿宋_GB2312" w:cs="Times New Roman"/>
          <w:b/>
          <w:color w:val="auto"/>
        </w:rPr>
        <w:t>：</w:t>
      </w:r>
      <w:r>
        <w:rPr>
          <w:rFonts w:hint="eastAsia" w:ascii="Times New Roman" w:hAnsi="Times New Roman" w:eastAsia="仿宋_GB2312" w:cs="Times New Roman"/>
          <w:b/>
          <w:color w:val="auto"/>
        </w:rPr>
        <w:t>已建工程</w:t>
      </w:r>
      <w:r>
        <w:rPr>
          <w:rFonts w:hint="eastAsia" w:ascii="Times New Roman" w:hAnsi="Times New Roman" w:eastAsia="仿宋_GB2312" w:cstheme="minorBidi"/>
          <w:b/>
          <w:color w:val="auto"/>
        </w:rPr>
        <w:t>防治区</w:t>
      </w:r>
      <w:r>
        <w:rPr>
          <w:rFonts w:ascii="Times New Roman" w:hAnsi="Times New Roman" w:eastAsia="仿宋_GB2312" w:cs="Times New Roman"/>
          <w:b/>
          <w:color w:val="auto"/>
        </w:rPr>
        <w:t>水土保持措施工程量表</w:t>
      </w:r>
    </w:p>
    <w:tbl>
      <w:tblPr>
        <w:tblStyle w:val="37"/>
        <w:tblW w:w="508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41"/>
        <w:gridCol w:w="1838"/>
        <w:gridCol w:w="838"/>
        <w:gridCol w:w="887"/>
        <w:gridCol w:w="741"/>
        <w:gridCol w:w="1944"/>
        <w:gridCol w:w="833"/>
        <w:gridCol w:w="85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jc w:val="center"/>
        </w:trPr>
        <w:tc>
          <w:tcPr>
            <w:tcW w:w="427"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序号</w:t>
            </w:r>
          </w:p>
        </w:tc>
        <w:tc>
          <w:tcPr>
            <w:tcW w:w="1059" w:type="pct"/>
            <w:vAlign w:val="center"/>
          </w:tcPr>
          <w:p>
            <w:pPr>
              <w:jc w:val="center"/>
              <w:rPr>
                <w:rFonts w:ascii="Times New Roman" w:hAnsi="Times New Roman" w:eastAsia="仿宋_GB2312" w:cs="Times New Roman"/>
                <w:b/>
                <w:bCs/>
                <w:color w:val="auto"/>
                <w:sz w:val="21"/>
                <w:szCs w:val="21"/>
              </w:rPr>
            </w:pPr>
            <w:r>
              <w:rPr>
                <w:rFonts w:hint="eastAsia" w:ascii="Times New Roman" w:hAnsi="Times New Roman" w:eastAsia="仿宋_GB2312" w:cs="Times New Roman"/>
                <w:b/>
                <w:bCs/>
                <w:color w:val="auto"/>
                <w:sz w:val="21"/>
                <w:szCs w:val="21"/>
                <w:lang w:val="en-US" w:eastAsia="zh-CN"/>
              </w:rPr>
              <w:t>措施</w:t>
            </w:r>
            <w:r>
              <w:rPr>
                <w:rFonts w:ascii="Times New Roman" w:hAnsi="Times New Roman" w:eastAsia="仿宋_GB2312" w:cs="Times New Roman"/>
                <w:b/>
                <w:bCs/>
                <w:color w:val="auto"/>
                <w:sz w:val="21"/>
                <w:szCs w:val="21"/>
              </w:rPr>
              <w:t>名称</w:t>
            </w:r>
          </w:p>
        </w:tc>
        <w:tc>
          <w:tcPr>
            <w:tcW w:w="483"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单位</w:t>
            </w:r>
          </w:p>
        </w:tc>
        <w:tc>
          <w:tcPr>
            <w:tcW w:w="511"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工程量</w:t>
            </w:r>
          </w:p>
        </w:tc>
        <w:tc>
          <w:tcPr>
            <w:tcW w:w="427"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序号</w:t>
            </w:r>
          </w:p>
        </w:tc>
        <w:tc>
          <w:tcPr>
            <w:tcW w:w="1120" w:type="pct"/>
            <w:vAlign w:val="center"/>
          </w:tcPr>
          <w:p>
            <w:pPr>
              <w:jc w:val="center"/>
              <w:rPr>
                <w:rFonts w:ascii="Times New Roman" w:hAnsi="Times New Roman" w:eastAsia="仿宋_GB2312" w:cs="Times New Roman"/>
                <w:b/>
                <w:bCs/>
                <w:color w:val="auto"/>
                <w:sz w:val="21"/>
                <w:szCs w:val="21"/>
              </w:rPr>
            </w:pPr>
            <w:r>
              <w:rPr>
                <w:rFonts w:hint="eastAsia" w:ascii="Times New Roman" w:hAnsi="Times New Roman" w:eastAsia="仿宋_GB2312" w:cs="Times New Roman"/>
                <w:b/>
                <w:bCs/>
                <w:color w:val="auto"/>
                <w:sz w:val="21"/>
                <w:szCs w:val="21"/>
                <w:lang w:val="en-US" w:eastAsia="zh-CN"/>
              </w:rPr>
              <w:t>措施</w:t>
            </w:r>
            <w:r>
              <w:rPr>
                <w:rFonts w:ascii="Times New Roman" w:hAnsi="Times New Roman" w:eastAsia="仿宋_GB2312" w:cs="Times New Roman"/>
                <w:b/>
                <w:bCs/>
                <w:color w:val="auto"/>
                <w:sz w:val="21"/>
                <w:szCs w:val="21"/>
              </w:rPr>
              <w:t>名称</w:t>
            </w:r>
          </w:p>
        </w:tc>
        <w:tc>
          <w:tcPr>
            <w:tcW w:w="480"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单位</w:t>
            </w:r>
          </w:p>
        </w:tc>
        <w:tc>
          <w:tcPr>
            <w:tcW w:w="490"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工程量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jc w:val="center"/>
        </w:trPr>
        <w:tc>
          <w:tcPr>
            <w:tcW w:w="427" w:type="pct"/>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一</w:t>
            </w:r>
          </w:p>
        </w:tc>
        <w:tc>
          <w:tcPr>
            <w:tcW w:w="1059" w:type="pct"/>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工程措施</w:t>
            </w:r>
          </w:p>
        </w:tc>
        <w:tc>
          <w:tcPr>
            <w:tcW w:w="483" w:type="pct"/>
            <w:vAlign w:val="center"/>
          </w:tcPr>
          <w:p>
            <w:pPr>
              <w:jc w:val="center"/>
              <w:rPr>
                <w:rFonts w:ascii="Times New Roman" w:hAnsi="Times New Roman" w:eastAsia="仿宋_GB2312" w:cs="Times New Roman"/>
                <w:color w:val="auto"/>
                <w:sz w:val="21"/>
                <w:szCs w:val="21"/>
              </w:rPr>
            </w:pPr>
          </w:p>
        </w:tc>
        <w:tc>
          <w:tcPr>
            <w:tcW w:w="511" w:type="pct"/>
            <w:vAlign w:val="center"/>
          </w:tcPr>
          <w:p>
            <w:pPr>
              <w:jc w:val="center"/>
              <w:rPr>
                <w:rFonts w:ascii="Times New Roman" w:hAnsi="Times New Roman" w:eastAsia="仿宋_GB2312" w:cs="Times New Roman"/>
                <w:color w:val="auto"/>
                <w:sz w:val="21"/>
                <w:szCs w:val="21"/>
              </w:rPr>
            </w:pPr>
          </w:p>
        </w:tc>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1120"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雨水井</w:t>
            </w:r>
          </w:p>
        </w:tc>
        <w:tc>
          <w:tcPr>
            <w:tcW w:w="480"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个</w:t>
            </w:r>
          </w:p>
        </w:tc>
        <w:tc>
          <w:tcPr>
            <w:tcW w:w="490"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59"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土地整治工程</w:t>
            </w:r>
          </w:p>
        </w:tc>
        <w:tc>
          <w:tcPr>
            <w:tcW w:w="483" w:type="pct"/>
            <w:vAlign w:val="center"/>
          </w:tcPr>
          <w:p>
            <w:pPr>
              <w:jc w:val="center"/>
              <w:rPr>
                <w:rFonts w:ascii="Times New Roman" w:hAnsi="Times New Roman" w:eastAsia="仿宋_GB2312" w:cs="Times New Roman"/>
                <w:color w:val="auto"/>
                <w:sz w:val="21"/>
                <w:szCs w:val="21"/>
              </w:rPr>
            </w:pPr>
          </w:p>
        </w:tc>
        <w:tc>
          <w:tcPr>
            <w:tcW w:w="511" w:type="pct"/>
            <w:vAlign w:val="center"/>
          </w:tcPr>
          <w:p>
            <w:pPr>
              <w:jc w:val="center"/>
              <w:rPr>
                <w:rFonts w:ascii="Times New Roman" w:hAnsi="Times New Roman" w:eastAsia="仿宋_GB2312" w:cs="Times New Roman"/>
                <w:color w:val="auto"/>
                <w:sz w:val="21"/>
                <w:szCs w:val="21"/>
              </w:rPr>
            </w:pPr>
          </w:p>
        </w:tc>
        <w:tc>
          <w:tcPr>
            <w:tcW w:w="427" w:type="pct"/>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b/>
                <w:color w:val="auto"/>
                <w:sz w:val="21"/>
                <w:szCs w:val="21"/>
              </w:rPr>
              <w:t>二</w:t>
            </w:r>
          </w:p>
        </w:tc>
        <w:tc>
          <w:tcPr>
            <w:tcW w:w="1120"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b/>
                <w:color w:val="auto"/>
                <w:sz w:val="21"/>
                <w:szCs w:val="21"/>
              </w:rPr>
              <w:t>植物措施</w:t>
            </w:r>
          </w:p>
        </w:tc>
        <w:tc>
          <w:tcPr>
            <w:tcW w:w="480" w:type="pct"/>
            <w:vAlign w:val="center"/>
          </w:tcPr>
          <w:p>
            <w:pPr>
              <w:widowControl/>
              <w:spacing w:line="240" w:lineRule="atLeast"/>
              <w:jc w:val="center"/>
              <w:rPr>
                <w:rFonts w:ascii="Times New Roman" w:hAnsi="Times New Roman" w:eastAsia="仿宋_GB2312" w:cs="Times New Roman"/>
                <w:color w:val="auto"/>
                <w:sz w:val="21"/>
                <w:szCs w:val="21"/>
              </w:rPr>
            </w:pPr>
          </w:p>
        </w:tc>
        <w:tc>
          <w:tcPr>
            <w:tcW w:w="490" w:type="pct"/>
            <w:vAlign w:val="center"/>
          </w:tcPr>
          <w:p>
            <w:pPr>
              <w:widowControl/>
              <w:spacing w:line="240" w:lineRule="atLeast"/>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59"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场地平整</w:t>
            </w:r>
          </w:p>
        </w:tc>
        <w:tc>
          <w:tcPr>
            <w:tcW w:w="483"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511" w:type="pct"/>
            <w:vAlign w:val="center"/>
          </w:tcPr>
          <w:p>
            <w:pPr>
              <w:widowControl/>
              <w:spacing w:line="240" w:lineRule="atLeast"/>
              <w:jc w:val="center"/>
              <w:textAlignment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8.05</w:t>
            </w:r>
          </w:p>
        </w:tc>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20"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绿化工程</w:t>
            </w:r>
          </w:p>
        </w:tc>
        <w:tc>
          <w:tcPr>
            <w:tcW w:w="480" w:type="pct"/>
            <w:vAlign w:val="center"/>
          </w:tcPr>
          <w:p>
            <w:pPr>
              <w:widowControl/>
              <w:spacing w:line="240" w:lineRule="atLeast"/>
              <w:jc w:val="center"/>
              <w:rPr>
                <w:rFonts w:ascii="Times New Roman" w:hAnsi="Times New Roman" w:eastAsia="仿宋_GB2312" w:cs="Times New Roman"/>
                <w:color w:val="auto"/>
                <w:sz w:val="21"/>
                <w:szCs w:val="21"/>
              </w:rPr>
            </w:pPr>
          </w:p>
        </w:tc>
        <w:tc>
          <w:tcPr>
            <w:tcW w:w="490" w:type="pct"/>
            <w:vAlign w:val="center"/>
          </w:tcPr>
          <w:p>
            <w:pPr>
              <w:widowControl/>
              <w:spacing w:line="240" w:lineRule="atLeast"/>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059"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排水工程</w:t>
            </w:r>
          </w:p>
        </w:tc>
        <w:tc>
          <w:tcPr>
            <w:tcW w:w="483" w:type="pct"/>
            <w:vAlign w:val="center"/>
          </w:tcPr>
          <w:p>
            <w:pPr>
              <w:widowControl/>
              <w:spacing w:line="240" w:lineRule="atLeast"/>
              <w:jc w:val="center"/>
              <w:rPr>
                <w:rFonts w:ascii="Times New Roman" w:hAnsi="Times New Roman" w:eastAsia="仿宋_GB2312" w:cs="Times New Roman"/>
                <w:color w:val="auto"/>
                <w:sz w:val="21"/>
                <w:szCs w:val="21"/>
              </w:rPr>
            </w:pPr>
          </w:p>
        </w:tc>
        <w:tc>
          <w:tcPr>
            <w:tcW w:w="511" w:type="pct"/>
            <w:vAlign w:val="center"/>
          </w:tcPr>
          <w:p>
            <w:pPr>
              <w:widowControl/>
              <w:spacing w:line="240" w:lineRule="atLeast"/>
              <w:jc w:val="center"/>
              <w:rPr>
                <w:rFonts w:ascii="Times New Roman" w:hAnsi="Times New Roman" w:eastAsia="仿宋_GB2312" w:cs="Times New Roman"/>
                <w:color w:val="auto"/>
                <w:sz w:val="21"/>
                <w:szCs w:val="21"/>
              </w:rPr>
            </w:pPr>
          </w:p>
        </w:tc>
        <w:tc>
          <w:tcPr>
            <w:tcW w:w="427" w:type="pct"/>
            <w:vAlign w:val="center"/>
          </w:tcPr>
          <w:p>
            <w:pPr>
              <w:widowControl/>
              <w:jc w:val="center"/>
              <w:rPr>
                <w:rFonts w:ascii="Times New Roman" w:hAnsi="Times New Roman" w:eastAsia="仿宋_GB2312" w:cs="Times New Roman"/>
                <w:b/>
                <w:color w:val="auto"/>
                <w:sz w:val="21"/>
                <w:szCs w:val="21"/>
              </w:rPr>
            </w:pPr>
            <w:r>
              <w:rPr>
                <w:rFonts w:ascii="Times New Roman" w:hAnsi="Times New Roman" w:eastAsia="仿宋_GB2312" w:cs="Times New Roman"/>
                <w:color w:val="auto"/>
                <w:kern w:val="0"/>
                <w:sz w:val="21"/>
                <w:szCs w:val="21"/>
              </w:rPr>
              <w:t>（1）</w:t>
            </w:r>
          </w:p>
        </w:tc>
        <w:tc>
          <w:tcPr>
            <w:tcW w:w="1120" w:type="pct"/>
            <w:vAlign w:val="center"/>
          </w:tcPr>
          <w:p>
            <w:pPr>
              <w:widowControl/>
              <w:spacing w:line="240" w:lineRule="atLeast"/>
              <w:jc w:val="center"/>
              <w:textAlignment w:val="center"/>
              <w:rPr>
                <w:rFonts w:ascii="Times New Roman" w:hAnsi="Times New Roman" w:eastAsia="仿宋_GB2312" w:cs="Times New Roman"/>
                <w:b/>
                <w:color w:val="auto"/>
                <w:sz w:val="21"/>
                <w:szCs w:val="21"/>
              </w:rPr>
            </w:pPr>
            <w:r>
              <w:rPr>
                <w:rFonts w:ascii="Times New Roman" w:hAnsi="Times New Roman" w:eastAsia="仿宋_GB2312" w:cs="Times New Roman"/>
                <w:color w:val="auto"/>
                <w:kern w:val="0"/>
                <w:sz w:val="21"/>
                <w:szCs w:val="21"/>
              </w:rPr>
              <w:t>厂区绿化</w:t>
            </w:r>
          </w:p>
        </w:tc>
        <w:tc>
          <w:tcPr>
            <w:tcW w:w="480"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490"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0.02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59"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雨水管</w:t>
            </w:r>
          </w:p>
        </w:tc>
        <w:tc>
          <w:tcPr>
            <w:tcW w:w="483"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511"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585</w:t>
            </w:r>
          </w:p>
        </w:tc>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120"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撒播草籽</w:t>
            </w:r>
          </w:p>
        </w:tc>
        <w:tc>
          <w:tcPr>
            <w:tcW w:w="480"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490" w:type="pct"/>
            <w:vAlign w:val="center"/>
          </w:tcPr>
          <w:p>
            <w:pPr>
              <w:widowControl/>
              <w:spacing w:line="240" w:lineRule="atLeast"/>
              <w:jc w:val="center"/>
              <w:textAlignment w:val="center"/>
              <w:rPr>
                <w:rFonts w:hint="default" w:ascii="Times New Roman" w:hAnsi="Times New Roman" w:eastAsia="仿宋_GB2312" w:cs="Times New Roman"/>
                <w:color w:val="auto"/>
                <w:kern w:val="0"/>
                <w:sz w:val="21"/>
                <w:szCs w:val="21"/>
                <w:lang w:val="en-US" w:eastAsia="zh-CN"/>
              </w:rPr>
            </w:pPr>
            <w:r>
              <w:rPr>
                <w:rFonts w:hint="eastAsia" w:ascii="Times New Roman" w:hAnsi="Times New Roman" w:eastAsia="仿宋_GB2312" w:cs="Times New Roman"/>
                <w:color w:val="auto"/>
                <w:kern w:val="0"/>
                <w:sz w:val="21"/>
                <w:szCs w:val="21"/>
                <w:lang w:val="en-US" w:eastAsia="zh-CN"/>
              </w:rPr>
              <w:t>8.05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059"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雨水口</w:t>
            </w:r>
          </w:p>
        </w:tc>
        <w:tc>
          <w:tcPr>
            <w:tcW w:w="483"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个</w:t>
            </w:r>
          </w:p>
        </w:tc>
        <w:tc>
          <w:tcPr>
            <w:tcW w:w="511"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23</w:t>
            </w:r>
          </w:p>
        </w:tc>
        <w:tc>
          <w:tcPr>
            <w:tcW w:w="427" w:type="pct"/>
            <w:vAlign w:val="center"/>
          </w:tcPr>
          <w:p>
            <w:pPr>
              <w:jc w:val="center"/>
              <w:rPr>
                <w:rFonts w:ascii="Times New Roman" w:hAnsi="Times New Roman" w:eastAsia="仿宋_GB2312" w:cs="Times New Roman"/>
                <w:color w:val="auto"/>
                <w:sz w:val="21"/>
                <w:szCs w:val="21"/>
              </w:rPr>
            </w:pPr>
          </w:p>
        </w:tc>
        <w:tc>
          <w:tcPr>
            <w:tcW w:w="1120" w:type="pct"/>
            <w:vAlign w:val="center"/>
          </w:tcPr>
          <w:p>
            <w:pPr>
              <w:widowControl/>
              <w:spacing w:line="240" w:lineRule="atLeast"/>
              <w:jc w:val="center"/>
              <w:textAlignment w:val="center"/>
              <w:rPr>
                <w:rFonts w:ascii="仿宋_GB2312" w:hAnsi="Times New Roman" w:eastAsia="仿宋_GB2312" w:cs="Times New Roman"/>
                <w:color w:val="auto"/>
                <w:sz w:val="21"/>
                <w:szCs w:val="21"/>
              </w:rPr>
            </w:pPr>
          </w:p>
        </w:tc>
        <w:tc>
          <w:tcPr>
            <w:tcW w:w="480" w:type="pct"/>
            <w:vAlign w:val="center"/>
          </w:tcPr>
          <w:p>
            <w:pPr>
              <w:widowControl/>
              <w:spacing w:line="240" w:lineRule="atLeast"/>
              <w:jc w:val="center"/>
              <w:rPr>
                <w:rFonts w:ascii="Times New Roman" w:hAnsi="Times New Roman" w:eastAsia="仿宋_GB2312" w:cs="Times New Roman"/>
                <w:color w:val="auto"/>
                <w:sz w:val="21"/>
                <w:szCs w:val="21"/>
              </w:rPr>
            </w:pPr>
          </w:p>
        </w:tc>
        <w:tc>
          <w:tcPr>
            <w:tcW w:w="490"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p>
        </w:tc>
      </w:tr>
    </w:tbl>
    <w:p>
      <w:pPr>
        <w:pStyle w:val="180"/>
        <w:spacing w:line="360" w:lineRule="auto"/>
        <w:ind w:firstLine="420"/>
        <w:rPr>
          <w:rFonts w:hint="default" w:ascii="Times New Roman" w:hAnsi="Times New Roman" w:eastAsia="仿宋_GB2312" w:cs="Times New Roman"/>
          <w:color w:val="auto"/>
          <w:szCs w:val="24"/>
        </w:rPr>
      </w:pPr>
      <w:r>
        <w:rPr>
          <w:rFonts w:ascii="Times New Roman" w:hAnsi="Times New Roman" w:eastAsia="仿宋_GB2312" w:cs="Times New Roman"/>
          <w:color w:val="auto"/>
          <w:szCs w:val="24"/>
        </w:rPr>
        <w:t>注：</w:t>
      </w:r>
      <w:r>
        <w:rPr>
          <w:rFonts w:ascii="宋体" w:hAnsi="宋体" w:cs="宋体"/>
          <w:bCs/>
          <w:color w:val="auto"/>
          <w:szCs w:val="24"/>
        </w:rPr>
        <w:t>◆</w:t>
      </w:r>
      <w:r>
        <w:rPr>
          <w:rFonts w:ascii="Times New Roman" w:hAnsi="Times New Roman" w:eastAsia="仿宋_GB2312" w:cs="Times New Roman"/>
          <w:color w:val="auto"/>
          <w:szCs w:val="24"/>
        </w:rPr>
        <w:t>表示本</w:t>
      </w:r>
      <w:r>
        <w:rPr>
          <w:rFonts w:hint="eastAsia" w:ascii="Times New Roman" w:hAnsi="Times New Roman" w:eastAsia="仿宋_GB2312" w:cs="Times New Roman"/>
          <w:color w:val="auto"/>
          <w:szCs w:val="24"/>
          <w:lang w:val="en-US" w:eastAsia="zh-CN"/>
        </w:rPr>
        <w:t>区域评估报告</w:t>
      </w:r>
      <w:r>
        <w:rPr>
          <w:rFonts w:ascii="Times New Roman" w:hAnsi="Times New Roman" w:eastAsia="仿宋_GB2312" w:cs="Times New Roman"/>
          <w:color w:val="auto"/>
          <w:szCs w:val="24"/>
        </w:rPr>
        <w:t>新增或补充完善措施</w:t>
      </w:r>
    </w:p>
    <w:p>
      <w:pPr>
        <w:spacing w:line="360" w:lineRule="auto"/>
        <w:ind w:firstLine="482" w:firstLineChars="200"/>
        <w:rPr>
          <w:rFonts w:ascii="Times New Roman" w:hAnsi="Times New Roman" w:eastAsia="仿宋_GB2312"/>
          <w:b/>
          <w:color w:val="auto"/>
        </w:rPr>
      </w:pPr>
      <w:r>
        <w:rPr>
          <w:rFonts w:hint="eastAsia" w:ascii="Times New Roman" w:hAnsi="Times New Roman" w:eastAsia="仿宋_GB2312"/>
          <w:b/>
          <w:color w:val="auto"/>
        </w:rPr>
        <w:t>（二）在建工程防治区</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在建工程</w:t>
      </w:r>
      <w:r>
        <w:rPr>
          <w:rFonts w:ascii="Times New Roman" w:hAnsi="Times New Roman" w:eastAsia="仿宋_GB2312"/>
          <w:color w:val="auto"/>
        </w:rPr>
        <w:t>区为</w:t>
      </w:r>
      <w:r>
        <w:rPr>
          <w:rFonts w:hint="eastAsia" w:ascii="Times New Roman" w:hAnsi="Times New Roman" w:eastAsia="仿宋_GB2312"/>
          <w:color w:val="auto"/>
        </w:rPr>
        <w:t>评估前已批复水土保持方案且正在建设</w:t>
      </w:r>
      <w:r>
        <w:rPr>
          <w:rFonts w:hint="eastAsia" w:ascii="Times New Roman" w:hAnsi="Times New Roman" w:eastAsia="仿宋_GB2312" w:cs="Times New Roman"/>
          <w:color w:val="auto"/>
          <w:szCs w:val="24"/>
        </w:rPr>
        <w:t>南昌电子信息（LED）产业创新示范园（二期）一组团项目</w:t>
      </w:r>
      <w:r>
        <w:rPr>
          <w:rFonts w:hint="eastAsia" w:ascii="Times New Roman" w:hAnsi="Times New Roman" w:eastAsia="仿宋_GB2312"/>
          <w:color w:val="auto"/>
        </w:rPr>
        <w:t>的E17和E21地块部分区域</w:t>
      </w:r>
      <w:r>
        <w:rPr>
          <w:rFonts w:hint="eastAsia" w:ascii="Times New Roman" w:hAnsi="Times New Roman" w:eastAsia="仿宋_GB2312"/>
          <w:color w:val="auto"/>
          <w:lang w:eastAsia="zh-CN"/>
        </w:rPr>
        <w:t>，其地块内已实施水保措施纳入其编报的水保方案防治措施体系中，其措施工程量详见本评估报告的章节</w:t>
      </w:r>
      <w:r>
        <w:rPr>
          <w:rFonts w:hint="eastAsia" w:ascii="Times New Roman" w:hAnsi="Times New Roman" w:eastAsia="仿宋_GB2312"/>
          <w:color w:val="auto"/>
          <w:lang w:val="en-US" w:eastAsia="zh-CN"/>
        </w:rPr>
        <w:t>3.2.7</w:t>
      </w:r>
      <w:r>
        <w:rPr>
          <w:rFonts w:eastAsia="仿宋_GB2312"/>
          <w:bCs w:val="0"/>
          <w:color w:val="auto"/>
          <w:szCs w:val="30"/>
        </w:rPr>
        <w:t>主体设计中具有水土保持功能工程的评价</w:t>
      </w:r>
      <w:r>
        <w:rPr>
          <w:rFonts w:hint="eastAsia" w:ascii="Times New Roman" w:hAnsi="Times New Roman" w:eastAsia="仿宋_GB2312"/>
          <w:color w:val="auto"/>
          <w:lang w:val="en-US" w:eastAsia="zh-CN"/>
        </w:rPr>
        <w:t>，故不纳入本评估报告措施体系中</w:t>
      </w:r>
      <w:r>
        <w:rPr>
          <w:rFonts w:ascii="Times New Roman" w:hAnsi="Times New Roman" w:eastAsia="仿宋_GB2312"/>
          <w:color w:val="auto"/>
        </w:rPr>
        <w:t>。</w:t>
      </w:r>
    </w:p>
    <w:p>
      <w:pPr>
        <w:spacing w:line="360" w:lineRule="auto"/>
        <w:ind w:firstLine="482" w:firstLineChars="200"/>
        <w:rPr>
          <w:rFonts w:hint="eastAsia" w:ascii="Times New Roman" w:hAnsi="Times New Roman" w:eastAsia="仿宋_GB2312"/>
          <w:color w:val="auto"/>
        </w:rPr>
      </w:pPr>
      <w:r>
        <w:rPr>
          <w:rFonts w:hint="eastAsia" w:ascii="Times New Roman" w:hAnsi="Times New Roman" w:eastAsia="仿宋_GB2312"/>
          <w:b/>
          <w:color w:val="auto"/>
        </w:rPr>
        <w:t>（</w:t>
      </w:r>
      <w:r>
        <w:rPr>
          <w:rFonts w:hint="eastAsia" w:ascii="Times New Roman" w:hAnsi="Times New Roman" w:eastAsia="仿宋_GB2312"/>
          <w:b/>
          <w:color w:val="auto"/>
          <w:lang w:eastAsia="zh-CN"/>
        </w:rPr>
        <w:t>三</w:t>
      </w:r>
      <w:r>
        <w:rPr>
          <w:rFonts w:hint="eastAsia" w:ascii="Times New Roman" w:hAnsi="Times New Roman" w:eastAsia="仿宋_GB2312"/>
          <w:b/>
          <w:color w:val="auto"/>
        </w:rPr>
        <w:t>）</w:t>
      </w:r>
      <w:r>
        <w:rPr>
          <w:rFonts w:hint="eastAsia" w:ascii="Times New Roman" w:hAnsi="Times New Roman" w:eastAsia="仿宋_GB2312"/>
          <w:b/>
          <w:color w:val="auto"/>
          <w:lang w:eastAsia="zh-CN"/>
        </w:rPr>
        <w:t>待</w:t>
      </w:r>
      <w:r>
        <w:rPr>
          <w:rFonts w:hint="eastAsia" w:ascii="Times New Roman" w:hAnsi="Times New Roman" w:eastAsia="仿宋_GB2312"/>
          <w:b/>
          <w:color w:val="auto"/>
        </w:rPr>
        <w:t>建工程防治区</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本区域主体规划设计的水土保持措施包括：表土剥离、场地平整和撒播草籽；本方案将补充施工期间的临时排水沉沙及苫盖措施。</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（1）土地整治工程</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施工前</w:t>
      </w:r>
      <w:r>
        <w:rPr>
          <w:rFonts w:hint="eastAsia" w:ascii="Times New Roman" w:hAnsi="Times New Roman" w:eastAsia="仿宋_GB2312"/>
          <w:color w:val="auto"/>
        </w:rPr>
        <w:t>，</w:t>
      </w:r>
      <w:r>
        <w:rPr>
          <w:rFonts w:ascii="Times New Roman" w:hAnsi="Times New Roman" w:eastAsia="仿宋_GB2312"/>
          <w:color w:val="auto"/>
        </w:rPr>
        <w:t>对区域有表土的区域进行表土剥离</w:t>
      </w:r>
      <w:r>
        <w:rPr>
          <w:rFonts w:hint="eastAsia" w:ascii="Times New Roman" w:hAnsi="Times New Roman" w:eastAsia="仿宋_GB2312"/>
          <w:color w:val="auto"/>
        </w:rPr>
        <w:t>，</w:t>
      </w:r>
      <w:r>
        <w:rPr>
          <w:rFonts w:ascii="Times New Roman" w:hAnsi="Times New Roman" w:eastAsia="仿宋_GB2312"/>
          <w:color w:val="auto"/>
        </w:rPr>
        <w:t>剥离</w:t>
      </w:r>
      <w:r>
        <w:rPr>
          <w:rFonts w:hint="eastAsia" w:ascii="Times New Roman" w:hAnsi="Times New Roman" w:eastAsia="仿宋_GB2312"/>
          <w:color w:val="auto"/>
        </w:rPr>
        <w:t>的表土</w:t>
      </w:r>
      <w:r>
        <w:rPr>
          <w:rFonts w:ascii="Times New Roman" w:hAnsi="Times New Roman" w:eastAsia="仿宋_GB2312"/>
          <w:color w:val="auto"/>
        </w:rPr>
        <w:t>集中</w:t>
      </w:r>
      <w:r>
        <w:rPr>
          <w:rFonts w:hint="eastAsia" w:ascii="Times New Roman" w:hAnsi="Times New Roman" w:eastAsia="仿宋_GB2312"/>
          <w:color w:val="auto"/>
        </w:rPr>
        <w:t>堆放于表土堆场。场地整平后，对撒播草籽绿化区域进行场地平整。工程量：表土剥离0.</w:t>
      </w:r>
      <w:r>
        <w:rPr>
          <w:rFonts w:hint="eastAsia" w:ascii="Times New Roman" w:hAnsi="Times New Roman" w:eastAsia="仿宋_GB2312"/>
          <w:color w:val="auto"/>
          <w:lang w:val="en-US" w:eastAsia="zh-CN"/>
        </w:rPr>
        <w:t>28</w:t>
      </w:r>
      <w:r>
        <w:rPr>
          <w:rFonts w:hint="eastAsia" w:ascii="Times New Roman" w:hAnsi="Times New Roman" w:eastAsia="仿宋_GB2312"/>
          <w:color w:val="auto"/>
        </w:rPr>
        <w:t>万m</w:t>
      </w:r>
      <w:r>
        <w:rPr>
          <w:rFonts w:hint="eastAsia" w:ascii="Times New Roman" w:hAnsi="Times New Roman" w:eastAsia="仿宋_GB2312"/>
          <w:color w:val="auto"/>
          <w:vertAlign w:val="superscript"/>
        </w:rPr>
        <w:t>3</w:t>
      </w:r>
      <w:r>
        <w:rPr>
          <w:rFonts w:hint="eastAsia" w:ascii="Times New Roman" w:hAnsi="Times New Roman" w:eastAsia="仿宋_GB2312"/>
          <w:color w:val="auto"/>
        </w:rPr>
        <w:t>，场地平整</w:t>
      </w:r>
      <w:r>
        <w:rPr>
          <w:rFonts w:hint="eastAsia" w:ascii="Times New Roman" w:hAnsi="Times New Roman" w:eastAsia="仿宋_GB2312"/>
          <w:color w:val="auto"/>
          <w:lang w:val="en-US" w:eastAsia="zh-CN"/>
        </w:rPr>
        <w:t>18.17</w:t>
      </w:r>
      <w:r>
        <w:rPr>
          <w:rFonts w:hint="eastAsia" w:ascii="Times New Roman" w:hAnsi="Times New Roman" w:eastAsia="仿宋_GB2312"/>
          <w:color w:val="auto"/>
        </w:rPr>
        <w:t>hm</w:t>
      </w:r>
      <w:r>
        <w:rPr>
          <w:rFonts w:hint="eastAsia" w:ascii="Times New Roman" w:hAnsi="Times New Roman" w:eastAsia="仿宋_GB2312"/>
          <w:color w:val="auto"/>
          <w:vertAlign w:val="superscript"/>
        </w:rPr>
        <w:t>2</w:t>
      </w:r>
      <w:r>
        <w:rPr>
          <w:rFonts w:hint="eastAsia" w:ascii="Times New Roman" w:hAnsi="Times New Roman" w:eastAsia="仿宋_GB2312"/>
          <w:color w:val="auto"/>
        </w:rPr>
        <w:t>。</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（2）绿化工程</w:t>
      </w:r>
    </w:p>
    <w:p>
      <w:pPr>
        <w:widowControl/>
        <w:spacing w:line="360" w:lineRule="auto"/>
        <w:ind w:firstLine="480" w:firstLineChars="200"/>
        <w:jc w:val="left"/>
        <w:rPr>
          <w:rFonts w:ascii="Times New Roman" w:hAnsi="Times New Roman" w:eastAsia="仿宋_GB2312"/>
          <w:color w:val="auto"/>
        </w:rPr>
      </w:pPr>
      <w:r>
        <w:rPr>
          <w:rFonts w:ascii="仿宋_GB2312" w:hAnsi="宋体" w:eastAsia="仿宋_GB2312" w:cs="仿宋_GB2312"/>
          <w:color w:val="auto"/>
          <w:kern w:val="0"/>
          <w:szCs w:val="24"/>
        </w:rPr>
        <w:t>场地五通一平后，本</w:t>
      </w:r>
      <w:r>
        <w:rPr>
          <w:rFonts w:hint="eastAsia" w:ascii="仿宋_GB2312" w:hAnsi="宋体" w:eastAsia="仿宋_GB2312" w:cs="仿宋_GB2312"/>
          <w:color w:val="auto"/>
          <w:kern w:val="0"/>
          <w:szCs w:val="24"/>
          <w:lang w:val="en-US" w:eastAsia="zh-CN"/>
        </w:rPr>
        <w:t>区域评估报告</w:t>
      </w:r>
      <w:r>
        <w:rPr>
          <w:rFonts w:ascii="仿宋_GB2312" w:hAnsi="宋体" w:eastAsia="仿宋_GB2312" w:cs="仿宋_GB2312"/>
          <w:color w:val="auto"/>
          <w:kern w:val="0"/>
          <w:szCs w:val="24"/>
        </w:rPr>
        <w:t>对裸露区域实施撒播草籽，草籽选用</w:t>
      </w:r>
      <w:r>
        <w:rPr>
          <w:rFonts w:hint="eastAsia" w:ascii="仿宋_GB2312" w:hAnsi="宋体" w:eastAsia="仿宋_GB2312" w:cs="仿宋_GB2312"/>
          <w:color w:val="auto"/>
          <w:kern w:val="0"/>
          <w:szCs w:val="24"/>
        </w:rPr>
        <w:t>狗牙根与黑麦草混播，混播密度为</w:t>
      </w:r>
      <w:r>
        <w:rPr>
          <w:rFonts w:ascii="Times New Roman" w:hAnsi="Times New Roman" w:cs="Times New Roman"/>
          <w:color w:val="auto"/>
          <w:kern w:val="0"/>
          <w:szCs w:val="24"/>
        </w:rPr>
        <w:t>80kg/hm</w:t>
      </w:r>
      <w:r>
        <w:rPr>
          <w:rFonts w:hint="eastAsia" w:ascii="Times New Roman" w:hAnsi="Times New Roman" w:cs="Times New Roman"/>
          <w:color w:val="auto"/>
          <w:kern w:val="0"/>
          <w:szCs w:val="24"/>
          <w:vertAlign w:val="superscript"/>
        </w:rPr>
        <w:t>2</w:t>
      </w:r>
      <w:r>
        <w:rPr>
          <w:rFonts w:hint="eastAsia" w:ascii="仿宋_GB2312" w:hAnsi="宋体" w:eastAsia="仿宋_GB2312" w:cs="仿宋_GB2312"/>
          <w:color w:val="auto"/>
          <w:kern w:val="0"/>
          <w:szCs w:val="24"/>
        </w:rPr>
        <w:t>。工程量：撒播草籽面积</w:t>
      </w:r>
      <w:r>
        <w:rPr>
          <w:rFonts w:hint="default" w:ascii="Times New Roman" w:hAnsi="Times New Roman" w:eastAsia="仿宋_GB2312" w:cs="Times New Roman"/>
          <w:color w:val="auto"/>
          <w:kern w:val="0"/>
          <w:szCs w:val="24"/>
          <w:lang w:val="en-US" w:eastAsia="zh-CN"/>
        </w:rPr>
        <w:t>18.17</w:t>
      </w:r>
      <w:r>
        <w:rPr>
          <w:rFonts w:ascii="Times New Roman" w:hAnsi="Times New Roman" w:cs="Times New Roman"/>
          <w:color w:val="auto"/>
          <w:kern w:val="0"/>
          <w:szCs w:val="24"/>
        </w:rPr>
        <w:t>hm</w:t>
      </w:r>
      <w:r>
        <w:rPr>
          <w:rFonts w:hint="eastAsia" w:ascii="Times New Roman" w:hAnsi="Times New Roman" w:cs="Times New Roman"/>
          <w:color w:val="auto"/>
          <w:kern w:val="0"/>
          <w:szCs w:val="24"/>
          <w:vertAlign w:val="superscript"/>
        </w:rPr>
        <w:t>2</w:t>
      </w:r>
      <w:r>
        <w:rPr>
          <w:rFonts w:hint="eastAsia" w:ascii="仿宋_GB2312" w:hAnsi="宋体" w:eastAsia="仿宋_GB2312" w:cs="仿宋_GB2312"/>
          <w:color w:val="auto"/>
          <w:kern w:val="0"/>
          <w:szCs w:val="24"/>
        </w:rPr>
        <w:t>。</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（3）临时防护工程</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施工期间，在场地周边直接开挖土质排水沟组织场地雨水走</w:t>
      </w:r>
      <w:r>
        <w:rPr>
          <w:rFonts w:hint="eastAsia" w:ascii="Times New Roman" w:hAnsi="Times New Roman" w:eastAsia="仿宋_GB2312"/>
          <w:color w:val="auto"/>
        </w:rPr>
        <w:t>向，并沿排水沟布设沉沙池，雨水经沉沙后排水周边沟渠或水系。施工后期，待场地整平后，区域内地表裸露，对裸露区域实施临时苫盖。工程量：临时排水沟</w:t>
      </w:r>
      <w:r>
        <w:rPr>
          <w:rFonts w:hint="eastAsia" w:ascii="Times New Roman" w:hAnsi="Times New Roman" w:eastAsia="仿宋_GB2312"/>
          <w:color w:val="auto"/>
          <w:lang w:val="en-US" w:eastAsia="zh-CN"/>
        </w:rPr>
        <w:t>1826</w:t>
      </w:r>
      <w:r>
        <w:rPr>
          <w:rFonts w:hint="eastAsia" w:ascii="Times New Roman" w:hAnsi="Times New Roman" w:eastAsia="仿宋_GB2312"/>
          <w:color w:val="auto"/>
        </w:rPr>
        <w:t>m、临时沉沙池</w:t>
      </w:r>
      <w:r>
        <w:rPr>
          <w:rFonts w:hint="eastAsia" w:ascii="Times New Roman" w:hAnsi="Times New Roman" w:eastAsia="仿宋_GB2312"/>
          <w:color w:val="auto"/>
          <w:lang w:val="en-US" w:eastAsia="zh-CN"/>
        </w:rPr>
        <w:t>112</w:t>
      </w:r>
      <w:r>
        <w:rPr>
          <w:rFonts w:hint="eastAsia" w:ascii="Times New Roman" w:hAnsi="Times New Roman" w:eastAsia="仿宋_GB2312"/>
          <w:color w:val="auto"/>
        </w:rPr>
        <w:t>座、苫布覆盖</w:t>
      </w:r>
      <w:r>
        <w:rPr>
          <w:rFonts w:hint="eastAsia" w:ascii="Times New Roman" w:hAnsi="Times New Roman" w:eastAsia="仿宋_GB2312"/>
          <w:color w:val="auto"/>
          <w:lang w:val="en-US" w:eastAsia="zh-CN"/>
        </w:rPr>
        <w:t>18.17</w:t>
      </w:r>
      <w:r>
        <w:rPr>
          <w:rFonts w:ascii="Times New Roman" w:hAnsi="Times New Roman" w:eastAsia="仿宋_GB2312"/>
          <w:color w:val="auto"/>
        </w:rPr>
        <w:t>hm</w:t>
      </w:r>
      <w:r>
        <w:rPr>
          <w:rFonts w:ascii="Times New Roman" w:hAnsi="Times New Roman" w:eastAsia="仿宋_GB2312"/>
          <w:color w:val="auto"/>
          <w:vertAlign w:val="superscript"/>
        </w:rPr>
        <w:t>2</w:t>
      </w:r>
      <w:r>
        <w:rPr>
          <w:rFonts w:hint="eastAsia" w:ascii="Times New Roman" w:hAnsi="Times New Roman" w:eastAsia="仿宋_GB2312"/>
          <w:color w:val="auto"/>
        </w:rPr>
        <w:t>。</w:t>
      </w:r>
    </w:p>
    <w:p>
      <w:pPr>
        <w:spacing w:line="360" w:lineRule="auto"/>
        <w:ind w:firstLine="480" w:firstLineChars="200"/>
        <w:rPr>
          <w:rFonts w:ascii="Times New Roman" w:hAnsi="Times New Roman" w:eastAsia="仿宋_GB2312" w:cs="Times New Roman"/>
          <w:color w:val="auto"/>
        </w:rPr>
      </w:pPr>
      <w:r>
        <w:rPr>
          <w:rFonts w:hint="eastAsia" w:ascii="Times New Roman" w:hAnsi="Times New Roman" w:eastAsia="仿宋_GB2312"/>
          <w:color w:val="auto"/>
        </w:rPr>
        <w:t>待建工程防治区</w:t>
      </w:r>
      <w:r>
        <w:rPr>
          <w:rFonts w:ascii="Times New Roman" w:hAnsi="Times New Roman" w:eastAsia="仿宋_GB2312" w:cs="Times New Roman"/>
          <w:color w:val="auto"/>
        </w:rPr>
        <w:t>水土保持措施工程量详见表5.3-</w:t>
      </w:r>
      <w:r>
        <w:rPr>
          <w:rFonts w:hint="eastAsia" w:ascii="Times New Roman" w:hAnsi="Times New Roman" w:eastAsia="仿宋_GB2312" w:cs="Times New Roman"/>
          <w:color w:val="auto"/>
          <w:lang w:val="en-US" w:eastAsia="zh-CN"/>
        </w:rPr>
        <w:t>5</w:t>
      </w:r>
      <w:r>
        <w:rPr>
          <w:rFonts w:ascii="Times New Roman" w:hAnsi="Times New Roman" w:eastAsia="仿宋_GB2312" w:cs="Times New Roman"/>
          <w:color w:val="auto"/>
        </w:rPr>
        <w:t>。</w:t>
      </w:r>
    </w:p>
    <w:p>
      <w:pPr>
        <w:spacing w:line="360" w:lineRule="auto"/>
        <w:jc w:val="center"/>
        <w:rPr>
          <w:rFonts w:ascii="Times New Roman" w:hAnsi="Times New Roman" w:eastAsia="仿宋_GB2312" w:cs="Times New Roman"/>
          <w:b/>
          <w:color w:val="auto"/>
        </w:rPr>
      </w:pPr>
      <w:r>
        <w:rPr>
          <w:rFonts w:ascii="Times New Roman" w:hAnsi="Times New Roman" w:eastAsia="仿宋_GB2312" w:cs="Times New Roman"/>
          <w:b/>
          <w:color w:val="auto"/>
        </w:rPr>
        <w:t>表5.3-</w:t>
      </w:r>
      <w:r>
        <w:rPr>
          <w:rFonts w:hint="eastAsia" w:ascii="Times New Roman" w:hAnsi="Times New Roman" w:eastAsia="仿宋_GB2312" w:cs="Times New Roman"/>
          <w:b/>
          <w:color w:val="auto"/>
        </w:rPr>
        <w:t>5</w:t>
      </w:r>
      <w:r>
        <w:rPr>
          <w:rFonts w:ascii="Times New Roman" w:hAnsi="Times New Roman" w:eastAsia="仿宋_GB2312" w:cs="Times New Roman"/>
          <w:b/>
          <w:color w:val="auto"/>
        </w:rPr>
        <w:t>：</w:t>
      </w:r>
      <w:r>
        <w:rPr>
          <w:rFonts w:hint="eastAsia" w:ascii="Times New Roman" w:hAnsi="Times New Roman" w:eastAsia="仿宋_GB2312"/>
          <w:b/>
          <w:color w:val="auto"/>
          <w:lang w:eastAsia="zh-CN"/>
        </w:rPr>
        <w:t>待</w:t>
      </w:r>
      <w:r>
        <w:rPr>
          <w:rFonts w:hint="eastAsia" w:ascii="Times New Roman" w:hAnsi="Times New Roman" w:eastAsia="仿宋_GB2312"/>
          <w:b/>
          <w:color w:val="auto"/>
        </w:rPr>
        <w:t>建工程防治区</w:t>
      </w:r>
      <w:r>
        <w:rPr>
          <w:rFonts w:ascii="Times New Roman" w:hAnsi="Times New Roman" w:eastAsia="仿宋_GB2312" w:cs="Times New Roman"/>
          <w:b/>
          <w:color w:val="auto"/>
        </w:rPr>
        <w:t>水土保持措施工程量表</w:t>
      </w:r>
    </w:p>
    <w:tbl>
      <w:tblPr>
        <w:tblStyle w:val="37"/>
        <w:tblW w:w="508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41"/>
        <w:gridCol w:w="1838"/>
        <w:gridCol w:w="838"/>
        <w:gridCol w:w="887"/>
        <w:gridCol w:w="741"/>
        <w:gridCol w:w="1944"/>
        <w:gridCol w:w="833"/>
        <w:gridCol w:w="85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427"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序号</w:t>
            </w:r>
          </w:p>
        </w:tc>
        <w:tc>
          <w:tcPr>
            <w:tcW w:w="1059" w:type="pct"/>
            <w:vAlign w:val="center"/>
          </w:tcPr>
          <w:p>
            <w:pPr>
              <w:jc w:val="center"/>
              <w:rPr>
                <w:rFonts w:ascii="Times New Roman" w:hAnsi="Times New Roman" w:eastAsia="仿宋_GB2312" w:cs="Times New Roman"/>
                <w:b/>
                <w:bCs/>
                <w:color w:val="auto"/>
                <w:sz w:val="21"/>
                <w:szCs w:val="21"/>
              </w:rPr>
            </w:pPr>
            <w:r>
              <w:rPr>
                <w:rFonts w:hint="eastAsia" w:ascii="Times New Roman" w:hAnsi="Times New Roman" w:eastAsia="仿宋_GB2312" w:cs="Times New Roman"/>
                <w:b/>
                <w:bCs/>
                <w:color w:val="auto"/>
                <w:sz w:val="21"/>
                <w:szCs w:val="21"/>
                <w:lang w:val="en-US" w:eastAsia="zh-CN"/>
              </w:rPr>
              <w:t>措施</w:t>
            </w:r>
            <w:r>
              <w:rPr>
                <w:rFonts w:ascii="Times New Roman" w:hAnsi="Times New Roman" w:eastAsia="仿宋_GB2312" w:cs="Times New Roman"/>
                <w:b/>
                <w:bCs/>
                <w:color w:val="auto"/>
                <w:sz w:val="21"/>
                <w:szCs w:val="21"/>
              </w:rPr>
              <w:t>名称</w:t>
            </w:r>
          </w:p>
        </w:tc>
        <w:tc>
          <w:tcPr>
            <w:tcW w:w="483"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单位</w:t>
            </w:r>
          </w:p>
        </w:tc>
        <w:tc>
          <w:tcPr>
            <w:tcW w:w="511"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工程量</w:t>
            </w:r>
          </w:p>
        </w:tc>
        <w:tc>
          <w:tcPr>
            <w:tcW w:w="427"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序号</w:t>
            </w:r>
          </w:p>
        </w:tc>
        <w:tc>
          <w:tcPr>
            <w:tcW w:w="1120" w:type="pct"/>
            <w:vAlign w:val="center"/>
          </w:tcPr>
          <w:p>
            <w:pPr>
              <w:jc w:val="center"/>
              <w:rPr>
                <w:rFonts w:ascii="Times New Roman" w:hAnsi="Times New Roman" w:eastAsia="仿宋_GB2312" w:cs="Times New Roman"/>
                <w:b/>
                <w:bCs/>
                <w:color w:val="auto"/>
                <w:sz w:val="21"/>
                <w:szCs w:val="21"/>
              </w:rPr>
            </w:pPr>
            <w:r>
              <w:rPr>
                <w:rFonts w:hint="eastAsia" w:ascii="Times New Roman" w:hAnsi="Times New Roman" w:eastAsia="仿宋_GB2312" w:cs="Times New Roman"/>
                <w:b/>
                <w:bCs/>
                <w:color w:val="auto"/>
                <w:sz w:val="21"/>
                <w:szCs w:val="21"/>
                <w:lang w:val="en-US" w:eastAsia="zh-CN"/>
              </w:rPr>
              <w:t>措施</w:t>
            </w:r>
            <w:r>
              <w:rPr>
                <w:rFonts w:ascii="Times New Roman" w:hAnsi="Times New Roman" w:eastAsia="仿宋_GB2312" w:cs="Times New Roman"/>
                <w:b/>
                <w:bCs/>
                <w:color w:val="auto"/>
                <w:sz w:val="21"/>
                <w:szCs w:val="21"/>
              </w:rPr>
              <w:t>名称</w:t>
            </w:r>
          </w:p>
        </w:tc>
        <w:tc>
          <w:tcPr>
            <w:tcW w:w="480"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单位</w:t>
            </w:r>
          </w:p>
        </w:tc>
        <w:tc>
          <w:tcPr>
            <w:tcW w:w="490"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工程量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427" w:type="pct"/>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一</w:t>
            </w:r>
          </w:p>
        </w:tc>
        <w:tc>
          <w:tcPr>
            <w:tcW w:w="1059" w:type="pct"/>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工程措施</w:t>
            </w:r>
          </w:p>
        </w:tc>
        <w:tc>
          <w:tcPr>
            <w:tcW w:w="483" w:type="pct"/>
            <w:vAlign w:val="center"/>
          </w:tcPr>
          <w:p>
            <w:pPr>
              <w:jc w:val="center"/>
              <w:rPr>
                <w:rFonts w:ascii="Times New Roman" w:hAnsi="Times New Roman" w:eastAsia="仿宋_GB2312" w:cs="Times New Roman"/>
                <w:color w:val="auto"/>
                <w:sz w:val="21"/>
                <w:szCs w:val="21"/>
              </w:rPr>
            </w:pPr>
          </w:p>
        </w:tc>
        <w:tc>
          <w:tcPr>
            <w:tcW w:w="511" w:type="pct"/>
            <w:vAlign w:val="center"/>
          </w:tcPr>
          <w:p>
            <w:pPr>
              <w:jc w:val="center"/>
              <w:rPr>
                <w:rFonts w:ascii="Times New Roman" w:hAnsi="Times New Roman" w:eastAsia="仿宋_GB2312" w:cs="Times New Roman"/>
                <w:color w:val="auto"/>
                <w:sz w:val="21"/>
                <w:szCs w:val="21"/>
              </w:rPr>
            </w:pPr>
          </w:p>
        </w:tc>
        <w:tc>
          <w:tcPr>
            <w:tcW w:w="427" w:type="pct"/>
            <w:vAlign w:val="center"/>
          </w:tcPr>
          <w:p>
            <w:pPr>
              <w:widowControl/>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（1）</w:t>
            </w:r>
          </w:p>
        </w:tc>
        <w:tc>
          <w:tcPr>
            <w:tcW w:w="1120"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撒播草籽</w:t>
            </w:r>
          </w:p>
        </w:tc>
        <w:tc>
          <w:tcPr>
            <w:tcW w:w="480"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490" w:type="pct"/>
            <w:vAlign w:val="center"/>
          </w:tcPr>
          <w:p>
            <w:pPr>
              <w:widowControl/>
              <w:spacing w:line="240" w:lineRule="atLeast"/>
              <w:jc w:val="center"/>
              <w:textAlignment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rPr>
              <w:t>1</w:t>
            </w:r>
            <w:r>
              <w:rPr>
                <w:rFonts w:hint="eastAsia" w:ascii="Times New Roman" w:hAnsi="Times New Roman" w:eastAsia="仿宋_GB2312" w:cs="Times New Roman"/>
                <w:color w:val="auto"/>
                <w:sz w:val="21"/>
                <w:szCs w:val="21"/>
                <w:lang w:val="en-US" w:eastAsia="zh-CN"/>
              </w:rPr>
              <w:t>8.17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59"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土地整治工程</w:t>
            </w:r>
          </w:p>
        </w:tc>
        <w:tc>
          <w:tcPr>
            <w:tcW w:w="483" w:type="pct"/>
            <w:vAlign w:val="center"/>
          </w:tcPr>
          <w:p>
            <w:pPr>
              <w:jc w:val="center"/>
              <w:rPr>
                <w:rFonts w:ascii="Times New Roman" w:hAnsi="Times New Roman" w:eastAsia="仿宋_GB2312" w:cs="Times New Roman"/>
                <w:color w:val="auto"/>
                <w:sz w:val="21"/>
                <w:szCs w:val="21"/>
              </w:rPr>
            </w:pPr>
          </w:p>
        </w:tc>
        <w:tc>
          <w:tcPr>
            <w:tcW w:w="511" w:type="pct"/>
            <w:vAlign w:val="center"/>
          </w:tcPr>
          <w:p>
            <w:pPr>
              <w:jc w:val="center"/>
              <w:rPr>
                <w:rFonts w:ascii="Times New Roman" w:hAnsi="Times New Roman" w:eastAsia="仿宋_GB2312" w:cs="Times New Roman"/>
                <w:color w:val="auto"/>
                <w:sz w:val="21"/>
                <w:szCs w:val="21"/>
              </w:rPr>
            </w:pPr>
          </w:p>
        </w:tc>
        <w:tc>
          <w:tcPr>
            <w:tcW w:w="427" w:type="pct"/>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三</w:t>
            </w:r>
          </w:p>
        </w:tc>
        <w:tc>
          <w:tcPr>
            <w:tcW w:w="1120" w:type="pct"/>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临时措施</w:t>
            </w:r>
          </w:p>
        </w:tc>
        <w:tc>
          <w:tcPr>
            <w:tcW w:w="480" w:type="pct"/>
            <w:vAlign w:val="center"/>
          </w:tcPr>
          <w:p>
            <w:pPr>
              <w:jc w:val="center"/>
              <w:rPr>
                <w:rFonts w:ascii="Times New Roman" w:hAnsi="Times New Roman" w:eastAsia="仿宋_GB2312" w:cs="Times New Roman"/>
                <w:color w:val="auto"/>
                <w:sz w:val="21"/>
                <w:szCs w:val="21"/>
              </w:rPr>
            </w:pPr>
          </w:p>
        </w:tc>
        <w:tc>
          <w:tcPr>
            <w:tcW w:w="490" w:type="pct"/>
            <w:vAlign w:val="center"/>
          </w:tcPr>
          <w:p>
            <w:pPr>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59"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表土剥离</w:t>
            </w:r>
          </w:p>
        </w:tc>
        <w:tc>
          <w:tcPr>
            <w:tcW w:w="483"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万m</w:t>
            </w:r>
            <w:r>
              <w:rPr>
                <w:rFonts w:ascii="Times New Roman" w:hAnsi="Times New Roman" w:eastAsia="仿宋_GB2312" w:cs="Times New Roman"/>
                <w:color w:val="auto"/>
                <w:sz w:val="21"/>
                <w:szCs w:val="21"/>
                <w:vertAlign w:val="superscript"/>
              </w:rPr>
              <w:t>3</w:t>
            </w:r>
          </w:p>
        </w:tc>
        <w:tc>
          <w:tcPr>
            <w:tcW w:w="511" w:type="pct"/>
            <w:vAlign w:val="center"/>
          </w:tcPr>
          <w:p>
            <w:pPr>
              <w:widowControl/>
              <w:spacing w:line="240" w:lineRule="atLeast"/>
              <w:jc w:val="center"/>
              <w:textAlignment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rPr>
              <w:t>0.</w:t>
            </w:r>
            <w:r>
              <w:rPr>
                <w:rFonts w:hint="eastAsia" w:ascii="Times New Roman" w:hAnsi="Times New Roman" w:eastAsia="仿宋_GB2312" w:cs="Times New Roman"/>
                <w:color w:val="auto"/>
                <w:sz w:val="21"/>
                <w:szCs w:val="21"/>
                <w:lang w:val="en-US" w:eastAsia="zh-CN"/>
              </w:rPr>
              <w:t>28</w:t>
            </w:r>
          </w:p>
        </w:tc>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20"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临时防护工程</w:t>
            </w:r>
          </w:p>
        </w:tc>
        <w:tc>
          <w:tcPr>
            <w:tcW w:w="480" w:type="pct"/>
            <w:vAlign w:val="center"/>
          </w:tcPr>
          <w:p>
            <w:pPr>
              <w:widowControl/>
              <w:spacing w:line="240" w:lineRule="atLeast"/>
              <w:jc w:val="center"/>
              <w:rPr>
                <w:rFonts w:ascii="Times New Roman" w:hAnsi="Times New Roman" w:eastAsia="仿宋_GB2312" w:cs="Times New Roman"/>
                <w:color w:val="auto"/>
                <w:sz w:val="21"/>
                <w:szCs w:val="21"/>
              </w:rPr>
            </w:pPr>
          </w:p>
        </w:tc>
        <w:tc>
          <w:tcPr>
            <w:tcW w:w="490"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059"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场地平整</w:t>
            </w:r>
          </w:p>
        </w:tc>
        <w:tc>
          <w:tcPr>
            <w:tcW w:w="483"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511" w:type="pct"/>
            <w:vAlign w:val="center"/>
          </w:tcPr>
          <w:p>
            <w:pPr>
              <w:widowControl/>
              <w:spacing w:line="240" w:lineRule="atLeast"/>
              <w:jc w:val="center"/>
              <w:textAlignment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rPr>
              <w:t>1</w:t>
            </w:r>
            <w:r>
              <w:rPr>
                <w:rFonts w:hint="eastAsia" w:ascii="Times New Roman" w:hAnsi="Times New Roman" w:eastAsia="仿宋_GB2312" w:cs="Times New Roman"/>
                <w:color w:val="auto"/>
                <w:sz w:val="21"/>
                <w:szCs w:val="21"/>
                <w:lang w:val="en-US" w:eastAsia="zh-CN"/>
              </w:rPr>
              <w:t>8.17</w:t>
            </w:r>
          </w:p>
        </w:tc>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120" w:type="pct"/>
            <w:vAlign w:val="center"/>
          </w:tcPr>
          <w:p>
            <w:pPr>
              <w:widowControl/>
              <w:spacing w:line="240" w:lineRule="atLeast"/>
              <w:jc w:val="center"/>
              <w:textAlignment w:val="center"/>
              <w:rPr>
                <w:rFonts w:ascii="仿宋_GB2312" w:hAnsi="Times New Roman" w:eastAsia="仿宋_GB2312" w:cs="Times New Roman"/>
                <w:color w:val="auto"/>
                <w:sz w:val="21"/>
                <w:szCs w:val="21"/>
              </w:rPr>
            </w:pPr>
            <w:r>
              <w:rPr>
                <w:rFonts w:hint="eastAsia" w:ascii="仿宋_GB2312" w:hAnsi="Times New Roman" w:eastAsia="仿宋_GB2312" w:cs="Times New Roman"/>
                <w:color w:val="auto"/>
                <w:kern w:val="0"/>
                <w:sz w:val="21"/>
                <w:szCs w:val="21"/>
              </w:rPr>
              <w:t>临时排水沟◆</w:t>
            </w:r>
          </w:p>
        </w:tc>
        <w:tc>
          <w:tcPr>
            <w:tcW w:w="480"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490" w:type="pct"/>
            <w:vAlign w:val="center"/>
          </w:tcPr>
          <w:p>
            <w:pPr>
              <w:widowControl/>
              <w:spacing w:line="240" w:lineRule="atLeast"/>
              <w:jc w:val="center"/>
              <w:textAlignment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1826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427" w:type="pct"/>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二</w:t>
            </w:r>
          </w:p>
        </w:tc>
        <w:tc>
          <w:tcPr>
            <w:tcW w:w="1059" w:type="pct"/>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植物措施</w:t>
            </w:r>
          </w:p>
        </w:tc>
        <w:tc>
          <w:tcPr>
            <w:tcW w:w="483" w:type="pct"/>
            <w:vAlign w:val="center"/>
          </w:tcPr>
          <w:p>
            <w:pPr>
              <w:jc w:val="center"/>
              <w:rPr>
                <w:rFonts w:ascii="Times New Roman" w:hAnsi="Times New Roman" w:eastAsia="仿宋_GB2312" w:cs="Times New Roman"/>
                <w:b/>
                <w:color w:val="auto"/>
                <w:sz w:val="21"/>
                <w:szCs w:val="21"/>
              </w:rPr>
            </w:pPr>
          </w:p>
        </w:tc>
        <w:tc>
          <w:tcPr>
            <w:tcW w:w="511" w:type="pct"/>
            <w:vAlign w:val="center"/>
          </w:tcPr>
          <w:p>
            <w:pPr>
              <w:jc w:val="center"/>
              <w:rPr>
                <w:rFonts w:ascii="Times New Roman" w:hAnsi="Times New Roman" w:eastAsia="仿宋_GB2312" w:cs="Times New Roman"/>
                <w:b/>
                <w:color w:val="auto"/>
                <w:sz w:val="21"/>
                <w:szCs w:val="21"/>
              </w:rPr>
            </w:pPr>
          </w:p>
        </w:tc>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120" w:type="pct"/>
            <w:vAlign w:val="center"/>
          </w:tcPr>
          <w:p>
            <w:pPr>
              <w:widowControl/>
              <w:spacing w:line="240" w:lineRule="atLeast"/>
              <w:jc w:val="center"/>
              <w:textAlignment w:val="center"/>
              <w:rPr>
                <w:rFonts w:ascii="仿宋_GB2312" w:hAnsi="Times New Roman" w:eastAsia="仿宋_GB2312" w:cs="Times New Roman"/>
                <w:color w:val="auto"/>
                <w:sz w:val="21"/>
                <w:szCs w:val="21"/>
              </w:rPr>
            </w:pPr>
            <w:r>
              <w:rPr>
                <w:rFonts w:hint="eastAsia" w:ascii="仿宋_GB2312" w:hAnsi="Times New Roman" w:eastAsia="仿宋_GB2312" w:cs="Times New Roman"/>
                <w:color w:val="auto"/>
                <w:kern w:val="0"/>
                <w:sz w:val="21"/>
                <w:szCs w:val="21"/>
              </w:rPr>
              <w:t>临时沉沙池◆</w:t>
            </w:r>
          </w:p>
        </w:tc>
        <w:tc>
          <w:tcPr>
            <w:tcW w:w="480"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座</w:t>
            </w:r>
          </w:p>
        </w:tc>
        <w:tc>
          <w:tcPr>
            <w:tcW w:w="490" w:type="pct"/>
            <w:vAlign w:val="center"/>
          </w:tcPr>
          <w:p>
            <w:pPr>
              <w:widowControl/>
              <w:spacing w:line="240" w:lineRule="atLeast"/>
              <w:jc w:val="center"/>
              <w:rPr>
                <w:rFonts w:hint="eastAsia"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rPr>
              <w:t>1</w:t>
            </w:r>
            <w:r>
              <w:rPr>
                <w:rFonts w:hint="eastAsia" w:ascii="Times New Roman" w:hAnsi="Times New Roman" w:eastAsia="仿宋_GB2312" w:cs="Times New Roman"/>
                <w:color w:val="auto"/>
                <w:sz w:val="21"/>
                <w:szCs w:val="21"/>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59"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绿化工程</w:t>
            </w:r>
          </w:p>
        </w:tc>
        <w:tc>
          <w:tcPr>
            <w:tcW w:w="483" w:type="pct"/>
            <w:vAlign w:val="center"/>
          </w:tcPr>
          <w:p>
            <w:pPr>
              <w:jc w:val="center"/>
              <w:rPr>
                <w:rFonts w:ascii="Times New Roman" w:hAnsi="Times New Roman" w:eastAsia="仿宋_GB2312" w:cs="Times New Roman"/>
                <w:color w:val="auto"/>
                <w:sz w:val="21"/>
                <w:szCs w:val="21"/>
              </w:rPr>
            </w:pPr>
          </w:p>
        </w:tc>
        <w:tc>
          <w:tcPr>
            <w:tcW w:w="511" w:type="pct"/>
            <w:vAlign w:val="center"/>
          </w:tcPr>
          <w:p>
            <w:pPr>
              <w:jc w:val="center"/>
              <w:rPr>
                <w:rFonts w:ascii="Times New Roman" w:hAnsi="Times New Roman" w:eastAsia="仿宋_GB2312" w:cs="Times New Roman"/>
                <w:color w:val="auto"/>
                <w:sz w:val="21"/>
                <w:szCs w:val="21"/>
              </w:rPr>
            </w:pPr>
          </w:p>
        </w:tc>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1120" w:type="pct"/>
            <w:vAlign w:val="center"/>
          </w:tcPr>
          <w:p>
            <w:pPr>
              <w:widowControl/>
              <w:spacing w:line="240" w:lineRule="atLeast"/>
              <w:jc w:val="center"/>
              <w:textAlignment w:val="center"/>
              <w:rPr>
                <w:rFonts w:ascii="仿宋_GB2312" w:hAnsi="Times New Roman" w:eastAsia="仿宋_GB2312" w:cs="Times New Roman"/>
                <w:color w:val="auto"/>
                <w:sz w:val="21"/>
                <w:szCs w:val="21"/>
              </w:rPr>
            </w:pPr>
            <w:r>
              <w:rPr>
                <w:rFonts w:hint="eastAsia" w:ascii="仿宋_GB2312" w:hAnsi="Times New Roman" w:eastAsia="仿宋_GB2312" w:cs="Times New Roman"/>
                <w:color w:val="auto"/>
                <w:kern w:val="0"/>
                <w:sz w:val="21"/>
                <w:szCs w:val="21"/>
              </w:rPr>
              <w:t>苫布覆盖◆</w:t>
            </w:r>
          </w:p>
        </w:tc>
        <w:tc>
          <w:tcPr>
            <w:tcW w:w="480"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490" w:type="pct"/>
            <w:vAlign w:val="center"/>
          </w:tcPr>
          <w:p>
            <w:pPr>
              <w:widowControl/>
              <w:spacing w:line="240" w:lineRule="atLeast"/>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rPr>
              <w:t>1</w:t>
            </w:r>
            <w:r>
              <w:rPr>
                <w:rFonts w:hint="eastAsia" w:ascii="Times New Roman" w:hAnsi="Times New Roman" w:eastAsia="仿宋_GB2312" w:cs="Times New Roman"/>
                <w:color w:val="auto"/>
                <w:sz w:val="21"/>
                <w:szCs w:val="21"/>
                <w:lang w:val="en-US" w:eastAsia="zh-CN"/>
              </w:rPr>
              <w:t>8.17</w:t>
            </w:r>
          </w:p>
        </w:tc>
      </w:tr>
    </w:tbl>
    <w:p>
      <w:pPr>
        <w:pStyle w:val="180"/>
        <w:spacing w:line="360" w:lineRule="auto"/>
        <w:ind w:firstLine="420"/>
        <w:rPr>
          <w:rFonts w:hint="default" w:ascii="Times New Roman" w:hAnsi="Times New Roman" w:eastAsia="仿宋_GB2312" w:cs="Times New Roman"/>
          <w:color w:val="auto"/>
          <w:szCs w:val="24"/>
        </w:rPr>
      </w:pPr>
      <w:r>
        <w:rPr>
          <w:rFonts w:ascii="Times New Roman" w:hAnsi="Times New Roman" w:eastAsia="仿宋_GB2312" w:cs="Times New Roman"/>
          <w:color w:val="auto"/>
          <w:szCs w:val="24"/>
        </w:rPr>
        <w:t>注：</w:t>
      </w:r>
      <w:r>
        <w:rPr>
          <w:rFonts w:ascii="宋体" w:hAnsi="宋体" w:cs="宋体"/>
          <w:bCs/>
          <w:color w:val="auto"/>
          <w:szCs w:val="24"/>
        </w:rPr>
        <w:t>◆</w:t>
      </w:r>
      <w:r>
        <w:rPr>
          <w:rFonts w:ascii="Times New Roman" w:hAnsi="Times New Roman" w:eastAsia="仿宋_GB2312" w:cs="Times New Roman"/>
          <w:color w:val="auto"/>
          <w:szCs w:val="24"/>
        </w:rPr>
        <w:t>表示本</w:t>
      </w:r>
      <w:r>
        <w:rPr>
          <w:rFonts w:hint="eastAsia" w:ascii="Times New Roman" w:hAnsi="Times New Roman" w:eastAsia="仿宋_GB2312" w:cs="Times New Roman"/>
          <w:color w:val="auto"/>
          <w:szCs w:val="24"/>
          <w:lang w:val="en-US" w:eastAsia="zh-CN"/>
        </w:rPr>
        <w:t>区域评估报告</w:t>
      </w:r>
      <w:r>
        <w:rPr>
          <w:rFonts w:ascii="Times New Roman" w:hAnsi="Times New Roman" w:eastAsia="仿宋_GB2312" w:cs="Times New Roman"/>
          <w:color w:val="auto"/>
          <w:szCs w:val="24"/>
        </w:rPr>
        <w:t>新增或补充完善措施</w:t>
      </w:r>
    </w:p>
    <w:p>
      <w:pPr>
        <w:pStyle w:val="7"/>
        <w:snapToGrid w:val="0"/>
        <w:spacing w:line="360" w:lineRule="auto"/>
        <w:rPr>
          <w:rFonts w:eastAsia="仿宋_GB2312"/>
          <w:color w:val="auto"/>
          <w:sz w:val="28"/>
          <w:szCs w:val="28"/>
        </w:rPr>
      </w:pPr>
      <w:r>
        <w:rPr>
          <w:rFonts w:hint="eastAsia"/>
          <w:color w:val="auto"/>
          <w:sz w:val="28"/>
          <w:szCs w:val="28"/>
        </w:rPr>
        <w:t>5</w:t>
      </w:r>
      <w:r>
        <w:rPr>
          <w:color w:val="auto"/>
          <w:sz w:val="28"/>
          <w:szCs w:val="28"/>
        </w:rPr>
        <w:t>.3.</w:t>
      </w:r>
      <w:r>
        <w:rPr>
          <w:rFonts w:hint="eastAsia"/>
          <w:color w:val="auto"/>
          <w:sz w:val="28"/>
          <w:szCs w:val="28"/>
        </w:rPr>
        <w:t>2</w:t>
      </w:r>
      <w:r>
        <w:rPr>
          <w:color w:val="auto"/>
          <w:sz w:val="28"/>
          <w:szCs w:val="28"/>
        </w:rPr>
        <w:t>.</w:t>
      </w:r>
      <w:r>
        <w:rPr>
          <w:rFonts w:hint="eastAsia"/>
          <w:color w:val="auto"/>
          <w:sz w:val="28"/>
          <w:szCs w:val="28"/>
        </w:rPr>
        <w:t>3</w:t>
      </w:r>
      <w:r>
        <w:rPr>
          <w:rFonts w:eastAsia="仿宋_GB2312"/>
          <w:color w:val="auto"/>
          <w:sz w:val="28"/>
          <w:szCs w:val="28"/>
        </w:rPr>
        <w:t>施工临时设施防治区</w:t>
      </w:r>
    </w:p>
    <w:p>
      <w:pPr>
        <w:spacing w:line="360" w:lineRule="auto"/>
        <w:ind w:firstLine="482" w:firstLineChars="200"/>
        <w:rPr>
          <w:rFonts w:ascii="Times New Roman" w:hAnsi="Times New Roman" w:eastAsia="仿宋_GB2312"/>
          <w:b/>
          <w:color w:val="auto"/>
        </w:rPr>
      </w:pPr>
      <w:r>
        <w:rPr>
          <w:rFonts w:hint="eastAsia" w:ascii="Times New Roman" w:hAnsi="Times New Roman" w:eastAsia="仿宋_GB2312"/>
          <w:b/>
          <w:color w:val="auto"/>
        </w:rPr>
        <w:t>（一）</w:t>
      </w:r>
      <w:r>
        <w:rPr>
          <w:rFonts w:hint="eastAsia" w:ascii="Times New Roman" w:hAnsi="Times New Roman" w:eastAsia="仿宋_GB2312"/>
          <w:b/>
          <w:color w:val="auto"/>
          <w:lang w:eastAsia="zh-CN"/>
        </w:rPr>
        <w:t>临时堆土场</w:t>
      </w:r>
      <w:r>
        <w:rPr>
          <w:rFonts w:hint="eastAsia" w:ascii="Times New Roman" w:hAnsi="Times New Roman" w:eastAsia="仿宋_GB2312"/>
          <w:b/>
          <w:color w:val="auto"/>
        </w:rPr>
        <w:t>防治区</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本</w:t>
      </w:r>
      <w:r>
        <w:rPr>
          <w:rFonts w:hint="eastAsia" w:ascii="Times New Roman" w:hAnsi="Times New Roman" w:eastAsia="仿宋_GB2312"/>
          <w:color w:val="auto"/>
          <w:lang w:val="en-US" w:eastAsia="zh-CN"/>
        </w:rPr>
        <w:t>区域评估报告</w:t>
      </w:r>
      <w:r>
        <w:rPr>
          <w:rFonts w:hint="eastAsia" w:ascii="Times New Roman" w:hAnsi="Times New Roman" w:eastAsia="仿宋_GB2312"/>
          <w:color w:val="auto"/>
        </w:rPr>
        <w:t>补充对</w:t>
      </w:r>
      <w:r>
        <w:rPr>
          <w:rFonts w:hint="eastAsia" w:ascii="Times New Roman" w:hAnsi="Times New Roman" w:eastAsia="仿宋_GB2312"/>
          <w:color w:val="auto"/>
          <w:lang w:eastAsia="zh-CN"/>
        </w:rPr>
        <w:t>临时堆土场</w:t>
      </w:r>
      <w:r>
        <w:rPr>
          <w:rFonts w:hint="eastAsia" w:ascii="Times New Roman" w:hAnsi="Times New Roman" w:eastAsia="仿宋_GB2312"/>
          <w:color w:val="auto"/>
        </w:rPr>
        <w:t>土方临时堆放期间的临时防护措施，主要有临时拦挡、排水沉沙及苫盖，由于土方堆放时间较长，本</w:t>
      </w:r>
      <w:r>
        <w:rPr>
          <w:rFonts w:hint="eastAsia" w:ascii="Times New Roman" w:hAnsi="Times New Roman" w:eastAsia="仿宋_GB2312"/>
          <w:color w:val="auto"/>
          <w:lang w:val="en-US" w:eastAsia="zh-CN"/>
        </w:rPr>
        <w:t>区域评估报告</w:t>
      </w:r>
      <w:r>
        <w:rPr>
          <w:rFonts w:hint="eastAsia" w:ascii="Times New Roman" w:hAnsi="Times New Roman" w:eastAsia="仿宋_GB2312"/>
          <w:color w:val="auto"/>
        </w:rPr>
        <w:t>考虑对其表面撒播草籽进行防护。</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（1）临时防护工程</w:t>
      </w:r>
    </w:p>
    <w:p>
      <w:pPr>
        <w:spacing w:line="360" w:lineRule="auto"/>
        <w:ind w:firstLine="480" w:firstLineChars="200"/>
        <w:rPr>
          <w:rFonts w:hint="eastAsia" w:ascii="Times New Roman" w:hAnsi="Times New Roman" w:eastAsia="仿宋_GB2312"/>
          <w:color w:val="auto"/>
          <w:lang w:eastAsia="zh-CN"/>
        </w:rPr>
      </w:pPr>
      <w:r>
        <w:rPr>
          <w:rFonts w:hint="eastAsia" w:ascii="Times New Roman" w:hAnsi="Times New Roman" w:eastAsia="仿宋_GB2312"/>
          <w:color w:val="auto"/>
        </w:rPr>
        <w:t>土</w:t>
      </w:r>
      <w:r>
        <w:rPr>
          <w:rFonts w:hint="eastAsia" w:ascii="Times New Roman" w:hAnsi="Times New Roman" w:eastAsia="仿宋_GB2312"/>
          <w:color w:val="auto"/>
          <w:lang w:eastAsia="zh-CN"/>
        </w:rPr>
        <w:t>方</w:t>
      </w:r>
      <w:r>
        <w:rPr>
          <w:rFonts w:hint="eastAsia" w:ascii="Times New Roman" w:hAnsi="Times New Roman" w:eastAsia="仿宋_GB2312"/>
          <w:color w:val="auto"/>
        </w:rPr>
        <w:t>堆放前，先于堆土场周边布设编织袋拦挡，并沿堆土场周边组织布设临时排水沉沙措施，收集坡面雨水，土方堆放后，于其表面进行撒播草籽防护，并对其进行苫盖，形成一套完善的防治措施体系。工程量：</w:t>
      </w:r>
      <w:r>
        <w:rPr>
          <w:rFonts w:hint="eastAsia" w:ascii="Times New Roman" w:hAnsi="Times New Roman" w:eastAsia="仿宋_GB2312"/>
          <w:color w:val="auto"/>
          <w:lang w:eastAsia="zh-CN"/>
        </w:rPr>
        <w:t>表土堆放场：</w:t>
      </w:r>
      <w:r>
        <w:rPr>
          <w:rFonts w:hint="eastAsia" w:ascii="Times New Roman" w:hAnsi="Times New Roman" w:eastAsia="仿宋_GB2312"/>
          <w:color w:val="auto"/>
        </w:rPr>
        <w:t>编织袋拦挡545m，临时排水沟550m、临时沉沙池3座、撒播草籽2.45</w:t>
      </w:r>
      <w:r>
        <w:rPr>
          <w:rFonts w:ascii="Times New Roman" w:hAnsi="Times New Roman" w:eastAsia="仿宋_GB2312" w:cs="Times New Roman"/>
          <w:color w:val="auto"/>
          <w:szCs w:val="24"/>
        </w:rPr>
        <w:t>hm</w:t>
      </w:r>
      <w:r>
        <w:rPr>
          <w:rFonts w:ascii="Times New Roman" w:hAnsi="Times New Roman" w:eastAsia="仿宋_GB2312" w:cs="Times New Roman"/>
          <w:color w:val="auto"/>
          <w:szCs w:val="24"/>
          <w:vertAlign w:val="superscript"/>
        </w:rPr>
        <w:t>2</w:t>
      </w:r>
      <w:r>
        <w:rPr>
          <w:rFonts w:hint="eastAsia" w:ascii="Times New Roman" w:hAnsi="Times New Roman" w:eastAsia="仿宋_GB2312"/>
          <w:color w:val="auto"/>
          <w:szCs w:val="24"/>
        </w:rPr>
        <w:t>，苫</w:t>
      </w:r>
      <w:r>
        <w:rPr>
          <w:rFonts w:hint="eastAsia" w:ascii="Times New Roman" w:hAnsi="Times New Roman" w:eastAsia="仿宋_GB2312"/>
          <w:color w:val="auto"/>
        </w:rPr>
        <w:t>布覆盖2.45</w:t>
      </w:r>
      <w:r>
        <w:rPr>
          <w:rFonts w:ascii="Times New Roman" w:hAnsi="Times New Roman" w:eastAsia="仿宋_GB2312"/>
          <w:color w:val="auto"/>
        </w:rPr>
        <w:t>hm</w:t>
      </w:r>
      <w:r>
        <w:rPr>
          <w:rFonts w:ascii="Times New Roman" w:hAnsi="Times New Roman" w:eastAsia="仿宋_GB2312"/>
          <w:color w:val="auto"/>
          <w:vertAlign w:val="superscript"/>
        </w:rPr>
        <w:t>2</w:t>
      </w:r>
      <w:r>
        <w:rPr>
          <w:rFonts w:hint="eastAsia" w:ascii="Times New Roman" w:hAnsi="Times New Roman" w:eastAsia="仿宋_GB2312"/>
          <w:color w:val="auto"/>
          <w:lang w:eastAsia="zh-CN"/>
        </w:rPr>
        <w:t>；晾干淤泥堆场：</w:t>
      </w:r>
      <w:r>
        <w:rPr>
          <w:rFonts w:hint="eastAsia" w:ascii="Times New Roman" w:hAnsi="Times New Roman" w:eastAsia="仿宋_GB2312"/>
          <w:color w:val="auto"/>
        </w:rPr>
        <w:t>编织袋拦挡</w:t>
      </w:r>
      <w:r>
        <w:rPr>
          <w:rFonts w:hint="eastAsia" w:ascii="Times New Roman" w:hAnsi="Times New Roman" w:eastAsia="仿宋_GB2312"/>
          <w:color w:val="auto"/>
          <w:lang w:val="en-US" w:eastAsia="zh-CN"/>
        </w:rPr>
        <w:t>483</w:t>
      </w:r>
      <w:r>
        <w:rPr>
          <w:rFonts w:hint="eastAsia" w:ascii="Times New Roman" w:hAnsi="Times New Roman" w:eastAsia="仿宋_GB2312"/>
          <w:color w:val="auto"/>
        </w:rPr>
        <w:t>m，临时排水沟</w:t>
      </w:r>
      <w:r>
        <w:rPr>
          <w:rFonts w:hint="eastAsia" w:ascii="Times New Roman" w:hAnsi="Times New Roman" w:eastAsia="仿宋_GB2312"/>
          <w:color w:val="auto"/>
          <w:lang w:val="en-US" w:eastAsia="zh-CN"/>
        </w:rPr>
        <w:t>488</w:t>
      </w:r>
      <w:r>
        <w:rPr>
          <w:rFonts w:hint="eastAsia" w:ascii="Times New Roman" w:hAnsi="Times New Roman" w:eastAsia="仿宋_GB2312"/>
          <w:color w:val="auto"/>
        </w:rPr>
        <w:t>m、临时沉沙池3座、撒播草籽2.</w:t>
      </w:r>
      <w:r>
        <w:rPr>
          <w:rFonts w:hint="eastAsia" w:ascii="Times New Roman" w:hAnsi="Times New Roman" w:eastAsia="仿宋_GB2312"/>
          <w:color w:val="auto"/>
          <w:lang w:val="en-US" w:eastAsia="zh-CN"/>
        </w:rPr>
        <w:t>04</w:t>
      </w:r>
      <w:r>
        <w:rPr>
          <w:rFonts w:ascii="Times New Roman" w:hAnsi="Times New Roman" w:eastAsia="仿宋_GB2312" w:cs="Times New Roman"/>
          <w:color w:val="auto"/>
          <w:szCs w:val="24"/>
        </w:rPr>
        <w:t>hm</w:t>
      </w:r>
      <w:r>
        <w:rPr>
          <w:rFonts w:ascii="Times New Roman" w:hAnsi="Times New Roman" w:eastAsia="仿宋_GB2312" w:cs="Times New Roman"/>
          <w:color w:val="auto"/>
          <w:szCs w:val="24"/>
          <w:vertAlign w:val="superscript"/>
        </w:rPr>
        <w:t>2</w:t>
      </w:r>
      <w:r>
        <w:rPr>
          <w:rFonts w:hint="eastAsia" w:ascii="Times New Roman" w:hAnsi="Times New Roman" w:eastAsia="仿宋_GB2312"/>
          <w:color w:val="auto"/>
          <w:szCs w:val="24"/>
        </w:rPr>
        <w:t>，苫</w:t>
      </w:r>
      <w:r>
        <w:rPr>
          <w:rFonts w:hint="eastAsia" w:ascii="Times New Roman" w:hAnsi="Times New Roman" w:eastAsia="仿宋_GB2312"/>
          <w:color w:val="auto"/>
        </w:rPr>
        <w:t>布覆盖2.</w:t>
      </w:r>
      <w:r>
        <w:rPr>
          <w:rFonts w:hint="eastAsia" w:ascii="Times New Roman" w:hAnsi="Times New Roman" w:eastAsia="仿宋_GB2312"/>
          <w:color w:val="auto"/>
          <w:lang w:val="en-US" w:eastAsia="zh-CN"/>
        </w:rPr>
        <w:t>04</w:t>
      </w:r>
      <w:r>
        <w:rPr>
          <w:rFonts w:ascii="Times New Roman" w:hAnsi="Times New Roman" w:eastAsia="仿宋_GB2312"/>
          <w:color w:val="auto"/>
        </w:rPr>
        <w:t>hm</w:t>
      </w:r>
      <w:r>
        <w:rPr>
          <w:rFonts w:ascii="Times New Roman" w:hAnsi="Times New Roman" w:eastAsia="仿宋_GB2312"/>
          <w:color w:val="auto"/>
          <w:vertAlign w:val="superscript"/>
        </w:rPr>
        <w:t>2</w:t>
      </w:r>
      <w:r>
        <w:rPr>
          <w:rFonts w:hint="eastAsia" w:ascii="Times New Roman" w:hAnsi="Times New Roman" w:eastAsia="仿宋_GB2312"/>
          <w:color w:val="auto"/>
          <w:lang w:eastAsia="zh-CN"/>
        </w:rPr>
        <w:t>；</w:t>
      </w:r>
    </w:p>
    <w:p>
      <w:pPr>
        <w:spacing w:line="360" w:lineRule="auto"/>
        <w:ind w:firstLine="480" w:firstLineChars="200"/>
        <w:rPr>
          <w:rFonts w:ascii="Times New Roman" w:hAnsi="Times New Roman" w:eastAsia="仿宋_GB2312" w:cs="Times New Roman"/>
          <w:color w:val="auto"/>
        </w:rPr>
      </w:pPr>
      <w:r>
        <w:rPr>
          <w:rFonts w:hint="eastAsia" w:ascii="Times New Roman" w:hAnsi="Times New Roman" w:eastAsia="仿宋_GB2312"/>
          <w:color w:val="auto"/>
        </w:rPr>
        <w:t>临时堆土场防治区</w:t>
      </w:r>
      <w:r>
        <w:rPr>
          <w:rFonts w:ascii="Times New Roman" w:hAnsi="Times New Roman" w:eastAsia="仿宋_GB2312" w:cs="Times New Roman"/>
          <w:color w:val="auto"/>
        </w:rPr>
        <w:t>水土保持措施工程量详见表5.3-</w:t>
      </w:r>
      <w:r>
        <w:rPr>
          <w:rFonts w:hint="eastAsia" w:ascii="Times New Roman" w:hAnsi="Times New Roman" w:eastAsia="仿宋_GB2312" w:cs="Times New Roman"/>
          <w:color w:val="auto"/>
        </w:rPr>
        <w:t>6</w:t>
      </w:r>
      <w:r>
        <w:rPr>
          <w:rFonts w:ascii="Times New Roman" w:hAnsi="Times New Roman" w:eastAsia="仿宋_GB2312" w:cs="Times New Roman"/>
          <w:color w:val="auto"/>
        </w:rPr>
        <w:t>。</w:t>
      </w:r>
    </w:p>
    <w:p>
      <w:pPr>
        <w:spacing w:line="360" w:lineRule="auto"/>
        <w:jc w:val="center"/>
        <w:rPr>
          <w:rFonts w:ascii="Times New Roman" w:hAnsi="Times New Roman" w:eastAsia="仿宋_GB2312" w:cs="Times New Roman"/>
          <w:b/>
          <w:color w:val="auto"/>
        </w:rPr>
      </w:pPr>
      <w:r>
        <w:rPr>
          <w:rFonts w:ascii="Times New Roman" w:hAnsi="Times New Roman" w:eastAsia="仿宋_GB2312" w:cs="Times New Roman"/>
          <w:b/>
          <w:color w:val="auto"/>
        </w:rPr>
        <w:t>表5.3-</w:t>
      </w:r>
      <w:r>
        <w:rPr>
          <w:rFonts w:hint="eastAsia" w:ascii="Times New Roman" w:hAnsi="Times New Roman" w:eastAsia="仿宋_GB2312" w:cs="Times New Roman"/>
          <w:b/>
          <w:color w:val="auto"/>
        </w:rPr>
        <w:t>6</w:t>
      </w:r>
      <w:r>
        <w:rPr>
          <w:rFonts w:ascii="Times New Roman" w:hAnsi="Times New Roman" w:eastAsia="仿宋_GB2312" w:cs="Times New Roman"/>
          <w:b/>
          <w:color w:val="auto"/>
        </w:rPr>
        <w:t>：</w:t>
      </w:r>
      <w:r>
        <w:rPr>
          <w:rFonts w:hint="eastAsia" w:ascii="Times New Roman" w:hAnsi="Times New Roman" w:eastAsia="仿宋_GB2312" w:cs="Times New Roman"/>
          <w:b/>
          <w:color w:val="auto"/>
        </w:rPr>
        <w:t>临时堆土场</w:t>
      </w:r>
      <w:r>
        <w:rPr>
          <w:rFonts w:hint="eastAsia" w:ascii="Times New Roman" w:hAnsi="Times New Roman" w:eastAsia="仿宋_GB2312" w:cstheme="minorBidi"/>
          <w:b/>
          <w:color w:val="auto"/>
        </w:rPr>
        <w:t>防治区</w:t>
      </w:r>
      <w:r>
        <w:rPr>
          <w:rFonts w:ascii="Times New Roman" w:hAnsi="Times New Roman" w:eastAsia="仿宋_GB2312" w:cs="Times New Roman"/>
          <w:b/>
          <w:color w:val="auto"/>
        </w:rPr>
        <w:t>水土保持措施工程量表</w:t>
      </w:r>
    </w:p>
    <w:tbl>
      <w:tblPr>
        <w:tblStyle w:val="37"/>
        <w:tblW w:w="508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41"/>
        <w:gridCol w:w="1837"/>
        <w:gridCol w:w="838"/>
        <w:gridCol w:w="888"/>
        <w:gridCol w:w="741"/>
        <w:gridCol w:w="1943"/>
        <w:gridCol w:w="834"/>
        <w:gridCol w:w="85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7" w:hRule="atLeast"/>
          <w:jc w:val="center"/>
        </w:trPr>
        <w:tc>
          <w:tcPr>
            <w:tcW w:w="427"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序号</w:t>
            </w:r>
          </w:p>
        </w:tc>
        <w:tc>
          <w:tcPr>
            <w:tcW w:w="1059" w:type="pct"/>
            <w:vAlign w:val="center"/>
          </w:tcPr>
          <w:p>
            <w:pPr>
              <w:jc w:val="center"/>
              <w:rPr>
                <w:rFonts w:ascii="Times New Roman" w:hAnsi="Times New Roman" w:eastAsia="仿宋_GB2312" w:cs="Times New Roman"/>
                <w:b/>
                <w:bCs/>
                <w:color w:val="auto"/>
                <w:sz w:val="21"/>
                <w:szCs w:val="21"/>
              </w:rPr>
            </w:pPr>
            <w:r>
              <w:rPr>
                <w:rFonts w:hint="eastAsia" w:ascii="Times New Roman" w:hAnsi="Times New Roman" w:eastAsia="仿宋_GB2312" w:cs="Times New Roman"/>
                <w:b/>
                <w:bCs/>
                <w:color w:val="auto"/>
                <w:sz w:val="21"/>
                <w:szCs w:val="21"/>
                <w:lang w:val="en-US" w:eastAsia="zh-CN"/>
              </w:rPr>
              <w:t>措施</w:t>
            </w:r>
            <w:r>
              <w:rPr>
                <w:rFonts w:ascii="Times New Roman" w:hAnsi="Times New Roman" w:eastAsia="仿宋_GB2312" w:cs="Times New Roman"/>
                <w:b/>
                <w:bCs/>
                <w:color w:val="auto"/>
                <w:sz w:val="21"/>
                <w:szCs w:val="21"/>
              </w:rPr>
              <w:t>名称</w:t>
            </w:r>
          </w:p>
        </w:tc>
        <w:tc>
          <w:tcPr>
            <w:tcW w:w="483"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单位</w:t>
            </w:r>
          </w:p>
        </w:tc>
        <w:tc>
          <w:tcPr>
            <w:tcW w:w="512"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工程量</w:t>
            </w:r>
          </w:p>
        </w:tc>
        <w:tc>
          <w:tcPr>
            <w:tcW w:w="427"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序号</w:t>
            </w:r>
          </w:p>
        </w:tc>
        <w:tc>
          <w:tcPr>
            <w:tcW w:w="1120" w:type="pct"/>
            <w:vAlign w:val="center"/>
          </w:tcPr>
          <w:p>
            <w:pPr>
              <w:jc w:val="center"/>
              <w:rPr>
                <w:rFonts w:ascii="Times New Roman" w:hAnsi="Times New Roman" w:eastAsia="仿宋_GB2312" w:cs="Times New Roman"/>
                <w:b/>
                <w:bCs/>
                <w:color w:val="auto"/>
                <w:sz w:val="21"/>
                <w:szCs w:val="21"/>
              </w:rPr>
            </w:pPr>
            <w:r>
              <w:rPr>
                <w:rFonts w:hint="eastAsia" w:ascii="Times New Roman" w:hAnsi="Times New Roman" w:eastAsia="仿宋_GB2312" w:cs="Times New Roman"/>
                <w:b/>
                <w:bCs/>
                <w:color w:val="auto"/>
                <w:sz w:val="21"/>
                <w:szCs w:val="21"/>
                <w:lang w:val="en-US" w:eastAsia="zh-CN"/>
              </w:rPr>
              <w:t>措施</w:t>
            </w:r>
            <w:r>
              <w:rPr>
                <w:rFonts w:ascii="Times New Roman" w:hAnsi="Times New Roman" w:eastAsia="仿宋_GB2312" w:cs="Times New Roman"/>
                <w:b/>
                <w:bCs/>
                <w:color w:val="auto"/>
                <w:sz w:val="21"/>
                <w:szCs w:val="21"/>
              </w:rPr>
              <w:t>名称</w:t>
            </w:r>
          </w:p>
        </w:tc>
        <w:tc>
          <w:tcPr>
            <w:tcW w:w="481"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单位</w:t>
            </w:r>
          </w:p>
        </w:tc>
        <w:tc>
          <w:tcPr>
            <w:tcW w:w="490" w:type="pct"/>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工程量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427" w:type="pct"/>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一</w:t>
            </w:r>
          </w:p>
        </w:tc>
        <w:tc>
          <w:tcPr>
            <w:tcW w:w="1059" w:type="pct"/>
            <w:vAlign w:val="center"/>
          </w:tcPr>
          <w:p>
            <w:pPr>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临时措施</w:t>
            </w:r>
          </w:p>
        </w:tc>
        <w:tc>
          <w:tcPr>
            <w:tcW w:w="483" w:type="pct"/>
            <w:vAlign w:val="center"/>
          </w:tcPr>
          <w:p>
            <w:pPr>
              <w:jc w:val="center"/>
              <w:rPr>
                <w:rFonts w:ascii="Times New Roman" w:hAnsi="Times New Roman" w:eastAsia="仿宋_GB2312" w:cs="Times New Roman"/>
                <w:color w:val="auto"/>
                <w:sz w:val="21"/>
                <w:szCs w:val="21"/>
              </w:rPr>
            </w:pPr>
          </w:p>
        </w:tc>
        <w:tc>
          <w:tcPr>
            <w:tcW w:w="512" w:type="pct"/>
            <w:vAlign w:val="center"/>
          </w:tcPr>
          <w:p>
            <w:pPr>
              <w:jc w:val="center"/>
              <w:rPr>
                <w:rFonts w:ascii="Times New Roman" w:hAnsi="Times New Roman" w:eastAsia="仿宋_GB2312" w:cs="Times New Roman"/>
                <w:color w:val="auto"/>
                <w:sz w:val="21"/>
                <w:szCs w:val="21"/>
              </w:rPr>
            </w:pPr>
          </w:p>
        </w:tc>
        <w:tc>
          <w:tcPr>
            <w:tcW w:w="427" w:type="pct"/>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（3）</w:t>
            </w:r>
          </w:p>
        </w:tc>
        <w:tc>
          <w:tcPr>
            <w:tcW w:w="1120" w:type="pct"/>
            <w:vAlign w:val="center"/>
          </w:tcPr>
          <w:p>
            <w:pPr>
              <w:widowControl/>
              <w:spacing w:line="240" w:lineRule="atLeast"/>
              <w:jc w:val="center"/>
              <w:textAlignment w:val="center"/>
              <w:rPr>
                <w:rFonts w:ascii="仿宋_GB2312" w:hAnsi="Times New Roman" w:eastAsia="仿宋_GB2312" w:cs="Times New Roman"/>
                <w:color w:val="auto"/>
                <w:sz w:val="21"/>
                <w:szCs w:val="21"/>
              </w:rPr>
            </w:pPr>
            <w:r>
              <w:rPr>
                <w:rFonts w:hint="eastAsia" w:ascii="仿宋_GB2312" w:hAnsi="Times New Roman" w:eastAsia="仿宋_GB2312" w:cs="Times New Roman"/>
                <w:color w:val="auto"/>
                <w:kern w:val="0"/>
                <w:sz w:val="21"/>
                <w:szCs w:val="21"/>
              </w:rPr>
              <w:t>临时沉沙池◆</w:t>
            </w:r>
          </w:p>
        </w:tc>
        <w:tc>
          <w:tcPr>
            <w:tcW w:w="481"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座</w:t>
            </w:r>
          </w:p>
        </w:tc>
        <w:tc>
          <w:tcPr>
            <w:tcW w:w="490" w:type="pct"/>
            <w:vAlign w:val="center"/>
          </w:tcPr>
          <w:p>
            <w:pPr>
              <w:widowControl/>
              <w:spacing w:line="240" w:lineRule="atLeast"/>
              <w:jc w:val="center"/>
              <w:rPr>
                <w:rFonts w:hint="eastAsia"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59"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临时防护工程</w:t>
            </w:r>
          </w:p>
        </w:tc>
        <w:tc>
          <w:tcPr>
            <w:tcW w:w="483" w:type="pct"/>
            <w:vAlign w:val="center"/>
          </w:tcPr>
          <w:p>
            <w:pPr>
              <w:widowControl/>
              <w:spacing w:line="240" w:lineRule="atLeast"/>
              <w:jc w:val="center"/>
              <w:rPr>
                <w:rFonts w:ascii="Times New Roman" w:hAnsi="Times New Roman" w:eastAsia="仿宋_GB2312" w:cs="Times New Roman"/>
                <w:color w:val="auto"/>
                <w:sz w:val="21"/>
                <w:szCs w:val="21"/>
              </w:rPr>
            </w:pPr>
          </w:p>
        </w:tc>
        <w:tc>
          <w:tcPr>
            <w:tcW w:w="512" w:type="pct"/>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p>
        </w:tc>
        <w:tc>
          <w:tcPr>
            <w:tcW w:w="427" w:type="pct"/>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（4）</w:t>
            </w:r>
          </w:p>
        </w:tc>
        <w:tc>
          <w:tcPr>
            <w:tcW w:w="1120" w:type="pct"/>
            <w:vAlign w:val="center"/>
          </w:tcPr>
          <w:p>
            <w:pPr>
              <w:widowControl/>
              <w:spacing w:line="240" w:lineRule="atLeast"/>
              <w:jc w:val="center"/>
              <w:textAlignment w:val="center"/>
              <w:rPr>
                <w:rFonts w:ascii="仿宋_GB2312" w:hAnsi="Times New Roman" w:eastAsia="仿宋_GB2312" w:cs="Times New Roman"/>
                <w:color w:val="auto"/>
                <w:sz w:val="21"/>
                <w:szCs w:val="21"/>
              </w:rPr>
            </w:pPr>
            <w:r>
              <w:rPr>
                <w:rFonts w:hint="eastAsia" w:ascii="仿宋_GB2312" w:hAnsi="Times New Roman" w:eastAsia="仿宋_GB2312" w:cs="Times New Roman"/>
                <w:color w:val="auto"/>
                <w:kern w:val="0"/>
                <w:sz w:val="21"/>
                <w:szCs w:val="21"/>
              </w:rPr>
              <w:t>苫布覆盖◆</w:t>
            </w:r>
          </w:p>
        </w:tc>
        <w:tc>
          <w:tcPr>
            <w:tcW w:w="481"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490" w:type="pct"/>
            <w:vAlign w:val="center"/>
          </w:tcPr>
          <w:p>
            <w:pPr>
              <w:widowControl/>
              <w:spacing w:line="240" w:lineRule="atLeast"/>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1.49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1059" w:type="pct"/>
            <w:vAlign w:val="center"/>
          </w:tcPr>
          <w:p>
            <w:pPr>
              <w:widowControl/>
              <w:spacing w:line="240" w:lineRule="atLeast"/>
              <w:jc w:val="center"/>
              <w:textAlignment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编织袋拦挡◆</w:t>
            </w:r>
          </w:p>
        </w:tc>
        <w:tc>
          <w:tcPr>
            <w:tcW w:w="483"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512" w:type="pct"/>
            <w:vAlign w:val="center"/>
          </w:tcPr>
          <w:p>
            <w:pPr>
              <w:widowControl/>
              <w:spacing w:line="240" w:lineRule="atLeast"/>
              <w:jc w:val="center"/>
              <w:textAlignment w:val="center"/>
              <w:rPr>
                <w:rFonts w:hint="default" w:ascii="Times New Roman" w:hAnsi="Times New Roman" w:eastAsia="仿宋_GB2312" w:cs="Times New Roman"/>
                <w:color w:val="auto"/>
                <w:kern w:val="0"/>
                <w:sz w:val="21"/>
                <w:szCs w:val="21"/>
                <w:lang w:val="en-US" w:eastAsia="zh-CN"/>
              </w:rPr>
            </w:pPr>
            <w:r>
              <w:rPr>
                <w:rFonts w:hint="eastAsia" w:ascii="Times New Roman" w:hAnsi="Times New Roman" w:eastAsia="仿宋_GB2312" w:cs="Times New Roman"/>
                <w:color w:val="auto"/>
                <w:kern w:val="0"/>
                <w:sz w:val="21"/>
                <w:szCs w:val="21"/>
                <w:lang w:val="en-US" w:eastAsia="zh-CN"/>
              </w:rPr>
              <w:t>1028</w:t>
            </w:r>
          </w:p>
        </w:tc>
        <w:tc>
          <w:tcPr>
            <w:tcW w:w="427" w:type="pct"/>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（5）</w:t>
            </w:r>
          </w:p>
        </w:tc>
        <w:tc>
          <w:tcPr>
            <w:tcW w:w="1120" w:type="pct"/>
            <w:vAlign w:val="center"/>
          </w:tcPr>
          <w:p>
            <w:pPr>
              <w:widowControl/>
              <w:spacing w:line="240" w:lineRule="atLeast"/>
              <w:jc w:val="center"/>
              <w:textAlignment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撒播草籽◆</w:t>
            </w:r>
          </w:p>
        </w:tc>
        <w:tc>
          <w:tcPr>
            <w:tcW w:w="481"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490" w:type="pct"/>
            <w:vAlign w:val="center"/>
          </w:tcPr>
          <w:p>
            <w:pPr>
              <w:widowControl/>
              <w:spacing w:line="240" w:lineRule="atLeast"/>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4.49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427" w:type="pct"/>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1059" w:type="pct"/>
            <w:vAlign w:val="center"/>
          </w:tcPr>
          <w:p>
            <w:pPr>
              <w:widowControl/>
              <w:spacing w:line="240" w:lineRule="atLeast"/>
              <w:jc w:val="center"/>
              <w:textAlignment w:val="center"/>
              <w:rPr>
                <w:rFonts w:ascii="仿宋_GB2312" w:hAnsi="Times New Roman" w:eastAsia="仿宋_GB2312" w:cs="Times New Roman"/>
                <w:color w:val="auto"/>
                <w:sz w:val="21"/>
                <w:szCs w:val="21"/>
              </w:rPr>
            </w:pPr>
            <w:r>
              <w:rPr>
                <w:rFonts w:hint="eastAsia" w:ascii="仿宋_GB2312" w:hAnsi="Times New Roman" w:eastAsia="仿宋_GB2312" w:cs="Times New Roman"/>
                <w:color w:val="auto"/>
                <w:kern w:val="0"/>
                <w:sz w:val="21"/>
                <w:szCs w:val="21"/>
              </w:rPr>
              <w:t>临时排水沟◆</w:t>
            </w:r>
          </w:p>
        </w:tc>
        <w:tc>
          <w:tcPr>
            <w:tcW w:w="483" w:type="pct"/>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512" w:type="pct"/>
            <w:vAlign w:val="center"/>
          </w:tcPr>
          <w:p>
            <w:pPr>
              <w:widowControl/>
              <w:spacing w:line="240" w:lineRule="atLeast"/>
              <w:jc w:val="center"/>
              <w:textAlignment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1038</w:t>
            </w:r>
          </w:p>
        </w:tc>
        <w:tc>
          <w:tcPr>
            <w:tcW w:w="427" w:type="pct"/>
            <w:vAlign w:val="center"/>
          </w:tcPr>
          <w:p>
            <w:pPr>
              <w:jc w:val="center"/>
              <w:rPr>
                <w:rFonts w:ascii="Times New Roman" w:hAnsi="Times New Roman" w:eastAsia="仿宋_GB2312" w:cs="Times New Roman"/>
                <w:color w:val="auto"/>
                <w:sz w:val="21"/>
                <w:szCs w:val="21"/>
              </w:rPr>
            </w:pPr>
          </w:p>
        </w:tc>
        <w:tc>
          <w:tcPr>
            <w:tcW w:w="1120"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p>
        </w:tc>
        <w:tc>
          <w:tcPr>
            <w:tcW w:w="481" w:type="pct"/>
            <w:vAlign w:val="center"/>
          </w:tcPr>
          <w:p>
            <w:pPr>
              <w:widowControl/>
              <w:spacing w:line="240" w:lineRule="atLeast"/>
              <w:jc w:val="center"/>
              <w:textAlignment w:val="center"/>
              <w:rPr>
                <w:rFonts w:ascii="Times New Roman" w:hAnsi="Times New Roman" w:eastAsia="仿宋_GB2312" w:cs="Times New Roman"/>
                <w:color w:val="auto"/>
                <w:sz w:val="21"/>
                <w:szCs w:val="21"/>
              </w:rPr>
            </w:pPr>
          </w:p>
        </w:tc>
        <w:tc>
          <w:tcPr>
            <w:tcW w:w="490" w:type="pct"/>
            <w:vAlign w:val="center"/>
          </w:tcPr>
          <w:p>
            <w:pPr>
              <w:widowControl/>
              <w:spacing w:line="240" w:lineRule="atLeast"/>
              <w:jc w:val="center"/>
              <w:rPr>
                <w:rFonts w:ascii="Times New Roman" w:hAnsi="Times New Roman" w:eastAsia="仿宋_GB2312" w:cs="Times New Roman"/>
                <w:color w:val="auto"/>
                <w:sz w:val="21"/>
                <w:szCs w:val="21"/>
              </w:rPr>
            </w:pPr>
          </w:p>
        </w:tc>
      </w:tr>
    </w:tbl>
    <w:p>
      <w:pPr>
        <w:pStyle w:val="180"/>
        <w:spacing w:line="360" w:lineRule="auto"/>
        <w:ind w:firstLine="420"/>
        <w:rPr>
          <w:rFonts w:hint="default" w:ascii="Times New Roman" w:hAnsi="Times New Roman" w:eastAsia="仿宋_GB2312" w:cs="Times New Roman"/>
          <w:color w:val="auto"/>
          <w:szCs w:val="24"/>
        </w:rPr>
      </w:pPr>
      <w:r>
        <w:rPr>
          <w:rFonts w:ascii="Times New Roman" w:hAnsi="Times New Roman" w:eastAsia="仿宋_GB2312" w:cs="Times New Roman"/>
          <w:color w:val="auto"/>
          <w:szCs w:val="24"/>
        </w:rPr>
        <w:t>注：</w:t>
      </w:r>
      <w:r>
        <w:rPr>
          <w:rFonts w:ascii="宋体" w:hAnsi="宋体" w:cs="宋体"/>
          <w:bCs/>
          <w:color w:val="auto"/>
          <w:szCs w:val="24"/>
        </w:rPr>
        <w:t>◆</w:t>
      </w:r>
      <w:r>
        <w:rPr>
          <w:rFonts w:ascii="Times New Roman" w:hAnsi="Times New Roman" w:eastAsia="仿宋_GB2312" w:cs="Times New Roman"/>
          <w:color w:val="auto"/>
          <w:szCs w:val="24"/>
        </w:rPr>
        <w:t>表示本</w:t>
      </w:r>
      <w:r>
        <w:rPr>
          <w:rFonts w:hint="eastAsia" w:ascii="Times New Roman" w:hAnsi="Times New Roman" w:eastAsia="仿宋_GB2312" w:cs="Times New Roman"/>
          <w:color w:val="auto"/>
          <w:szCs w:val="24"/>
          <w:lang w:val="en-US" w:eastAsia="zh-CN"/>
        </w:rPr>
        <w:t>区域评估报告</w:t>
      </w:r>
      <w:r>
        <w:rPr>
          <w:rFonts w:ascii="Times New Roman" w:hAnsi="Times New Roman" w:eastAsia="仿宋_GB2312" w:cs="Times New Roman"/>
          <w:color w:val="auto"/>
          <w:szCs w:val="24"/>
        </w:rPr>
        <w:t>新增或补充完善措施</w:t>
      </w:r>
    </w:p>
    <w:p>
      <w:pPr>
        <w:spacing w:line="360" w:lineRule="auto"/>
        <w:ind w:firstLine="482" w:firstLineChars="200"/>
        <w:rPr>
          <w:rFonts w:ascii="Times New Roman" w:hAnsi="Times New Roman" w:eastAsia="仿宋_GB2312"/>
          <w:b/>
          <w:color w:val="auto"/>
        </w:rPr>
      </w:pPr>
      <w:r>
        <w:rPr>
          <w:rFonts w:hint="eastAsia" w:ascii="Times New Roman" w:hAnsi="Times New Roman" w:eastAsia="仿宋_GB2312"/>
          <w:b/>
          <w:color w:val="auto"/>
        </w:rPr>
        <w:t>（</w:t>
      </w:r>
      <w:r>
        <w:rPr>
          <w:rFonts w:hint="eastAsia" w:ascii="Times New Roman" w:hAnsi="Times New Roman" w:eastAsia="仿宋_GB2312"/>
          <w:b/>
          <w:color w:val="auto"/>
          <w:lang w:eastAsia="zh-CN"/>
        </w:rPr>
        <w:t>二</w:t>
      </w:r>
      <w:r>
        <w:rPr>
          <w:rFonts w:hint="eastAsia" w:ascii="Times New Roman" w:hAnsi="Times New Roman" w:eastAsia="仿宋_GB2312"/>
          <w:b/>
          <w:color w:val="auto"/>
        </w:rPr>
        <w:t>）</w:t>
      </w:r>
      <w:r>
        <w:rPr>
          <w:rFonts w:ascii="Times New Roman" w:hAnsi="Times New Roman" w:eastAsia="仿宋_GB2312"/>
          <w:b/>
          <w:color w:val="auto"/>
        </w:rPr>
        <w:t>苗木移栽防治区</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本</w:t>
      </w:r>
      <w:r>
        <w:rPr>
          <w:rFonts w:hint="eastAsia" w:ascii="Times New Roman" w:hAnsi="Times New Roman" w:eastAsia="仿宋_GB2312"/>
          <w:color w:val="auto"/>
          <w:lang w:val="en-US" w:eastAsia="zh-CN"/>
        </w:rPr>
        <w:t>区域评估报告</w:t>
      </w:r>
      <w:r>
        <w:rPr>
          <w:rFonts w:hint="eastAsia" w:ascii="Times New Roman" w:hAnsi="Times New Roman" w:eastAsia="仿宋_GB2312"/>
          <w:color w:val="auto"/>
        </w:rPr>
        <w:t>补充对苗木移栽防治区的临时排水及沉沙措施，疏导场地内雨水，防止发生大面积水土流失。</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（1）临时防护工程</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苗木移栽期间，将产生大面积裸露区域，根据实际需求，于苗木移栽区补充设置临时排水沉沙措施，组织场地内雨水走向，防止发生大面积水土流失。工程量：临时排水沟182m、临时沉沙池1座。</w:t>
      </w:r>
    </w:p>
    <w:p>
      <w:pPr>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olor w:val="auto"/>
        </w:rPr>
        <w:t>苗木移栽</w:t>
      </w:r>
      <w:r>
        <w:rPr>
          <w:rFonts w:hint="eastAsia" w:ascii="Times New Roman" w:hAnsi="Times New Roman" w:eastAsia="仿宋_GB2312"/>
          <w:color w:val="auto"/>
        </w:rPr>
        <w:t>防治区</w:t>
      </w:r>
      <w:r>
        <w:rPr>
          <w:rFonts w:ascii="Times New Roman" w:hAnsi="Times New Roman" w:eastAsia="仿宋_GB2312" w:cs="Times New Roman"/>
          <w:color w:val="auto"/>
        </w:rPr>
        <w:t>水土保持措施工程量详见表5.3-</w:t>
      </w:r>
      <w:r>
        <w:rPr>
          <w:rFonts w:hint="eastAsia" w:ascii="Times New Roman" w:hAnsi="Times New Roman" w:eastAsia="仿宋_GB2312" w:cs="Times New Roman"/>
          <w:color w:val="auto"/>
          <w:lang w:val="en-US" w:eastAsia="zh-CN"/>
        </w:rPr>
        <w:t>7</w:t>
      </w:r>
      <w:r>
        <w:rPr>
          <w:rFonts w:ascii="Times New Roman" w:hAnsi="Times New Roman" w:eastAsia="仿宋_GB2312" w:cs="Times New Roman"/>
          <w:color w:val="auto"/>
        </w:rPr>
        <w:t>。</w:t>
      </w:r>
    </w:p>
    <w:p>
      <w:pPr>
        <w:spacing w:line="360" w:lineRule="auto"/>
        <w:jc w:val="center"/>
        <w:rPr>
          <w:rFonts w:ascii="Times New Roman" w:hAnsi="Times New Roman" w:eastAsia="仿宋_GB2312" w:cs="Times New Roman"/>
          <w:b/>
          <w:color w:val="auto"/>
        </w:rPr>
      </w:pPr>
      <w:r>
        <w:rPr>
          <w:rFonts w:ascii="Times New Roman" w:hAnsi="Times New Roman" w:eastAsia="仿宋_GB2312" w:cs="Times New Roman"/>
          <w:b/>
          <w:color w:val="auto"/>
        </w:rPr>
        <w:t>表5.3-</w:t>
      </w:r>
      <w:r>
        <w:rPr>
          <w:rFonts w:hint="eastAsia" w:ascii="Times New Roman" w:hAnsi="Times New Roman" w:eastAsia="仿宋_GB2312" w:cs="Times New Roman"/>
          <w:b/>
          <w:color w:val="auto"/>
          <w:lang w:val="en-US" w:eastAsia="zh-CN"/>
        </w:rPr>
        <w:t>7</w:t>
      </w:r>
      <w:r>
        <w:rPr>
          <w:rFonts w:ascii="Times New Roman" w:hAnsi="Times New Roman" w:eastAsia="仿宋_GB2312" w:cs="Times New Roman"/>
          <w:b/>
          <w:color w:val="auto"/>
        </w:rPr>
        <w:t>：</w:t>
      </w:r>
      <w:r>
        <w:rPr>
          <w:rFonts w:ascii="Times New Roman" w:hAnsi="Times New Roman" w:eastAsia="仿宋_GB2312" w:cstheme="minorBidi"/>
          <w:b/>
          <w:color w:val="auto"/>
        </w:rPr>
        <w:t>苗木移栽</w:t>
      </w:r>
      <w:r>
        <w:rPr>
          <w:rFonts w:hint="eastAsia" w:ascii="Times New Roman" w:hAnsi="Times New Roman" w:eastAsia="仿宋_GB2312" w:cstheme="minorBidi"/>
          <w:b/>
          <w:color w:val="auto"/>
        </w:rPr>
        <w:t>防治区</w:t>
      </w:r>
      <w:r>
        <w:rPr>
          <w:rFonts w:ascii="Times New Roman" w:hAnsi="Times New Roman" w:eastAsia="仿宋_GB2312" w:cs="Times New Roman"/>
          <w:b/>
          <w:color w:val="auto"/>
        </w:rPr>
        <w:t>水土保持措施工程量表</w:t>
      </w:r>
    </w:p>
    <w:tbl>
      <w:tblPr>
        <w:tblStyle w:val="37"/>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678"/>
        <w:gridCol w:w="3029"/>
        <w:gridCol w:w="1798"/>
        <w:gridCol w:w="201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985" w:type="pct"/>
            <w:tcBorders>
              <w:tl2br w:val="nil"/>
              <w:tr2bl w:val="nil"/>
            </w:tcBorders>
            <w:shd w:val="clear" w:color="auto" w:fill="auto"/>
            <w:noWrap/>
            <w:vAlign w:val="center"/>
          </w:tcPr>
          <w:p>
            <w:pPr>
              <w:widowControl/>
              <w:spacing w:line="240" w:lineRule="atLeast"/>
              <w:jc w:val="center"/>
              <w:textAlignment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kern w:val="0"/>
                <w:sz w:val="21"/>
                <w:szCs w:val="21"/>
              </w:rPr>
              <w:t>序号</w:t>
            </w:r>
          </w:p>
        </w:tc>
        <w:tc>
          <w:tcPr>
            <w:tcW w:w="1778" w:type="pct"/>
            <w:tcBorders>
              <w:tl2br w:val="nil"/>
              <w:tr2bl w:val="nil"/>
            </w:tcBorders>
            <w:shd w:val="clear" w:color="auto" w:fill="auto"/>
            <w:noWrap/>
            <w:vAlign w:val="center"/>
          </w:tcPr>
          <w:p>
            <w:pPr>
              <w:widowControl/>
              <w:spacing w:line="240" w:lineRule="atLeast"/>
              <w:jc w:val="center"/>
              <w:textAlignment w:val="center"/>
              <w:rPr>
                <w:rFonts w:hint="eastAsia" w:ascii="Times New Roman" w:hAnsi="Times New Roman" w:eastAsia="仿宋_GB2312" w:cs="Times New Roman"/>
                <w:b/>
                <w:bCs/>
                <w:color w:val="auto"/>
                <w:kern w:val="0"/>
                <w:sz w:val="21"/>
                <w:szCs w:val="21"/>
                <w:lang w:val="en-US" w:eastAsia="zh-CN"/>
              </w:rPr>
            </w:pPr>
            <w:r>
              <w:rPr>
                <w:rFonts w:ascii="Times New Roman" w:hAnsi="Times New Roman" w:eastAsia="仿宋_GB2312" w:cs="Times New Roman"/>
                <w:b/>
                <w:bCs/>
                <w:color w:val="auto"/>
                <w:kern w:val="0"/>
                <w:sz w:val="21"/>
                <w:szCs w:val="21"/>
              </w:rPr>
              <w:t>措施</w:t>
            </w:r>
            <w:r>
              <w:rPr>
                <w:rFonts w:hint="eastAsia" w:ascii="Times New Roman" w:hAnsi="Times New Roman" w:eastAsia="仿宋_GB2312" w:cs="Times New Roman"/>
                <w:b/>
                <w:bCs/>
                <w:color w:val="auto"/>
                <w:kern w:val="0"/>
                <w:sz w:val="21"/>
                <w:szCs w:val="21"/>
                <w:lang w:val="en-US" w:eastAsia="zh-CN"/>
              </w:rPr>
              <w:t>名称</w:t>
            </w:r>
          </w:p>
        </w:tc>
        <w:tc>
          <w:tcPr>
            <w:tcW w:w="1055" w:type="pct"/>
            <w:tcBorders>
              <w:tl2br w:val="nil"/>
              <w:tr2bl w:val="nil"/>
            </w:tcBorders>
            <w:shd w:val="clear" w:color="auto" w:fill="auto"/>
            <w:noWrap/>
            <w:vAlign w:val="center"/>
          </w:tcPr>
          <w:p>
            <w:pPr>
              <w:widowControl/>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单位</w:t>
            </w:r>
          </w:p>
        </w:tc>
        <w:tc>
          <w:tcPr>
            <w:tcW w:w="1182" w:type="pct"/>
            <w:tcBorders>
              <w:tl2br w:val="nil"/>
              <w:tr2bl w:val="nil"/>
            </w:tcBorders>
            <w:shd w:val="clear" w:color="auto" w:fill="auto"/>
            <w:noWrap/>
            <w:vAlign w:val="center"/>
          </w:tcPr>
          <w:p>
            <w:pPr>
              <w:widowControl/>
              <w:spacing w:line="240" w:lineRule="atLeast"/>
              <w:jc w:val="center"/>
              <w:textAlignment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kern w:val="0"/>
                <w:sz w:val="21"/>
                <w:szCs w:val="21"/>
              </w:rPr>
              <w:t>工程量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985" w:type="pct"/>
            <w:tcBorders>
              <w:tl2br w:val="nil"/>
              <w:tr2bl w:val="nil"/>
            </w:tcBorders>
            <w:shd w:val="clear" w:color="auto" w:fill="auto"/>
            <w:noWrap/>
            <w:vAlign w:val="center"/>
          </w:tcPr>
          <w:p>
            <w:pPr>
              <w:widowControl/>
              <w:spacing w:line="240" w:lineRule="atLeast"/>
              <w:jc w:val="center"/>
              <w:textAlignment w:val="center"/>
              <w:rPr>
                <w:rFonts w:ascii="Times New Roman" w:hAnsi="Times New Roman" w:eastAsia="仿宋_GB2312" w:cs="Times New Roman"/>
                <w:b/>
                <w:bCs/>
                <w:color w:val="auto"/>
                <w:kern w:val="0"/>
                <w:sz w:val="21"/>
                <w:szCs w:val="21"/>
              </w:rPr>
            </w:pPr>
            <w:r>
              <w:rPr>
                <w:rFonts w:hint="eastAsia" w:ascii="Times New Roman" w:hAnsi="Times New Roman" w:eastAsia="仿宋_GB2312" w:cs="Times New Roman"/>
                <w:b/>
                <w:bCs/>
                <w:color w:val="auto"/>
                <w:kern w:val="0"/>
                <w:sz w:val="21"/>
                <w:szCs w:val="21"/>
              </w:rPr>
              <w:t>一</w:t>
            </w:r>
          </w:p>
        </w:tc>
        <w:tc>
          <w:tcPr>
            <w:tcW w:w="1778" w:type="pct"/>
            <w:tcBorders>
              <w:tl2br w:val="nil"/>
              <w:tr2bl w:val="nil"/>
            </w:tcBorders>
            <w:shd w:val="clear" w:color="auto" w:fill="auto"/>
            <w:noWrap/>
            <w:vAlign w:val="center"/>
          </w:tcPr>
          <w:p>
            <w:pPr>
              <w:widowControl/>
              <w:spacing w:line="240" w:lineRule="atLeast"/>
              <w:jc w:val="center"/>
              <w:textAlignment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kern w:val="0"/>
                <w:sz w:val="21"/>
                <w:szCs w:val="21"/>
              </w:rPr>
              <w:t>临时措施</w:t>
            </w:r>
          </w:p>
        </w:tc>
        <w:tc>
          <w:tcPr>
            <w:tcW w:w="1055" w:type="pct"/>
            <w:tcBorders>
              <w:tl2br w:val="nil"/>
              <w:tr2bl w:val="nil"/>
            </w:tcBorders>
            <w:shd w:val="clear" w:color="auto" w:fill="auto"/>
            <w:noWrap/>
            <w:vAlign w:val="center"/>
          </w:tcPr>
          <w:p>
            <w:pPr>
              <w:widowControl/>
              <w:spacing w:line="240" w:lineRule="atLeast"/>
              <w:jc w:val="center"/>
              <w:rPr>
                <w:rFonts w:ascii="Times New Roman" w:hAnsi="Times New Roman" w:eastAsia="仿宋_GB2312" w:cs="Times New Roman"/>
                <w:color w:val="auto"/>
                <w:sz w:val="21"/>
                <w:szCs w:val="21"/>
              </w:rPr>
            </w:pPr>
          </w:p>
        </w:tc>
        <w:tc>
          <w:tcPr>
            <w:tcW w:w="1182" w:type="pct"/>
            <w:tcBorders>
              <w:tl2br w:val="nil"/>
              <w:tr2bl w:val="nil"/>
            </w:tcBorders>
            <w:shd w:val="clear" w:color="auto" w:fill="auto"/>
            <w:noWrap/>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985" w:type="pct"/>
            <w:tcBorders>
              <w:tl2br w:val="nil"/>
              <w:tr2bl w:val="nil"/>
            </w:tcBorders>
            <w:shd w:val="clear" w:color="auto" w:fill="auto"/>
            <w:noWrap/>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w:t>
            </w:r>
          </w:p>
        </w:tc>
        <w:tc>
          <w:tcPr>
            <w:tcW w:w="1778" w:type="pct"/>
            <w:tcBorders>
              <w:tl2br w:val="nil"/>
              <w:tr2bl w:val="nil"/>
            </w:tcBorders>
            <w:shd w:val="clear" w:color="auto" w:fill="auto"/>
            <w:noWrap/>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临时防护工程</w:t>
            </w:r>
          </w:p>
        </w:tc>
        <w:tc>
          <w:tcPr>
            <w:tcW w:w="1055" w:type="pct"/>
            <w:tcBorders>
              <w:tl2br w:val="nil"/>
              <w:tr2bl w:val="nil"/>
            </w:tcBorders>
            <w:shd w:val="clear" w:color="auto" w:fill="auto"/>
            <w:noWrap/>
            <w:vAlign w:val="center"/>
          </w:tcPr>
          <w:p>
            <w:pPr>
              <w:widowControl/>
              <w:spacing w:line="240" w:lineRule="atLeast"/>
              <w:jc w:val="center"/>
              <w:rPr>
                <w:rFonts w:ascii="Times New Roman" w:hAnsi="Times New Roman" w:eastAsia="仿宋_GB2312" w:cs="Times New Roman"/>
                <w:color w:val="auto"/>
                <w:sz w:val="21"/>
                <w:szCs w:val="21"/>
              </w:rPr>
            </w:pPr>
          </w:p>
        </w:tc>
        <w:tc>
          <w:tcPr>
            <w:tcW w:w="1182" w:type="pct"/>
            <w:tcBorders>
              <w:tl2br w:val="nil"/>
              <w:tr2bl w:val="nil"/>
            </w:tcBorders>
            <w:shd w:val="clear" w:color="auto" w:fill="auto"/>
            <w:noWrap/>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985" w:type="pct"/>
            <w:tcBorders>
              <w:tl2br w:val="nil"/>
              <w:tr2bl w:val="nil"/>
            </w:tcBorders>
            <w:shd w:val="clear" w:color="auto" w:fill="auto"/>
            <w:noWrap/>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w:t>
            </w:r>
          </w:p>
        </w:tc>
        <w:tc>
          <w:tcPr>
            <w:tcW w:w="1778" w:type="pct"/>
            <w:tcBorders>
              <w:tl2br w:val="nil"/>
              <w:tr2bl w:val="nil"/>
            </w:tcBorders>
            <w:shd w:val="clear" w:color="auto" w:fill="auto"/>
            <w:noWrap/>
            <w:vAlign w:val="center"/>
          </w:tcPr>
          <w:p>
            <w:pPr>
              <w:widowControl/>
              <w:spacing w:line="240" w:lineRule="atLeast"/>
              <w:jc w:val="center"/>
              <w:textAlignment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临时排水沟</w:t>
            </w:r>
            <w:r>
              <w:rPr>
                <w:rFonts w:hint="eastAsia" w:ascii="仿宋_GB2312" w:hAnsi="Cambria Math" w:eastAsia="仿宋_GB2312" w:cs="Cambria Math"/>
                <w:color w:val="auto"/>
                <w:kern w:val="0"/>
                <w:sz w:val="21"/>
                <w:szCs w:val="21"/>
              </w:rPr>
              <w:t>◆</w:t>
            </w:r>
          </w:p>
        </w:tc>
        <w:tc>
          <w:tcPr>
            <w:tcW w:w="1055" w:type="pct"/>
            <w:tcBorders>
              <w:tl2br w:val="nil"/>
              <w:tr2bl w:val="nil"/>
            </w:tcBorders>
            <w:shd w:val="clear" w:color="auto" w:fill="auto"/>
            <w:noWrap/>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1182" w:type="pct"/>
            <w:tcBorders>
              <w:tl2br w:val="nil"/>
              <w:tr2bl w:val="nil"/>
            </w:tcBorders>
            <w:shd w:val="clear" w:color="auto" w:fill="auto"/>
            <w:noWrap/>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182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985" w:type="pct"/>
            <w:tcBorders>
              <w:tl2br w:val="nil"/>
              <w:tr2bl w:val="nil"/>
            </w:tcBorders>
            <w:shd w:val="clear" w:color="auto" w:fill="auto"/>
            <w:noWrap/>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w:t>
            </w:r>
          </w:p>
        </w:tc>
        <w:tc>
          <w:tcPr>
            <w:tcW w:w="1778" w:type="pct"/>
            <w:tcBorders>
              <w:tl2br w:val="nil"/>
              <w:tr2bl w:val="nil"/>
            </w:tcBorders>
            <w:shd w:val="clear" w:color="auto" w:fill="auto"/>
            <w:noWrap/>
            <w:vAlign w:val="center"/>
          </w:tcPr>
          <w:p>
            <w:pPr>
              <w:widowControl/>
              <w:spacing w:line="240" w:lineRule="atLeast"/>
              <w:jc w:val="center"/>
              <w:textAlignment w:val="center"/>
              <w:rPr>
                <w:rFonts w:ascii="仿宋_GB2312" w:hAnsi="Times New Roman" w:eastAsia="仿宋_GB2312" w:cs="Times New Roman"/>
                <w:color w:val="auto"/>
                <w:sz w:val="21"/>
                <w:szCs w:val="21"/>
              </w:rPr>
            </w:pPr>
            <w:r>
              <w:rPr>
                <w:rFonts w:hint="eastAsia" w:ascii="仿宋_GB2312" w:hAnsi="Times New Roman" w:eastAsia="仿宋_GB2312" w:cs="Times New Roman"/>
                <w:color w:val="auto"/>
                <w:kern w:val="0"/>
                <w:sz w:val="21"/>
                <w:szCs w:val="21"/>
              </w:rPr>
              <w:t>临时沉沙池</w:t>
            </w:r>
            <w:r>
              <w:rPr>
                <w:rFonts w:hint="eastAsia" w:ascii="仿宋_GB2312" w:hAnsi="Cambria Math" w:eastAsia="仿宋_GB2312" w:cs="Cambria Math"/>
                <w:color w:val="auto"/>
                <w:kern w:val="0"/>
                <w:sz w:val="21"/>
                <w:szCs w:val="21"/>
              </w:rPr>
              <w:t>◆</w:t>
            </w:r>
          </w:p>
        </w:tc>
        <w:tc>
          <w:tcPr>
            <w:tcW w:w="1055" w:type="pct"/>
            <w:tcBorders>
              <w:tl2br w:val="nil"/>
              <w:tr2bl w:val="nil"/>
            </w:tcBorders>
            <w:shd w:val="clear" w:color="auto" w:fill="auto"/>
            <w:noWrap/>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座</w:t>
            </w:r>
          </w:p>
        </w:tc>
        <w:tc>
          <w:tcPr>
            <w:tcW w:w="1182" w:type="pct"/>
            <w:tcBorders>
              <w:tl2br w:val="nil"/>
              <w:tr2bl w:val="nil"/>
            </w:tcBorders>
            <w:shd w:val="clear" w:color="auto" w:fill="auto"/>
            <w:noWrap/>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r>
    </w:tbl>
    <w:p>
      <w:pPr>
        <w:pStyle w:val="180"/>
        <w:spacing w:line="360" w:lineRule="auto"/>
        <w:ind w:firstLine="420"/>
        <w:rPr>
          <w:rFonts w:hint="default" w:ascii="Times New Roman" w:hAnsi="Times New Roman" w:eastAsia="仿宋_GB2312" w:cs="Times New Roman"/>
          <w:color w:val="auto"/>
          <w:szCs w:val="24"/>
        </w:rPr>
      </w:pPr>
      <w:r>
        <w:rPr>
          <w:rFonts w:ascii="Times New Roman" w:hAnsi="Times New Roman" w:eastAsia="仿宋_GB2312" w:cs="Times New Roman"/>
          <w:color w:val="auto"/>
          <w:szCs w:val="24"/>
        </w:rPr>
        <w:t>注：</w:t>
      </w:r>
      <w:r>
        <w:rPr>
          <w:rFonts w:ascii="宋体" w:hAnsi="宋体" w:cs="宋体"/>
          <w:bCs/>
          <w:color w:val="auto"/>
          <w:szCs w:val="24"/>
        </w:rPr>
        <w:t>◆</w:t>
      </w:r>
      <w:r>
        <w:rPr>
          <w:rFonts w:ascii="Times New Roman" w:hAnsi="Times New Roman" w:eastAsia="仿宋_GB2312" w:cs="Times New Roman"/>
          <w:color w:val="auto"/>
          <w:szCs w:val="24"/>
        </w:rPr>
        <w:t>表示本</w:t>
      </w:r>
      <w:r>
        <w:rPr>
          <w:rFonts w:hint="eastAsia" w:ascii="Times New Roman" w:hAnsi="Times New Roman" w:eastAsia="仿宋_GB2312" w:cs="Times New Roman"/>
          <w:color w:val="auto"/>
          <w:szCs w:val="24"/>
          <w:lang w:val="en-US" w:eastAsia="zh-CN"/>
        </w:rPr>
        <w:t>区域评估报告</w:t>
      </w:r>
      <w:r>
        <w:rPr>
          <w:rFonts w:ascii="Times New Roman" w:hAnsi="Times New Roman" w:eastAsia="仿宋_GB2312" w:cs="Times New Roman"/>
          <w:color w:val="auto"/>
          <w:szCs w:val="24"/>
        </w:rPr>
        <w:t>新增或补充完善措施</w:t>
      </w:r>
    </w:p>
    <w:p>
      <w:pPr>
        <w:pStyle w:val="6"/>
        <w:bidi w:val="0"/>
        <w:rPr>
          <w:color w:val="auto"/>
        </w:rPr>
      </w:pPr>
      <w:bookmarkStart w:id="330" w:name="_Toc11313"/>
      <w:r>
        <w:rPr>
          <w:color w:val="auto"/>
        </w:rPr>
        <w:t>5.3</w:t>
      </w:r>
      <w:r>
        <w:rPr>
          <w:rFonts w:hint="eastAsia"/>
          <w:color w:val="auto"/>
          <w:lang w:val="en-US" w:eastAsia="zh-CN"/>
        </w:rPr>
        <w:t>.3</w:t>
      </w:r>
      <w:bookmarkEnd w:id="327"/>
      <w:bookmarkEnd w:id="330"/>
      <w:r>
        <w:rPr>
          <w:color w:val="auto"/>
        </w:rPr>
        <w:t>防治措施设计标准及技术要求</w:t>
      </w:r>
    </w:p>
    <w:p>
      <w:pPr>
        <w:adjustRightInd w:val="0"/>
        <w:spacing w:line="360" w:lineRule="auto"/>
        <w:ind w:firstLine="480" w:firstLineChars="200"/>
        <w:rPr>
          <w:rFonts w:ascii="Times New Roman" w:hAnsi="Times New Roman" w:eastAsia="仿宋_GB2312" w:cs="Times New Roman"/>
          <w:color w:val="auto"/>
          <w:szCs w:val="24"/>
        </w:rPr>
      </w:pPr>
      <w:bookmarkStart w:id="331" w:name="_Toc11730"/>
      <w:r>
        <w:rPr>
          <w:rFonts w:ascii="Times New Roman" w:hAnsi="Times New Roman" w:eastAsia="仿宋_GB2312" w:cs="Times New Roman"/>
          <w:color w:val="auto"/>
          <w:szCs w:val="24"/>
        </w:rPr>
        <w:t>按照确定的水土流失防治标准要求，拟定本</w:t>
      </w:r>
      <w:r>
        <w:rPr>
          <w:rFonts w:hint="eastAsia" w:ascii="Times New Roman" w:hAnsi="Times New Roman" w:eastAsia="仿宋_GB2312" w:cs="Times New Roman"/>
          <w:color w:val="auto"/>
          <w:szCs w:val="24"/>
          <w:lang w:val="en-US" w:eastAsia="zh-CN"/>
        </w:rPr>
        <w:t>区域评估报告</w:t>
      </w:r>
      <w:r>
        <w:rPr>
          <w:rFonts w:ascii="Times New Roman" w:hAnsi="Times New Roman" w:eastAsia="仿宋_GB2312" w:cs="Times New Roman"/>
          <w:color w:val="auto"/>
          <w:szCs w:val="24"/>
        </w:rPr>
        <w:t>工程措施、植物措施及临时措施的设计标准及技术要求如下：</w:t>
      </w:r>
    </w:p>
    <w:p>
      <w:pPr>
        <w:adjustRightInd w:val="0"/>
        <w:spacing w:line="360" w:lineRule="auto"/>
        <w:ind w:left="480"/>
        <w:rPr>
          <w:rFonts w:ascii="Times New Roman" w:hAnsi="Times New Roman" w:eastAsia="仿宋_GB2312" w:cs="Times New Roman"/>
          <w:b/>
          <w:color w:val="auto"/>
          <w:szCs w:val="24"/>
        </w:rPr>
      </w:pPr>
      <w:r>
        <w:rPr>
          <w:rFonts w:ascii="Times New Roman" w:hAnsi="Times New Roman" w:eastAsia="仿宋_GB2312" w:cs="Times New Roman"/>
          <w:b/>
          <w:color w:val="auto"/>
          <w:szCs w:val="24"/>
        </w:rPr>
        <w:t>（一）工程措施</w:t>
      </w:r>
    </w:p>
    <w:p>
      <w:pPr>
        <w:adjustRightIn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（1）</w:t>
      </w:r>
      <w:r>
        <w:rPr>
          <w:rFonts w:ascii="Times New Roman" w:hAnsi="Times New Roman" w:eastAsia="仿宋_GB2312" w:cs="Times New Roman"/>
          <w:color w:val="auto"/>
          <w:szCs w:val="24"/>
        </w:rPr>
        <w:t>土地整治工程</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根据《水土保持工程设计规范》（GB51018-2014），本项目位于南方红壤区，考虑项目区表土厚度及施工条件等因素，表土剥离的厚度</w:t>
      </w:r>
      <w:r>
        <w:rPr>
          <w:rFonts w:hint="eastAsia" w:ascii="Times New Roman" w:hAnsi="Times New Roman" w:eastAsia="仿宋_GB2312" w:cs="Times New Roman"/>
          <w:color w:val="auto"/>
          <w:szCs w:val="24"/>
        </w:rPr>
        <w:t>为</w:t>
      </w:r>
      <w:r>
        <w:rPr>
          <w:rFonts w:ascii="Times New Roman" w:hAnsi="Times New Roman" w:eastAsia="仿宋_GB2312" w:cs="Times New Roman"/>
          <w:color w:val="auto"/>
          <w:szCs w:val="24"/>
        </w:rPr>
        <w:t>20</w:t>
      </w:r>
      <w:r>
        <w:rPr>
          <w:rFonts w:hint="eastAsia" w:ascii="Times New Roman" w:hAnsi="Times New Roman" w:eastAsia="仿宋_GB2312" w:cs="Times New Roman"/>
          <w:color w:val="auto"/>
          <w:szCs w:val="24"/>
        </w:rPr>
        <w:t>~30</w:t>
      </w:r>
      <w:r>
        <w:rPr>
          <w:rFonts w:ascii="Times New Roman" w:hAnsi="Times New Roman" w:eastAsia="仿宋_GB2312" w:cs="Times New Roman"/>
          <w:color w:val="auto"/>
          <w:szCs w:val="24"/>
        </w:rPr>
        <w:t>cm，根据原占地类型、立地条件及环境绿化等需要，土地平整后表土回填厚度按</w:t>
      </w:r>
      <w:r>
        <w:rPr>
          <w:rFonts w:hint="eastAsia" w:ascii="Times New Roman" w:hAnsi="Times New Roman" w:eastAsia="仿宋_GB2312" w:cs="Times New Roman"/>
          <w:color w:val="auto"/>
          <w:szCs w:val="24"/>
        </w:rPr>
        <w:t>20</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4</w:t>
      </w:r>
      <w:r>
        <w:rPr>
          <w:rFonts w:ascii="Times New Roman" w:hAnsi="Times New Roman" w:eastAsia="仿宋_GB2312" w:cs="Times New Roman"/>
          <w:color w:val="auto"/>
          <w:szCs w:val="24"/>
        </w:rPr>
        <w:t>0cm的标准。</w:t>
      </w:r>
    </w:p>
    <w:p>
      <w:pPr>
        <w:adjustRightIn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（2）</w:t>
      </w:r>
      <w:r>
        <w:rPr>
          <w:rFonts w:ascii="Times New Roman" w:hAnsi="Times New Roman" w:eastAsia="仿宋_GB2312" w:cs="Times New Roman"/>
          <w:color w:val="auto"/>
          <w:szCs w:val="24"/>
        </w:rPr>
        <w:t>排水标准及等级</w:t>
      </w:r>
    </w:p>
    <w:p>
      <w:pPr>
        <w:adjustRightIn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排水标准按照《水土保持工程设计规范》（GB51018-2014）和《水利水电工程水土保持技术规范》（SL575-2012）的有关标准确定，原排水工程等级为二级，防洪标准为</w:t>
      </w:r>
      <w:r>
        <w:rPr>
          <w:rFonts w:hint="eastAsia" w:ascii="Times New Roman" w:hAnsi="Times New Roman" w:eastAsia="仿宋_GB2312" w:cs="Times New Roman"/>
          <w:color w:val="auto"/>
          <w:szCs w:val="24"/>
        </w:rPr>
        <w:t>20</w:t>
      </w:r>
      <w:r>
        <w:rPr>
          <w:rFonts w:ascii="Times New Roman" w:hAnsi="Times New Roman" w:eastAsia="仿宋_GB2312" w:cs="Times New Roman"/>
          <w:color w:val="auto"/>
          <w:szCs w:val="24"/>
        </w:rPr>
        <w:t>年一遇，主体工程已提升至</w:t>
      </w:r>
      <w:r>
        <w:rPr>
          <w:rFonts w:hint="eastAsia" w:ascii="Times New Roman" w:hAnsi="Times New Roman" w:eastAsia="仿宋_GB2312" w:cs="Times New Roman"/>
          <w:color w:val="auto"/>
          <w:szCs w:val="24"/>
        </w:rPr>
        <w:t>50年一遇一日暴雨加工业、生活污水一日内排至不淹重要建筑物高程的治涝设计标准</w:t>
      </w:r>
      <w:r>
        <w:rPr>
          <w:rFonts w:ascii="Times New Roman" w:hAnsi="Times New Roman" w:eastAsia="仿宋_GB2312" w:cs="Times New Roman"/>
          <w:color w:val="auto"/>
          <w:szCs w:val="24"/>
        </w:rPr>
        <w:t>。本项目排水标准按</w:t>
      </w:r>
      <w:r>
        <w:rPr>
          <w:rFonts w:hint="eastAsia" w:ascii="Times New Roman" w:hAnsi="Times New Roman" w:eastAsia="仿宋_GB2312" w:cs="Times New Roman"/>
          <w:color w:val="auto"/>
          <w:szCs w:val="24"/>
          <w:lang w:val="en-US" w:eastAsia="zh-CN"/>
        </w:rPr>
        <w:t>50</w:t>
      </w:r>
      <w:r>
        <w:rPr>
          <w:rFonts w:ascii="Times New Roman" w:hAnsi="Times New Roman" w:eastAsia="仿宋_GB2312" w:cs="Times New Roman"/>
          <w:color w:val="auto"/>
          <w:szCs w:val="24"/>
        </w:rPr>
        <w:t>年一遇最大10min降雨量考虑，即P=2%的最大10min降雨量考虑。根据《江西省暴雨洪水查算手册》，查出项目区10min暴雨均值和变差系数Cv（详见表5.3-</w:t>
      </w:r>
      <w:r>
        <w:rPr>
          <w:rFonts w:hint="eastAsia" w:ascii="Times New Roman" w:hAnsi="Times New Roman" w:eastAsia="仿宋_GB2312" w:cs="Times New Roman"/>
          <w:color w:val="auto"/>
          <w:szCs w:val="24"/>
          <w:lang w:val="en-US" w:eastAsia="zh-CN"/>
        </w:rPr>
        <w:t>1</w:t>
      </w:r>
      <w:r>
        <w:rPr>
          <w:rFonts w:ascii="Times New Roman" w:hAnsi="Times New Roman" w:eastAsia="仿宋_GB2312" w:cs="Times New Roman"/>
          <w:color w:val="auto"/>
          <w:szCs w:val="24"/>
        </w:rPr>
        <w:t>）</w:t>
      </w:r>
    </w:p>
    <w:p>
      <w:pPr>
        <w:snapToGrid w:val="0"/>
        <w:spacing w:line="360" w:lineRule="auto"/>
        <w:jc w:val="center"/>
        <w:rPr>
          <w:rFonts w:ascii="Times New Roman" w:hAnsi="Times New Roman" w:eastAsia="仿宋_GB2312" w:cs="Times New Roman"/>
          <w:b/>
          <w:color w:val="auto"/>
          <w:szCs w:val="24"/>
        </w:rPr>
      </w:pPr>
      <w:r>
        <w:rPr>
          <w:rFonts w:hint="eastAsia" w:ascii="Times New Roman" w:hAnsi="Times New Roman" w:eastAsia="仿宋_GB2312" w:cs="Times New Roman"/>
          <w:b/>
          <w:color w:val="auto"/>
          <w:szCs w:val="24"/>
        </w:rPr>
        <w:t>表5.3-</w:t>
      </w:r>
      <w:r>
        <w:rPr>
          <w:rFonts w:hint="eastAsia" w:ascii="Times New Roman" w:hAnsi="Times New Roman" w:eastAsia="仿宋_GB2312" w:cs="Times New Roman"/>
          <w:b/>
          <w:color w:val="auto"/>
          <w:szCs w:val="24"/>
          <w:lang w:val="en-US" w:eastAsia="zh-CN"/>
        </w:rPr>
        <w:t>1</w:t>
      </w:r>
      <w:r>
        <w:rPr>
          <w:rFonts w:hint="eastAsia" w:ascii="Times New Roman" w:hAnsi="Times New Roman" w:eastAsia="仿宋_GB2312" w:cs="Times New Roman"/>
          <w:b/>
          <w:color w:val="auto"/>
          <w:szCs w:val="24"/>
        </w:rPr>
        <w:t>：</w:t>
      </w:r>
      <w:r>
        <w:rPr>
          <w:rFonts w:ascii="Times New Roman" w:hAnsi="Times New Roman" w:eastAsia="仿宋_GB2312" w:cs="Times New Roman"/>
          <w:b/>
          <w:color w:val="auto"/>
          <w:szCs w:val="24"/>
        </w:rPr>
        <w:t>项目区水文特性表</w:t>
      </w:r>
    </w:p>
    <w:tbl>
      <w:tblPr>
        <w:tblStyle w:val="37"/>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388"/>
        <w:gridCol w:w="2265"/>
        <w:gridCol w:w="1924"/>
        <w:gridCol w:w="294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814" w:type="pct"/>
            <w:noWrap/>
            <w:vAlign w:val="center"/>
          </w:tcPr>
          <w:p>
            <w:pPr>
              <w:widowControl/>
              <w:spacing w:line="240" w:lineRule="atLeast"/>
              <w:jc w:val="center"/>
              <w:rPr>
                <w:rFonts w:ascii="Times New Roman" w:hAnsi="Times New Roman" w:eastAsia="仿宋_GB2312" w:cs="Times New Roman"/>
                <w:b/>
                <w:bCs/>
                <w:color w:val="auto"/>
                <w:kern w:val="0"/>
                <w:sz w:val="22"/>
              </w:rPr>
            </w:pPr>
            <w:r>
              <w:rPr>
                <w:rFonts w:ascii="Times New Roman" w:hAnsi="Times New Roman" w:eastAsia="仿宋_GB2312" w:cs="Times New Roman"/>
                <w:b/>
                <w:bCs/>
                <w:color w:val="auto"/>
                <w:kern w:val="0"/>
                <w:sz w:val="22"/>
              </w:rPr>
              <w:t>所属地</w:t>
            </w:r>
          </w:p>
        </w:tc>
        <w:tc>
          <w:tcPr>
            <w:tcW w:w="1329" w:type="pct"/>
            <w:noWrap/>
            <w:vAlign w:val="center"/>
          </w:tcPr>
          <w:p>
            <w:pPr>
              <w:widowControl/>
              <w:spacing w:line="240" w:lineRule="atLeast"/>
              <w:jc w:val="center"/>
              <w:rPr>
                <w:rFonts w:ascii="Times New Roman" w:hAnsi="Times New Roman" w:eastAsia="仿宋_GB2312" w:cs="Times New Roman"/>
                <w:b/>
                <w:bCs/>
                <w:color w:val="auto"/>
                <w:kern w:val="0"/>
                <w:sz w:val="22"/>
              </w:rPr>
            </w:pPr>
            <w:r>
              <w:rPr>
                <w:rFonts w:ascii="Times New Roman" w:hAnsi="Times New Roman" w:eastAsia="仿宋_GB2312" w:cs="Times New Roman"/>
                <w:b/>
                <w:bCs/>
                <w:color w:val="auto"/>
                <w:kern w:val="0"/>
                <w:sz w:val="22"/>
              </w:rPr>
              <w:t>最大10min暴雨均值</w:t>
            </w:r>
          </w:p>
        </w:tc>
        <w:tc>
          <w:tcPr>
            <w:tcW w:w="1129" w:type="pct"/>
            <w:noWrap/>
            <w:vAlign w:val="center"/>
          </w:tcPr>
          <w:p>
            <w:pPr>
              <w:widowControl/>
              <w:spacing w:line="240" w:lineRule="atLeast"/>
              <w:jc w:val="center"/>
              <w:rPr>
                <w:rFonts w:ascii="Times New Roman" w:hAnsi="Times New Roman" w:eastAsia="仿宋_GB2312" w:cs="Times New Roman"/>
                <w:b/>
                <w:bCs/>
                <w:color w:val="auto"/>
                <w:kern w:val="0"/>
                <w:sz w:val="22"/>
              </w:rPr>
            </w:pPr>
            <w:r>
              <w:rPr>
                <w:rFonts w:ascii="Times New Roman" w:hAnsi="Times New Roman" w:eastAsia="仿宋_GB2312" w:cs="Times New Roman"/>
                <w:b/>
                <w:bCs/>
                <w:color w:val="auto"/>
                <w:kern w:val="0"/>
                <w:sz w:val="22"/>
              </w:rPr>
              <w:t>变差系数C</w:t>
            </w:r>
            <w:r>
              <w:rPr>
                <w:rFonts w:ascii="Times New Roman" w:hAnsi="Times New Roman" w:eastAsia="仿宋_GB2312" w:cs="Times New Roman"/>
                <w:b/>
                <w:bCs/>
                <w:color w:val="auto"/>
                <w:kern w:val="0"/>
                <w:sz w:val="22"/>
                <w:vertAlign w:val="subscript"/>
              </w:rPr>
              <w:t>v</w:t>
            </w:r>
          </w:p>
        </w:tc>
        <w:tc>
          <w:tcPr>
            <w:tcW w:w="1728" w:type="pct"/>
            <w:noWrap/>
            <w:vAlign w:val="center"/>
          </w:tcPr>
          <w:p>
            <w:pPr>
              <w:widowControl/>
              <w:spacing w:line="240" w:lineRule="atLeast"/>
              <w:jc w:val="center"/>
              <w:rPr>
                <w:rFonts w:ascii="Times New Roman" w:hAnsi="Times New Roman" w:eastAsia="仿宋_GB2312" w:cs="Times New Roman"/>
                <w:b/>
                <w:bCs/>
                <w:color w:val="auto"/>
                <w:kern w:val="0"/>
                <w:sz w:val="22"/>
              </w:rPr>
            </w:pPr>
            <w:r>
              <w:rPr>
                <w:rFonts w:ascii="Times New Roman" w:hAnsi="Times New Roman" w:eastAsia="仿宋_GB2312" w:cs="Times New Roman"/>
                <w:b/>
                <w:bCs/>
                <w:color w:val="auto"/>
                <w:kern w:val="0"/>
                <w:sz w:val="22"/>
              </w:rPr>
              <w:t>P=2%的最大10min降雨量（C s =3.5C</w:t>
            </w:r>
            <w:r>
              <w:rPr>
                <w:rFonts w:ascii="Times New Roman" w:hAnsi="Times New Roman" w:eastAsia="仿宋_GB2312" w:cs="Times New Roman"/>
                <w:b/>
                <w:bCs/>
                <w:color w:val="auto"/>
                <w:kern w:val="0"/>
                <w:sz w:val="22"/>
                <w:vertAlign w:val="subscript"/>
              </w:rPr>
              <w:t>v</w:t>
            </w:r>
            <w:r>
              <w:rPr>
                <w:rFonts w:ascii="Times New Roman" w:hAnsi="Times New Roman" w:eastAsia="仿宋_GB2312" w:cs="Times New Roman"/>
                <w:b/>
                <w:bCs/>
                <w:color w:val="auto"/>
                <w:kern w:val="0"/>
                <w:sz w:val="22"/>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814" w:type="pct"/>
            <w:noWrap/>
            <w:vAlign w:val="center"/>
          </w:tcPr>
          <w:p>
            <w:pPr>
              <w:widowControl/>
              <w:spacing w:line="240" w:lineRule="atLeast"/>
              <w:jc w:val="center"/>
              <w:rPr>
                <w:rFonts w:ascii="Times New Roman" w:hAnsi="Times New Roman" w:eastAsia="仿宋_GB2312" w:cs="Times New Roman"/>
                <w:color w:val="auto"/>
                <w:kern w:val="0"/>
                <w:sz w:val="22"/>
              </w:rPr>
            </w:pPr>
            <w:r>
              <w:rPr>
                <w:rFonts w:hint="eastAsia" w:ascii="Times New Roman" w:hAnsi="Times New Roman" w:eastAsia="仿宋_GB2312" w:cs="Times New Roman"/>
                <w:color w:val="auto"/>
                <w:kern w:val="0"/>
                <w:sz w:val="22"/>
              </w:rPr>
              <w:t>青山湖区</w:t>
            </w:r>
          </w:p>
        </w:tc>
        <w:tc>
          <w:tcPr>
            <w:tcW w:w="1329" w:type="pct"/>
            <w:noWrap/>
            <w:vAlign w:val="center"/>
          </w:tcPr>
          <w:p>
            <w:pPr>
              <w:widowControl/>
              <w:spacing w:line="240" w:lineRule="atLeast"/>
              <w:jc w:val="center"/>
              <w:rPr>
                <w:rFonts w:ascii="Times New Roman" w:hAnsi="Times New Roman" w:eastAsia="仿宋_GB2312" w:cs="Times New Roman"/>
                <w:color w:val="auto"/>
                <w:kern w:val="0"/>
                <w:sz w:val="22"/>
              </w:rPr>
            </w:pPr>
            <w:r>
              <w:rPr>
                <w:rFonts w:ascii="Times New Roman" w:hAnsi="Times New Roman" w:eastAsia="仿宋_GB2312" w:cs="Times New Roman"/>
                <w:color w:val="auto"/>
                <w:kern w:val="0"/>
                <w:sz w:val="22"/>
              </w:rPr>
              <w:t>1</w:t>
            </w:r>
            <w:r>
              <w:rPr>
                <w:rFonts w:hint="eastAsia" w:ascii="Times New Roman" w:hAnsi="Times New Roman" w:eastAsia="仿宋_GB2312" w:cs="Times New Roman"/>
                <w:color w:val="auto"/>
                <w:kern w:val="0"/>
                <w:sz w:val="22"/>
              </w:rPr>
              <w:t>8.4</w:t>
            </w:r>
          </w:p>
        </w:tc>
        <w:tc>
          <w:tcPr>
            <w:tcW w:w="1129" w:type="pct"/>
            <w:noWrap/>
            <w:vAlign w:val="center"/>
          </w:tcPr>
          <w:p>
            <w:pPr>
              <w:widowControl/>
              <w:spacing w:line="240" w:lineRule="atLeast"/>
              <w:jc w:val="center"/>
              <w:rPr>
                <w:rFonts w:ascii="Times New Roman" w:hAnsi="Times New Roman" w:eastAsia="仿宋_GB2312" w:cs="Times New Roman"/>
                <w:color w:val="auto"/>
                <w:kern w:val="0"/>
                <w:sz w:val="22"/>
              </w:rPr>
            </w:pPr>
            <w:r>
              <w:rPr>
                <w:rFonts w:ascii="Times New Roman" w:hAnsi="Times New Roman" w:eastAsia="仿宋_GB2312" w:cs="Times New Roman"/>
                <w:color w:val="auto"/>
                <w:kern w:val="0"/>
                <w:sz w:val="22"/>
              </w:rPr>
              <w:t>0.33</w:t>
            </w:r>
          </w:p>
        </w:tc>
        <w:tc>
          <w:tcPr>
            <w:tcW w:w="1728" w:type="pct"/>
            <w:noWrap/>
            <w:vAlign w:val="center"/>
          </w:tcPr>
          <w:p>
            <w:pPr>
              <w:widowControl/>
              <w:spacing w:line="240" w:lineRule="atLeast"/>
              <w:jc w:val="center"/>
              <w:rPr>
                <w:rFonts w:hint="default" w:ascii="Times New Roman" w:hAnsi="Times New Roman" w:eastAsia="仿宋_GB2312" w:cs="Times New Roman"/>
                <w:color w:val="auto"/>
                <w:kern w:val="0"/>
                <w:sz w:val="22"/>
                <w:lang w:val="en-US" w:eastAsia="zh-CN"/>
              </w:rPr>
            </w:pPr>
            <w:r>
              <w:rPr>
                <w:rFonts w:hint="eastAsia" w:ascii="Times New Roman" w:hAnsi="Times New Roman" w:eastAsia="仿宋_GB2312" w:cs="Times New Roman"/>
                <w:color w:val="auto"/>
                <w:kern w:val="0"/>
                <w:sz w:val="22"/>
                <w:lang w:val="en-US" w:eastAsia="zh-CN"/>
              </w:rPr>
              <w:t>34.2</w:t>
            </w:r>
          </w:p>
        </w:tc>
      </w:tr>
    </w:tbl>
    <w:p>
      <w:pPr>
        <w:spacing w:line="360" w:lineRule="auto"/>
        <w:ind w:firstLine="480" w:firstLineChars="200"/>
        <w:rPr>
          <w:rFonts w:ascii="Times New Roman" w:hAnsi="Times New Roman" w:eastAsia="仿宋_GB2312" w:cs="Times New Roman"/>
          <w:color w:val="auto"/>
        </w:rPr>
      </w:pPr>
      <w:r>
        <w:rPr>
          <w:rFonts w:hint="eastAsia" w:ascii="仿宋_GB2312" w:hAnsi="Cambria Math" w:eastAsia="仿宋_GB2312" w:cs="Cambria Math"/>
          <w:color w:val="auto"/>
        </w:rPr>
        <w:t>◆</w:t>
      </w:r>
      <w:r>
        <w:rPr>
          <w:rFonts w:ascii="Times New Roman" w:hAnsi="Times New Roman" w:eastAsia="仿宋_GB2312" w:cs="Times New Roman"/>
          <w:color w:val="auto"/>
        </w:rPr>
        <w:t>洪峰流量的确定：</w:t>
      </w:r>
    </w:p>
    <w:p>
      <w:pPr>
        <w:spacing w:line="360" w:lineRule="auto"/>
        <w:jc w:val="center"/>
        <w:rPr>
          <w:rFonts w:ascii="Times New Roman" w:hAnsi="Times New Roman" w:eastAsia="仿宋_GB2312" w:cs="Times New Roman"/>
          <w:color w:val="auto"/>
        </w:rPr>
      </w:pPr>
      <w:r>
        <w:rPr>
          <w:rFonts w:ascii="Times New Roman" w:hAnsi="Times New Roman" w:eastAsia="仿宋_GB2312" w:cs="Times New Roman"/>
          <w:color w:val="auto"/>
        </w:rPr>
        <w:t>Q=16.67kIF</w:t>
      </w:r>
    </w:p>
    <w:p>
      <w:pPr>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rPr>
        <w:t>式中：Q—最大洪峰流量，m</w:t>
      </w:r>
      <w:r>
        <w:rPr>
          <w:rFonts w:ascii="Times New Roman" w:hAnsi="Times New Roman" w:eastAsia="仿宋_GB2312" w:cs="Times New Roman"/>
          <w:color w:val="auto"/>
          <w:vertAlign w:val="superscript"/>
        </w:rPr>
        <w:t>3</w:t>
      </w:r>
      <w:r>
        <w:rPr>
          <w:rFonts w:ascii="Times New Roman" w:hAnsi="Times New Roman" w:eastAsia="仿宋_GB2312" w:cs="Times New Roman"/>
          <w:color w:val="auto"/>
        </w:rPr>
        <w:t>/s；k—径流系数（取0.65）；I—设计重现期和降雨历时内平均降雨强度，mm/min；F—洪水汇集到沟内的集水面积，km</w:t>
      </w:r>
      <w:r>
        <w:rPr>
          <w:rFonts w:ascii="Times New Roman" w:hAnsi="Times New Roman" w:eastAsia="仿宋_GB2312" w:cs="Times New Roman"/>
          <w:color w:val="auto"/>
          <w:vertAlign w:val="superscript"/>
        </w:rPr>
        <w:t>2</w:t>
      </w:r>
      <w:r>
        <w:rPr>
          <w:rFonts w:ascii="Times New Roman" w:hAnsi="Times New Roman" w:eastAsia="仿宋_GB2312" w:cs="Times New Roman"/>
          <w:color w:val="auto"/>
        </w:rPr>
        <w:t>。</w:t>
      </w:r>
    </w:p>
    <w:p>
      <w:pPr>
        <w:spacing w:line="360" w:lineRule="auto"/>
        <w:ind w:firstLine="480" w:firstLineChars="200"/>
        <w:rPr>
          <w:rFonts w:ascii="Times New Roman" w:hAnsi="Times New Roman" w:eastAsia="仿宋_GB2312" w:cs="Times New Roman"/>
          <w:color w:val="auto"/>
        </w:rPr>
      </w:pPr>
      <w:r>
        <w:rPr>
          <w:rFonts w:hint="eastAsia" w:ascii="仿宋_GB2312" w:hAnsi="Cambria Math" w:eastAsia="仿宋_GB2312" w:cs="Cambria Math"/>
          <w:color w:val="auto"/>
        </w:rPr>
        <w:t>◆</w:t>
      </w:r>
      <w:r>
        <w:rPr>
          <w:rFonts w:ascii="Times New Roman" w:hAnsi="Times New Roman" w:eastAsia="仿宋_GB2312" w:cs="Times New Roman"/>
          <w:color w:val="auto"/>
        </w:rPr>
        <w:t>过水断面的确定：</w:t>
      </w:r>
    </w:p>
    <w:p>
      <w:pPr>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rPr>
        <w:t>用明渠均匀流公式计算：</w:t>
      </w:r>
    </w:p>
    <w:p>
      <w:pPr>
        <w:spacing w:line="360" w:lineRule="auto"/>
        <w:jc w:val="center"/>
        <w:rPr>
          <w:rFonts w:ascii="Times New Roman" w:hAnsi="Times New Roman" w:eastAsia="仿宋_GB2312" w:cs="Times New Roman"/>
          <w:color w:val="auto"/>
        </w:rPr>
      </w:pPr>
      <w:r>
        <w:rPr>
          <w:rFonts w:ascii="Times New Roman" w:hAnsi="Times New Roman" w:eastAsia="仿宋_GB2312" w:cs="Times New Roman"/>
          <w:color w:val="auto"/>
        </w:rPr>
        <w:drawing>
          <wp:inline distT="0" distB="0" distL="0" distR="0">
            <wp:extent cx="2594610" cy="233680"/>
            <wp:effectExtent l="19050" t="0" r="0" b="0"/>
            <wp:docPr id="28" name="图片 23" descr="C:\Users\ADMINI~1\AppData\Local\Temp\WeChat Files\5ceb3cafd58a0f8085da73e6559a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3" descr="C:\Users\ADMINI~1\AppData\Local\Temp\WeChat Files\5ceb3cafd58a0f8085da73e6559a211.png"/>
                    <pic:cNvPicPr>
                      <a:picLocks noChangeAspect="1" noChangeArrowheads="1"/>
                    </pic:cNvPicPr>
                  </pic:nvPicPr>
                  <pic:blipFill>
                    <a:blip r:embed="rId95"/>
                    <a:srcRect/>
                    <a:stretch>
                      <a:fillRect/>
                    </a:stretch>
                  </pic:blipFill>
                  <pic:spPr>
                    <a:xfrm>
                      <a:off x="0" y="0"/>
                      <a:ext cx="2594610" cy="233680"/>
                    </a:xfrm>
                    <a:prstGeom prst="rect">
                      <a:avLst/>
                    </a:prstGeom>
                    <a:noFill/>
                    <a:ln w="9525">
                      <a:noFill/>
                      <a:miter lim="800000"/>
                      <a:headEnd/>
                      <a:tailEnd/>
                    </a:ln>
                  </pic:spPr>
                </pic:pic>
              </a:graphicData>
            </a:graphic>
          </wp:inline>
        </w:drawing>
      </w:r>
    </w:p>
    <w:p>
      <w:pPr>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rPr>
        <w:t>式中：Q设——明渠均匀流流量，m</w:t>
      </w:r>
      <w:r>
        <w:rPr>
          <w:rFonts w:ascii="Times New Roman" w:hAnsi="Times New Roman" w:eastAsia="仿宋_GB2312" w:cs="Times New Roman"/>
          <w:color w:val="auto"/>
          <w:vertAlign w:val="superscript"/>
        </w:rPr>
        <w:t>3</w:t>
      </w:r>
      <w:r>
        <w:rPr>
          <w:rFonts w:ascii="Times New Roman" w:hAnsi="Times New Roman" w:eastAsia="仿宋_GB2312" w:cs="Times New Roman"/>
          <w:color w:val="auto"/>
        </w:rPr>
        <w:t>/s；A——过水断面面积，m</w:t>
      </w:r>
      <w:r>
        <w:rPr>
          <w:rFonts w:ascii="Times New Roman" w:hAnsi="Times New Roman" w:eastAsia="仿宋_GB2312" w:cs="Times New Roman"/>
          <w:color w:val="auto"/>
          <w:vertAlign w:val="superscript"/>
        </w:rPr>
        <w:t>2</w:t>
      </w:r>
      <w:r>
        <w:rPr>
          <w:rFonts w:ascii="Times New Roman" w:hAnsi="Times New Roman" w:eastAsia="仿宋_GB2312" w:cs="Times New Roman"/>
          <w:color w:val="auto"/>
        </w:rPr>
        <w:t>；R——过水断面水力半径，m；C——谢才系数；i——沟底比降。</w:t>
      </w:r>
    </w:p>
    <w:p>
      <w:pPr>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rPr>
        <w:t>谢才系数C的计算公式为：</w:t>
      </w:r>
    </w:p>
    <w:p>
      <w:pPr>
        <w:spacing w:line="360" w:lineRule="auto"/>
        <w:jc w:val="center"/>
        <w:rPr>
          <w:rFonts w:ascii="Times New Roman" w:hAnsi="Times New Roman" w:eastAsia="仿宋_GB2312" w:cs="Times New Roman"/>
          <w:color w:val="auto"/>
        </w:rPr>
      </w:pPr>
      <w:r>
        <w:rPr>
          <w:rFonts w:ascii="Times New Roman" w:hAnsi="Times New Roman" w:eastAsia="仿宋_GB2312" w:cs="Times New Roman"/>
          <w:color w:val="auto"/>
        </w:rPr>
        <w:t>C=1/n·R1/6</w:t>
      </w:r>
    </w:p>
    <w:p>
      <w:pPr>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rPr>
        <w:t>式中：C——谢才系数；n——糙率；R——过水断面水力半径。</w:t>
      </w:r>
    </w:p>
    <w:p>
      <w:pPr>
        <w:spacing w:line="360" w:lineRule="auto"/>
        <w:ind w:firstLine="480" w:firstLineChars="200"/>
        <w:rPr>
          <w:rFonts w:ascii="Times New Roman" w:hAnsi="Times New Roman" w:eastAsia="仿宋_GB2312" w:cs="Times New Roman"/>
          <w:color w:val="auto"/>
        </w:rPr>
      </w:pPr>
      <w:r>
        <w:rPr>
          <w:rFonts w:hint="eastAsia" w:ascii="Times New Roman" w:hAnsi="Times New Roman" w:eastAsia="仿宋_GB2312" w:cs="Times New Roman"/>
          <w:color w:val="auto"/>
        </w:rPr>
        <w:t>①植草沟</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根据实际需求，</w:t>
      </w:r>
      <w:r>
        <w:rPr>
          <w:rFonts w:ascii="Times New Roman" w:hAnsi="Times New Roman" w:eastAsia="仿宋_GB2312"/>
          <w:color w:val="auto"/>
        </w:rPr>
        <w:t>本</w:t>
      </w:r>
      <w:r>
        <w:rPr>
          <w:rFonts w:hint="eastAsia" w:ascii="Times New Roman" w:hAnsi="Times New Roman" w:eastAsia="仿宋_GB2312"/>
          <w:color w:val="auto"/>
          <w:lang w:val="en-US" w:eastAsia="zh-CN"/>
        </w:rPr>
        <w:t>区域评估报告</w:t>
      </w:r>
      <w:r>
        <w:rPr>
          <w:rFonts w:hint="eastAsia" w:ascii="Times New Roman" w:hAnsi="Times New Roman" w:eastAsia="仿宋_GB2312"/>
          <w:color w:val="auto"/>
        </w:rPr>
        <w:t>于公园绿地区补充设计永临结合的植草沟，</w:t>
      </w:r>
      <w:r>
        <w:rPr>
          <w:rFonts w:hint="eastAsia" w:ascii="Times New Roman" w:hAnsi="Times New Roman" w:eastAsia="仿宋_GB2312" w:cs="Times New Roman"/>
          <w:color w:val="auto"/>
        </w:rPr>
        <w:t>植草沟</w:t>
      </w:r>
      <w:r>
        <w:rPr>
          <w:rFonts w:ascii="Times New Roman" w:hAnsi="Times New Roman" w:eastAsia="仿宋_GB2312"/>
          <w:color w:val="auto"/>
        </w:rPr>
        <w:t>采用土质结构，梯形断面，坡比为</w:t>
      </w:r>
      <w:r>
        <w:rPr>
          <w:rFonts w:hint="eastAsia" w:ascii="Times New Roman" w:hAnsi="Times New Roman" w:eastAsia="仿宋_GB2312"/>
          <w:color w:val="auto"/>
        </w:rPr>
        <w:t>1:0.5</w:t>
      </w:r>
      <w:r>
        <w:rPr>
          <w:rFonts w:ascii="Times New Roman" w:hAnsi="Times New Roman" w:eastAsia="仿宋_GB2312"/>
          <w:color w:val="auto"/>
        </w:rPr>
        <w:t>，底宽</w:t>
      </w:r>
      <w:r>
        <w:rPr>
          <w:rFonts w:hint="eastAsia" w:ascii="Times New Roman" w:hAnsi="Times New Roman" w:eastAsia="仿宋_GB2312"/>
          <w:color w:val="auto"/>
        </w:rPr>
        <w:t>3</w:t>
      </w:r>
      <w:r>
        <w:rPr>
          <w:rFonts w:ascii="Times New Roman" w:hAnsi="Times New Roman" w:eastAsia="仿宋_GB2312"/>
          <w:color w:val="auto"/>
        </w:rPr>
        <w:t>0cm、深</w:t>
      </w:r>
      <w:r>
        <w:rPr>
          <w:rFonts w:hint="eastAsia" w:ascii="Times New Roman" w:hAnsi="Times New Roman" w:eastAsia="仿宋_GB2312"/>
          <w:color w:val="auto"/>
        </w:rPr>
        <w:t>4</w:t>
      </w:r>
      <w:r>
        <w:rPr>
          <w:rFonts w:ascii="Times New Roman" w:hAnsi="Times New Roman" w:eastAsia="仿宋_GB2312"/>
          <w:color w:val="auto"/>
        </w:rPr>
        <w:t>0cm</w:t>
      </w:r>
      <w:r>
        <w:rPr>
          <w:rFonts w:hint="eastAsia" w:ascii="Times New Roman" w:hAnsi="Times New Roman" w:eastAsia="仿宋_GB2312"/>
          <w:color w:val="auto"/>
        </w:rPr>
        <w:t>，沟壁采用马尼拉草皮满铺，植草沟</w:t>
      </w:r>
      <w:r>
        <w:rPr>
          <w:rFonts w:ascii="Times New Roman" w:hAnsi="Times New Roman" w:eastAsia="仿宋_GB2312"/>
          <w:color w:val="auto"/>
        </w:rPr>
        <w:t>设计参数及校核验算详见表表5.</w:t>
      </w:r>
      <w:r>
        <w:rPr>
          <w:rFonts w:hint="eastAsia" w:ascii="Times New Roman" w:hAnsi="Times New Roman" w:eastAsia="仿宋_GB2312"/>
          <w:color w:val="auto"/>
        </w:rPr>
        <w:t>3-</w:t>
      </w:r>
      <w:r>
        <w:rPr>
          <w:rFonts w:hint="eastAsia" w:ascii="Times New Roman" w:hAnsi="Times New Roman" w:eastAsia="仿宋_GB2312"/>
          <w:color w:val="auto"/>
          <w:lang w:val="en-US" w:eastAsia="zh-CN"/>
        </w:rPr>
        <w:t>2</w:t>
      </w:r>
      <w:r>
        <w:rPr>
          <w:rFonts w:ascii="Times New Roman" w:hAnsi="Times New Roman" w:eastAsia="仿宋_GB2312"/>
          <w:color w:val="auto"/>
        </w:rPr>
        <w:t>，单位工程量见表5.</w:t>
      </w:r>
      <w:r>
        <w:rPr>
          <w:rFonts w:hint="eastAsia" w:ascii="Times New Roman" w:hAnsi="Times New Roman" w:eastAsia="仿宋_GB2312"/>
          <w:color w:val="auto"/>
        </w:rPr>
        <w:t>3-</w:t>
      </w:r>
      <w:r>
        <w:rPr>
          <w:rFonts w:hint="eastAsia" w:ascii="Times New Roman" w:hAnsi="Times New Roman" w:eastAsia="仿宋_GB2312"/>
          <w:color w:val="auto"/>
          <w:lang w:val="en-US" w:eastAsia="zh-CN"/>
        </w:rPr>
        <w:t>3</w:t>
      </w:r>
      <w:r>
        <w:rPr>
          <w:rFonts w:ascii="Times New Roman" w:hAnsi="Times New Roman" w:eastAsia="仿宋_GB2312"/>
          <w:color w:val="auto"/>
        </w:rPr>
        <w:t>，</w:t>
      </w:r>
      <w:r>
        <w:rPr>
          <w:rFonts w:hint="eastAsia" w:ascii="Times New Roman" w:hAnsi="Times New Roman" w:eastAsia="仿宋_GB2312"/>
          <w:color w:val="auto"/>
        </w:rPr>
        <w:t>基坑</w:t>
      </w:r>
      <w:r>
        <w:rPr>
          <w:rFonts w:ascii="Times New Roman" w:hAnsi="Times New Roman" w:eastAsia="仿宋_GB2312"/>
          <w:color w:val="auto"/>
        </w:rPr>
        <w:t>排水沟断面见图5.3</w:t>
      </w:r>
      <w:r>
        <w:rPr>
          <w:rFonts w:hint="eastAsia" w:ascii="Times New Roman" w:hAnsi="Times New Roman" w:eastAsia="仿宋_GB2312"/>
          <w:color w:val="auto"/>
        </w:rPr>
        <w:t>-1</w:t>
      </w:r>
      <w:r>
        <w:rPr>
          <w:rFonts w:ascii="Times New Roman" w:hAnsi="Times New Roman" w:eastAsia="仿宋_GB2312"/>
          <w:color w:val="auto"/>
        </w:rPr>
        <w:t>。</w:t>
      </w:r>
    </w:p>
    <w:p>
      <w:pPr>
        <w:spacing w:line="360" w:lineRule="auto"/>
        <w:jc w:val="center"/>
        <w:rPr>
          <w:rFonts w:ascii="Times New Roman" w:hAnsi="Times New Roman" w:eastAsia="仿宋_GB2312" w:cs="Times New Roman"/>
          <w:b/>
          <w:bCs/>
          <w:color w:val="auto"/>
        </w:rPr>
      </w:pPr>
      <w:r>
        <w:rPr>
          <w:rFonts w:ascii="Times New Roman" w:hAnsi="Times New Roman" w:eastAsia="仿宋_GB2312" w:cs="Times New Roman"/>
          <w:b/>
          <w:bCs/>
          <w:color w:val="auto"/>
        </w:rPr>
        <w:t>表5.</w:t>
      </w:r>
      <w:r>
        <w:rPr>
          <w:rFonts w:hint="eastAsia" w:ascii="Times New Roman" w:hAnsi="Times New Roman" w:eastAsia="仿宋_GB2312" w:cs="Times New Roman"/>
          <w:b/>
          <w:bCs/>
          <w:color w:val="auto"/>
        </w:rPr>
        <w:t>3-</w:t>
      </w:r>
      <w:r>
        <w:rPr>
          <w:rFonts w:hint="eastAsia" w:ascii="Times New Roman" w:hAnsi="Times New Roman" w:eastAsia="仿宋_GB2312" w:cs="Times New Roman"/>
          <w:b/>
          <w:bCs/>
          <w:color w:val="auto"/>
          <w:lang w:val="en-US" w:eastAsia="zh-CN"/>
        </w:rPr>
        <w:t>2</w:t>
      </w:r>
      <w:r>
        <w:rPr>
          <w:rFonts w:hint="eastAsia" w:ascii="Times New Roman" w:hAnsi="Times New Roman" w:eastAsia="仿宋_GB2312" w:cs="Times New Roman"/>
          <w:b/>
          <w:bCs/>
          <w:color w:val="auto"/>
        </w:rPr>
        <w:t>：植草沟</w:t>
      </w:r>
      <w:r>
        <w:rPr>
          <w:rFonts w:ascii="Times New Roman" w:hAnsi="Times New Roman" w:eastAsia="仿宋_GB2312" w:cs="Times New Roman"/>
          <w:b/>
          <w:color w:val="auto"/>
        </w:rPr>
        <w:t>设计参数及校核验算表</w:t>
      </w:r>
    </w:p>
    <w:tbl>
      <w:tblPr>
        <w:tblStyle w:val="37"/>
        <w:tblW w:w="8984"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5" w:type="dxa"/>
          <w:bottom w:w="0" w:type="dxa"/>
          <w:right w:w="15" w:type="dxa"/>
        </w:tblCellMar>
      </w:tblPr>
      <w:tblGrid>
        <w:gridCol w:w="1067"/>
        <w:gridCol w:w="879"/>
        <w:gridCol w:w="879"/>
        <w:gridCol w:w="879"/>
        <w:gridCol w:w="879"/>
        <w:gridCol w:w="879"/>
        <w:gridCol w:w="879"/>
        <w:gridCol w:w="879"/>
        <w:gridCol w:w="879"/>
        <w:gridCol w:w="88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5" w:type="dxa"/>
            <w:bottom w:w="0" w:type="dxa"/>
            <w:right w:w="15" w:type="dxa"/>
          </w:tblCellMar>
        </w:tblPrEx>
        <w:trPr>
          <w:trHeight w:val="283" w:hRule="atLeast"/>
          <w:jc w:val="center"/>
        </w:trPr>
        <w:tc>
          <w:tcPr>
            <w:tcW w:w="1067" w:type="dxa"/>
            <w:tcBorders>
              <w:tl2br w:val="nil"/>
              <w:tr2bl w:val="nil"/>
            </w:tcBorders>
            <w:noWrap/>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b/>
                <w:bCs/>
                <w:color w:val="auto"/>
                <w:sz w:val="21"/>
                <w:szCs w:val="21"/>
              </w:rPr>
              <w:t>项目名称</w:t>
            </w:r>
          </w:p>
        </w:tc>
        <w:tc>
          <w:tcPr>
            <w:tcW w:w="3516" w:type="dxa"/>
            <w:gridSpan w:val="4"/>
            <w:tcBorders>
              <w:tl2br w:val="nil"/>
              <w:tr2bl w:val="nil"/>
            </w:tcBorders>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汇流计算</w:t>
            </w:r>
          </w:p>
        </w:tc>
        <w:tc>
          <w:tcPr>
            <w:tcW w:w="4401" w:type="dxa"/>
            <w:gridSpan w:val="5"/>
            <w:tcBorders>
              <w:tl2br w:val="nil"/>
              <w:tr2bl w:val="nil"/>
            </w:tcBorders>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过流能力验算</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5" w:type="dxa"/>
            <w:bottom w:w="0" w:type="dxa"/>
            <w:right w:w="15" w:type="dxa"/>
          </w:tblCellMar>
        </w:tblPrEx>
        <w:trPr>
          <w:trHeight w:val="283" w:hRule="atLeast"/>
          <w:jc w:val="center"/>
        </w:trPr>
        <w:tc>
          <w:tcPr>
            <w:tcW w:w="1067" w:type="dxa"/>
            <w:vMerge w:val="restart"/>
            <w:tcBorders>
              <w:tl2br w:val="nil"/>
              <w:tr2bl w:val="nil"/>
            </w:tcBorders>
            <w:noWrap/>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植草沟</w:t>
            </w:r>
          </w:p>
        </w:tc>
        <w:tc>
          <w:tcPr>
            <w:tcW w:w="3516" w:type="dxa"/>
            <w:gridSpan w:val="4"/>
            <w:tcBorders>
              <w:tl2br w:val="nil"/>
              <w:tr2bl w:val="nil"/>
            </w:tcBorders>
            <w:noWrap/>
            <w:vAlign w:val="center"/>
          </w:tcPr>
          <w:p>
            <w:pPr>
              <w:widowControl/>
              <w:adjustRightInd w:val="0"/>
              <w:snapToGrid w:val="0"/>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Q=16.67kIF</w:t>
            </w:r>
          </w:p>
        </w:tc>
        <w:tc>
          <w:tcPr>
            <w:tcW w:w="4401" w:type="dxa"/>
            <w:gridSpan w:val="5"/>
            <w:tcBorders>
              <w:tl2br w:val="nil"/>
              <w:tr2bl w:val="nil"/>
            </w:tcBorders>
            <w:noWrap/>
            <w:vAlign w:val="center"/>
          </w:tcPr>
          <w:p>
            <w:pPr>
              <w:widowControl/>
              <w:adjustRightInd w:val="0"/>
              <w:snapToGrid w:val="0"/>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Q</w:t>
            </w:r>
            <w:r>
              <w:rPr>
                <w:rFonts w:ascii="Times New Roman" w:hAnsi="Times New Roman" w:eastAsia="仿宋_GB2312" w:cs="Times New Roman"/>
                <w:b/>
                <w:bCs/>
                <w:color w:val="auto"/>
                <w:sz w:val="21"/>
                <w:szCs w:val="21"/>
                <w:vertAlign w:val="subscript"/>
              </w:rPr>
              <w:t>设</w:t>
            </w:r>
            <w:r>
              <w:rPr>
                <w:rFonts w:ascii="Times New Roman" w:hAnsi="Times New Roman" w:eastAsia="仿宋_GB2312" w:cs="Times New Roman"/>
                <w:b/>
                <w:bCs/>
                <w:color w:val="auto"/>
                <w:sz w:val="21"/>
                <w:szCs w:val="21"/>
              </w:rPr>
              <w:t>=1/n·A·R</w:t>
            </w:r>
            <w:r>
              <w:rPr>
                <w:rFonts w:ascii="Times New Roman" w:hAnsi="Times New Roman" w:eastAsia="仿宋_GB2312" w:cs="Times New Roman"/>
                <w:b/>
                <w:bCs/>
                <w:color w:val="auto"/>
                <w:sz w:val="21"/>
                <w:szCs w:val="21"/>
                <w:vertAlign w:val="superscript"/>
              </w:rPr>
              <w:t>2/3</w:t>
            </w:r>
            <w:r>
              <w:rPr>
                <w:rFonts w:ascii="Times New Roman" w:hAnsi="Times New Roman" w:eastAsia="仿宋_GB2312" w:cs="Times New Roman"/>
                <w:b/>
                <w:bCs/>
                <w:color w:val="auto"/>
                <w:sz w:val="21"/>
                <w:szCs w:val="21"/>
              </w:rPr>
              <w:t>·i</w:t>
            </w:r>
            <w:r>
              <w:rPr>
                <w:rFonts w:ascii="Times New Roman" w:hAnsi="Times New Roman" w:eastAsia="仿宋_GB2312" w:cs="Times New Roman"/>
                <w:b/>
                <w:bCs/>
                <w:color w:val="auto"/>
                <w:sz w:val="21"/>
                <w:szCs w:val="21"/>
                <w:vertAlign w:val="superscript"/>
              </w:rPr>
              <w:t>1/2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5" w:type="dxa"/>
            <w:bottom w:w="0" w:type="dxa"/>
            <w:right w:w="15" w:type="dxa"/>
          </w:tblCellMar>
        </w:tblPrEx>
        <w:trPr>
          <w:trHeight w:val="283" w:hRule="atLeast"/>
          <w:jc w:val="center"/>
        </w:trPr>
        <w:tc>
          <w:tcPr>
            <w:tcW w:w="1067" w:type="dxa"/>
            <w:vMerge w:val="continue"/>
            <w:tcBorders>
              <w:tl2br w:val="nil"/>
              <w:tr2bl w:val="nil"/>
            </w:tcBorders>
            <w:noWrap/>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p>
        </w:tc>
        <w:tc>
          <w:tcPr>
            <w:tcW w:w="879" w:type="dxa"/>
            <w:tcBorders>
              <w:tl2br w:val="nil"/>
              <w:tr2bl w:val="nil"/>
            </w:tcBorders>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i/>
                <w:iCs/>
                <w:color w:val="auto"/>
                <w:sz w:val="21"/>
                <w:szCs w:val="21"/>
              </w:rPr>
              <w:t>k</w:t>
            </w:r>
          </w:p>
        </w:tc>
        <w:tc>
          <w:tcPr>
            <w:tcW w:w="879" w:type="dxa"/>
            <w:tcBorders>
              <w:tl2br w:val="nil"/>
              <w:tr2bl w:val="nil"/>
            </w:tcBorders>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i/>
                <w:iCs/>
                <w:color w:val="auto"/>
                <w:sz w:val="21"/>
                <w:szCs w:val="21"/>
              </w:rPr>
              <w:t>I</w:t>
            </w:r>
          </w:p>
        </w:tc>
        <w:tc>
          <w:tcPr>
            <w:tcW w:w="879" w:type="dxa"/>
            <w:tcBorders>
              <w:tl2br w:val="nil"/>
              <w:tr2bl w:val="nil"/>
            </w:tcBorders>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i/>
                <w:iCs/>
                <w:color w:val="auto"/>
                <w:sz w:val="21"/>
                <w:szCs w:val="21"/>
              </w:rPr>
              <w:t>F</w:t>
            </w:r>
          </w:p>
        </w:tc>
        <w:tc>
          <w:tcPr>
            <w:tcW w:w="879" w:type="dxa"/>
            <w:tcBorders>
              <w:tl2br w:val="nil"/>
              <w:tr2bl w:val="nil"/>
            </w:tcBorders>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i/>
                <w:iCs/>
                <w:color w:val="auto"/>
                <w:sz w:val="21"/>
                <w:szCs w:val="21"/>
              </w:rPr>
              <w:t>Q</w:t>
            </w:r>
            <w:r>
              <w:rPr>
                <w:rFonts w:ascii="Times New Roman" w:hAnsi="Times New Roman" w:eastAsia="仿宋_GB2312" w:cs="Times New Roman"/>
                <w:b/>
                <w:bCs/>
                <w:color w:val="auto"/>
                <w:sz w:val="21"/>
                <w:szCs w:val="21"/>
                <w:vertAlign w:val="subscript"/>
              </w:rPr>
              <w:t>汇</w:t>
            </w:r>
          </w:p>
        </w:tc>
        <w:tc>
          <w:tcPr>
            <w:tcW w:w="879" w:type="dxa"/>
            <w:tcBorders>
              <w:tl2br w:val="nil"/>
              <w:tr2bl w:val="nil"/>
            </w:tcBorders>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b</w:t>
            </w:r>
          </w:p>
        </w:tc>
        <w:tc>
          <w:tcPr>
            <w:tcW w:w="879" w:type="dxa"/>
            <w:tcBorders>
              <w:tl2br w:val="nil"/>
              <w:tr2bl w:val="nil"/>
            </w:tcBorders>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h</w:t>
            </w:r>
          </w:p>
        </w:tc>
        <w:tc>
          <w:tcPr>
            <w:tcW w:w="879" w:type="dxa"/>
            <w:tcBorders>
              <w:tl2br w:val="nil"/>
              <w:tr2bl w:val="nil"/>
            </w:tcBorders>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i/>
                <w:iCs/>
                <w:color w:val="auto"/>
                <w:sz w:val="21"/>
                <w:szCs w:val="21"/>
              </w:rPr>
              <w:t>i</w:t>
            </w:r>
          </w:p>
        </w:tc>
        <w:tc>
          <w:tcPr>
            <w:tcW w:w="879" w:type="dxa"/>
            <w:tcBorders>
              <w:tl2br w:val="nil"/>
              <w:tr2bl w:val="nil"/>
            </w:tcBorders>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i/>
                <w:iCs/>
                <w:color w:val="auto"/>
                <w:sz w:val="21"/>
                <w:szCs w:val="21"/>
              </w:rPr>
              <w:t>n</w:t>
            </w:r>
          </w:p>
        </w:tc>
        <w:tc>
          <w:tcPr>
            <w:tcW w:w="885" w:type="dxa"/>
            <w:tcBorders>
              <w:tl2br w:val="nil"/>
              <w:tr2bl w:val="nil"/>
            </w:tcBorders>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i/>
                <w:iCs/>
                <w:color w:val="auto"/>
                <w:sz w:val="21"/>
                <w:szCs w:val="21"/>
              </w:rPr>
              <w:t>Q</w:t>
            </w:r>
            <w:r>
              <w:rPr>
                <w:rFonts w:ascii="Times New Roman" w:hAnsi="Times New Roman" w:eastAsia="仿宋_GB2312" w:cs="Times New Roman"/>
                <w:b/>
                <w:bCs/>
                <w:color w:val="auto"/>
                <w:sz w:val="21"/>
                <w:szCs w:val="21"/>
                <w:vertAlign w:val="subscript"/>
              </w:rPr>
              <w:t>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5" w:type="dxa"/>
            <w:bottom w:w="0" w:type="dxa"/>
            <w:right w:w="15" w:type="dxa"/>
          </w:tblCellMar>
        </w:tblPrEx>
        <w:trPr>
          <w:trHeight w:val="283" w:hRule="atLeast"/>
          <w:jc w:val="center"/>
        </w:trPr>
        <w:tc>
          <w:tcPr>
            <w:tcW w:w="1067" w:type="dxa"/>
            <w:vMerge w:val="continue"/>
            <w:tcBorders>
              <w:tl2br w:val="nil"/>
              <w:tr2bl w:val="nil"/>
            </w:tcBorders>
            <w:noWrap/>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p>
        </w:tc>
        <w:tc>
          <w:tcPr>
            <w:tcW w:w="879" w:type="dxa"/>
            <w:tcBorders>
              <w:tl2br w:val="nil"/>
              <w:tr2bl w:val="nil"/>
            </w:tcBorders>
            <w:noWrap/>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sz w:val="21"/>
                <w:szCs w:val="21"/>
              </w:rPr>
              <w:t>0.65</w:t>
            </w:r>
          </w:p>
        </w:tc>
        <w:tc>
          <w:tcPr>
            <w:tcW w:w="879" w:type="dxa"/>
            <w:tcBorders>
              <w:tl2br w:val="nil"/>
              <w:tr2bl w:val="nil"/>
            </w:tcBorders>
            <w:noWrap/>
            <w:vAlign w:val="center"/>
          </w:tcPr>
          <w:p>
            <w:pPr>
              <w:jc w:val="center"/>
              <w:rPr>
                <w:rFonts w:hint="default" w:ascii="Times New Roman" w:hAnsi="Times New Roman" w:eastAsia="仿宋_GB2312" w:cs="Times New Roman"/>
                <w:color w:val="auto"/>
                <w:kern w:val="0"/>
                <w:sz w:val="21"/>
                <w:szCs w:val="21"/>
                <w:lang w:val="en-US" w:eastAsia="zh-CN"/>
              </w:rPr>
            </w:pPr>
            <w:r>
              <w:rPr>
                <w:rFonts w:hint="eastAsia" w:ascii="Times New Roman" w:hAnsi="Times New Roman" w:eastAsia="仿宋_GB2312" w:cs="Times New Roman"/>
                <w:color w:val="auto"/>
                <w:kern w:val="0"/>
                <w:sz w:val="21"/>
                <w:szCs w:val="21"/>
                <w:lang w:val="en-US" w:eastAsia="zh-CN"/>
              </w:rPr>
              <w:t>3.42</w:t>
            </w:r>
          </w:p>
        </w:tc>
        <w:tc>
          <w:tcPr>
            <w:tcW w:w="879" w:type="dxa"/>
            <w:tcBorders>
              <w:tl2br w:val="nil"/>
              <w:tr2bl w:val="nil"/>
            </w:tcBorders>
            <w:noWrap/>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sz w:val="21"/>
                <w:szCs w:val="21"/>
              </w:rPr>
              <w:t>0.00</w:t>
            </w:r>
            <w:r>
              <w:rPr>
                <w:rFonts w:hint="eastAsia" w:ascii="Times New Roman" w:hAnsi="Times New Roman" w:eastAsia="仿宋_GB2312" w:cs="Times New Roman"/>
                <w:color w:val="auto"/>
                <w:sz w:val="21"/>
                <w:szCs w:val="21"/>
              </w:rPr>
              <w:t>11</w:t>
            </w:r>
          </w:p>
        </w:tc>
        <w:tc>
          <w:tcPr>
            <w:tcW w:w="879" w:type="dxa"/>
            <w:tcBorders>
              <w:tl2br w:val="nil"/>
              <w:tr2bl w:val="nil"/>
            </w:tcBorders>
            <w:noWrap/>
            <w:vAlign w:val="center"/>
          </w:tcPr>
          <w:p>
            <w:pPr>
              <w:jc w:val="center"/>
              <w:rPr>
                <w:rFonts w:hint="eastAsia" w:ascii="Times New Roman" w:hAnsi="Times New Roman" w:eastAsia="仿宋_GB2312" w:cs="Times New Roman"/>
                <w:color w:val="auto"/>
                <w:sz w:val="21"/>
                <w:szCs w:val="21"/>
                <w:lang w:val="en-US" w:eastAsia="zh-CN"/>
              </w:rPr>
            </w:pPr>
            <w:r>
              <w:rPr>
                <w:rFonts w:ascii="Times New Roman" w:hAnsi="Times New Roman" w:eastAsia="仿宋_GB2312" w:cs="Times New Roman"/>
                <w:color w:val="auto"/>
                <w:sz w:val="21"/>
                <w:szCs w:val="21"/>
              </w:rPr>
              <w:t>0.</w:t>
            </w:r>
            <w:r>
              <w:rPr>
                <w:rFonts w:hint="eastAsia" w:ascii="Times New Roman" w:hAnsi="Times New Roman" w:eastAsia="仿宋_GB2312" w:cs="Times New Roman"/>
                <w:color w:val="auto"/>
                <w:sz w:val="21"/>
                <w:szCs w:val="21"/>
              </w:rPr>
              <w:t>04</w:t>
            </w:r>
            <w:r>
              <w:rPr>
                <w:rFonts w:hint="eastAsia" w:ascii="Times New Roman" w:hAnsi="Times New Roman" w:eastAsia="仿宋_GB2312" w:cs="Times New Roman"/>
                <w:color w:val="auto"/>
                <w:sz w:val="21"/>
                <w:szCs w:val="21"/>
                <w:lang w:val="en-US" w:eastAsia="zh-CN"/>
              </w:rPr>
              <w:t>1</w:t>
            </w:r>
          </w:p>
        </w:tc>
        <w:tc>
          <w:tcPr>
            <w:tcW w:w="879" w:type="dxa"/>
            <w:tcBorders>
              <w:tl2br w:val="nil"/>
              <w:tr2bl w:val="nil"/>
            </w:tcBorders>
            <w:noWrap/>
            <w:vAlign w:val="center"/>
          </w:tcPr>
          <w:p>
            <w:pPr>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30</w:t>
            </w:r>
          </w:p>
        </w:tc>
        <w:tc>
          <w:tcPr>
            <w:tcW w:w="879" w:type="dxa"/>
            <w:tcBorders>
              <w:tl2br w:val="nil"/>
              <w:tr2bl w:val="nil"/>
            </w:tcBorders>
            <w:noWrap/>
            <w:vAlign w:val="center"/>
          </w:tcPr>
          <w:p>
            <w:pPr>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20</w:t>
            </w:r>
          </w:p>
        </w:tc>
        <w:tc>
          <w:tcPr>
            <w:tcW w:w="879" w:type="dxa"/>
            <w:tcBorders>
              <w:tl2br w:val="nil"/>
              <w:tr2bl w:val="nil"/>
            </w:tcBorders>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0.004</w:t>
            </w:r>
          </w:p>
        </w:tc>
        <w:tc>
          <w:tcPr>
            <w:tcW w:w="879" w:type="dxa"/>
            <w:tcBorders>
              <w:tl2br w:val="nil"/>
              <w:tr2bl w:val="nil"/>
            </w:tcBorders>
            <w:noWrap/>
            <w:vAlign w:val="center"/>
          </w:tcPr>
          <w:p>
            <w:pPr>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0.025</w:t>
            </w:r>
          </w:p>
        </w:tc>
        <w:tc>
          <w:tcPr>
            <w:tcW w:w="885" w:type="dxa"/>
            <w:tcBorders>
              <w:tl2br w:val="nil"/>
              <w:tr2bl w:val="nil"/>
            </w:tcBorders>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0.048</w:t>
            </w:r>
          </w:p>
        </w:tc>
      </w:tr>
    </w:tbl>
    <w:p>
      <w:pPr>
        <w:rPr>
          <w:rFonts w:ascii="Times New Roman" w:hAnsi="Times New Roman" w:eastAsia="仿宋_GB2312" w:cs="Times New Roman"/>
          <w:color w:val="auto"/>
        </w:rPr>
      </w:pPr>
      <w:r>
        <w:rPr>
          <w:rFonts w:ascii="Times New Roman" w:hAnsi="Times New Roman" w:eastAsia="仿宋_GB2312" w:cs="Times New Roman"/>
          <w:i/>
          <w:iCs/>
          <w:color w:val="auto"/>
        </w:rPr>
        <w:t>Q</w:t>
      </w:r>
      <w:r>
        <w:rPr>
          <w:rFonts w:ascii="Times New Roman" w:hAnsi="Times New Roman" w:eastAsia="仿宋_GB2312" w:cs="Times New Roman"/>
          <w:color w:val="auto"/>
          <w:vertAlign w:val="subscript"/>
        </w:rPr>
        <w:t>验</w:t>
      </w:r>
      <w:r>
        <w:rPr>
          <w:rFonts w:ascii="Times New Roman" w:hAnsi="Times New Roman" w:eastAsia="仿宋_GB2312" w:cs="Times New Roman"/>
          <w:color w:val="auto"/>
        </w:rPr>
        <w:t>=0.</w:t>
      </w:r>
      <w:r>
        <w:rPr>
          <w:rFonts w:hint="eastAsia" w:ascii="Times New Roman" w:hAnsi="Times New Roman" w:eastAsia="仿宋_GB2312" w:cs="Times New Roman"/>
          <w:color w:val="auto"/>
          <w:lang w:val="en-US" w:eastAsia="zh-CN"/>
        </w:rPr>
        <w:t>0</w:t>
      </w:r>
      <w:r>
        <w:rPr>
          <w:rFonts w:hint="eastAsia" w:ascii="Times New Roman" w:hAnsi="Times New Roman" w:eastAsia="仿宋_GB2312" w:cs="Times New Roman"/>
          <w:color w:val="auto"/>
        </w:rPr>
        <w:t>48</w:t>
      </w:r>
      <w:r>
        <w:rPr>
          <w:rFonts w:ascii="Times New Roman" w:hAnsi="Times New Roman" w:eastAsia="仿宋_GB2312" w:cs="Times New Roman"/>
          <w:color w:val="auto"/>
        </w:rPr>
        <w:t>m</w:t>
      </w:r>
      <w:r>
        <w:rPr>
          <w:rFonts w:ascii="Times New Roman" w:hAnsi="Times New Roman" w:eastAsia="仿宋_GB2312" w:cs="Times New Roman"/>
          <w:color w:val="auto"/>
          <w:vertAlign w:val="superscript"/>
        </w:rPr>
        <w:t>3</w:t>
      </w:r>
      <w:r>
        <w:rPr>
          <w:rFonts w:ascii="Times New Roman" w:hAnsi="Times New Roman" w:eastAsia="仿宋_GB2312" w:cs="Times New Roman"/>
          <w:color w:val="auto"/>
        </w:rPr>
        <w:t>/s&gt;</w:t>
      </w:r>
      <w:r>
        <w:rPr>
          <w:rFonts w:ascii="Times New Roman" w:hAnsi="Times New Roman" w:eastAsia="仿宋_GB2312" w:cs="Times New Roman"/>
          <w:i/>
          <w:iCs/>
          <w:color w:val="auto"/>
        </w:rPr>
        <w:t>Q</w:t>
      </w:r>
      <w:r>
        <w:rPr>
          <w:rFonts w:ascii="Times New Roman" w:hAnsi="Times New Roman" w:eastAsia="仿宋_GB2312" w:cs="Times New Roman"/>
          <w:color w:val="auto"/>
          <w:vertAlign w:val="subscript"/>
        </w:rPr>
        <w:t>汇</w:t>
      </w:r>
      <w:r>
        <w:rPr>
          <w:rFonts w:ascii="Times New Roman" w:hAnsi="Times New Roman" w:eastAsia="仿宋_GB2312" w:cs="Times New Roman"/>
          <w:color w:val="auto"/>
        </w:rPr>
        <w:t>=0.</w:t>
      </w:r>
      <w:r>
        <w:rPr>
          <w:rFonts w:hint="eastAsia" w:ascii="Times New Roman" w:hAnsi="Times New Roman" w:eastAsia="仿宋_GB2312" w:cs="Times New Roman"/>
          <w:color w:val="auto"/>
        </w:rPr>
        <w:t>04</w:t>
      </w:r>
      <w:r>
        <w:rPr>
          <w:rFonts w:hint="eastAsia" w:ascii="Times New Roman" w:hAnsi="Times New Roman" w:eastAsia="仿宋_GB2312" w:cs="Times New Roman"/>
          <w:color w:val="auto"/>
          <w:lang w:val="en-US" w:eastAsia="zh-CN"/>
        </w:rPr>
        <w:t>1</w:t>
      </w:r>
      <w:r>
        <w:rPr>
          <w:rFonts w:ascii="Times New Roman" w:hAnsi="Times New Roman" w:eastAsia="仿宋_GB2312" w:cs="Times New Roman"/>
          <w:color w:val="auto"/>
        </w:rPr>
        <w:t>m</w:t>
      </w:r>
      <w:r>
        <w:rPr>
          <w:rFonts w:ascii="Times New Roman" w:hAnsi="Times New Roman" w:eastAsia="仿宋_GB2312" w:cs="Times New Roman"/>
          <w:color w:val="auto"/>
          <w:vertAlign w:val="superscript"/>
        </w:rPr>
        <w:t>3</w:t>
      </w:r>
      <w:r>
        <w:rPr>
          <w:rFonts w:ascii="Times New Roman" w:hAnsi="Times New Roman" w:eastAsia="仿宋_GB2312" w:cs="Times New Roman"/>
          <w:color w:val="auto"/>
        </w:rPr>
        <w:t>/s，植草沟断面符合要求。</w:t>
      </w:r>
    </w:p>
    <w:p>
      <w:pPr>
        <w:spacing w:line="360" w:lineRule="auto"/>
        <w:jc w:val="center"/>
        <w:rPr>
          <w:rFonts w:ascii="Times New Roman" w:hAnsi="Times New Roman" w:eastAsia="仿宋_GB2312" w:cs="Times New Roman"/>
          <w:b/>
          <w:bCs/>
          <w:color w:val="auto"/>
        </w:rPr>
      </w:pPr>
      <w:r>
        <w:rPr>
          <w:rFonts w:ascii="Times New Roman" w:hAnsi="Times New Roman" w:eastAsia="仿宋_GB2312" w:cs="Times New Roman"/>
          <w:b/>
          <w:bCs/>
          <w:color w:val="auto"/>
        </w:rPr>
        <w:t>表5.</w:t>
      </w:r>
      <w:r>
        <w:rPr>
          <w:rFonts w:hint="eastAsia" w:ascii="Times New Roman" w:hAnsi="Times New Roman" w:eastAsia="仿宋_GB2312" w:cs="Times New Roman"/>
          <w:b/>
          <w:bCs/>
          <w:color w:val="auto"/>
        </w:rPr>
        <w:t>3-</w:t>
      </w:r>
      <w:r>
        <w:rPr>
          <w:rFonts w:hint="eastAsia" w:ascii="Times New Roman" w:hAnsi="Times New Roman" w:eastAsia="仿宋_GB2312" w:cs="Times New Roman"/>
          <w:b/>
          <w:bCs/>
          <w:color w:val="auto"/>
          <w:lang w:val="en-US" w:eastAsia="zh-CN"/>
        </w:rPr>
        <w:t>3</w:t>
      </w:r>
      <w:r>
        <w:rPr>
          <w:rFonts w:hint="eastAsia" w:ascii="Times New Roman" w:hAnsi="Times New Roman" w:eastAsia="仿宋_GB2312" w:cs="Times New Roman"/>
          <w:b/>
          <w:bCs/>
          <w:color w:val="auto"/>
        </w:rPr>
        <w:t>：植草沟</w:t>
      </w:r>
      <w:r>
        <w:rPr>
          <w:rFonts w:ascii="Times New Roman" w:hAnsi="Times New Roman" w:eastAsia="仿宋_GB2312" w:cs="Times New Roman"/>
          <w:b/>
          <w:bCs/>
          <w:color w:val="auto"/>
        </w:rPr>
        <w:t>单位工程量表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5" w:type="dxa"/>
          <w:bottom w:w="0" w:type="dxa"/>
          <w:right w:w="15" w:type="dxa"/>
        </w:tblCellMar>
      </w:tblPr>
      <w:tblGrid>
        <w:gridCol w:w="871"/>
        <w:gridCol w:w="902"/>
        <w:gridCol w:w="752"/>
        <w:gridCol w:w="723"/>
        <w:gridCol w:w="900"/>
        <w:gridCol w:w="858"/>
        <w:gridCol w:w="1000"/>
        <w:gridCol w:w="1172"/>
        <w:gridCol w:w="11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5" w:type="dxa"/>
            <w:bottom w:w="0" w:type="dxa"/>
            <w:right w:w="15" w:type="dxa"/>
          </w:tblCellMar>
        </w:tblPrEx>
        <w:trPr>
          <w:trHeight w:val="283" w:hRule="atLeast"/>
          <w:jc w:val="center"/>
        </w:trPr>
        <w:tc>
          <w:tcPr>
            <w:tcW w:w="523" w:type="pct"/>
            <w:vMerge w:val="restart"/>
            <w:tcBorders>
              <w:tl2br w:val="nil"/>
              <w:tr2bl w:val="nil"/>
            </w:tcBorders>
            <w:noWrap/>
            <w:vAlign w:val="center"/>
          </w:tcPr>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项目</w:t>
            </w:r>
            <w:r>
              <w:rPr>
                <w:rFonts w:ascii="Times New Roman" w:hAnsi="Times New Roman" w:eastAsia="仿宋_GB2312" w:cs="Times New Roman"/>
                <w:b/>
                <w:bCs/>
                <w:color w:val="auto"/>
                <w:kern w:val="28"/>
                <w:sz w:val="21"/>
                <w:szCs w:val="21"/>
              </w:rPr>
              <w:t>名称</w:t>
            </w:r>
          </w:p>
        </w:tc>
        <w:tc>
          <w:tcPr>
            <w:tcW w:w="3081" w:type="pct"/>
            <w:gridSpan w:val="6"/>
            <w:tcBorders>
              <w:tl2br w:val="nil"/>
              <w:tr2bl w:val="nil"/>
            </w:tcBorders>
            <w:noWrap/>
            <w:vAlign w:val="center"/>
          </w:tcPr>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断面尺寸</w:t>
            </w:r>
          </w:p>
        </w:tc>
        <w:tc>
          <w:tcPr>
            <w:tcW w:w="1396" w:type="pct"/>
            <w:gridSpan w:val="2"/>
            <w:tcBorders>
              <w:tl2br w:val="nil"/>
              <w:tr2bl w:val="nil"/>
            </w:tcBorders>
            <w:noWrap/>
            <w:vAlign w:val="center"/>
          </w:tcPr>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单位工程量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5" w:type="dxa"/>
            <w:bottom w:w="0" w:type="dxa"/>
            <w:right w:w="15" w:type="dxa"/>
          </w:tblCellMar>
        </w:tblPrEx>
        <w:trPr>
          <w:trHeight w:val="283" w:hRule="atLeast"/>
          <w:jc w:val="center"/>
        </w:trPr>
        <w:tc>
          <w:tcPr>
            <w:tcW w:w="523" w:type="pct"/>
            <w:vMerge w:val="continue"/>
            <w:tcBorders>
              <w:tl2br w:val="nil"/>
              <w:tr2bl w:val="nil"/>
            </w:tcBorders>
            <w:noWrap/>
            <w:vAlign w:val="center"/>
          </w:tcPr>
          <w:p>
            <w:pPr>
              <w:spacing w:line="240" w:lineRule="atLeast"/>
              <w:jc w:val="center"/>
              <w:rPr>
                <w:rFonts w:ascii="Times New Roman" w:hAnsi="Times New Roman" w:eastAsia="仿宋_GB2312" w:cs="Times New Roman"/>
                <w:b/>
                <w:bCs/>
                <w:color w:val="auto"/>
                <w:sz w:val="21"/>
                <w:szCs w:val="21"/>
              </w:rPr>
            </w:pPr>
          </w:p>
        </w:tc>
        <w:tc>
          <w:tcPr>
            <w:tcW w:w="541" w:type="pct"/>
            <w:tcBorders>
              <w:tl2br w:val="nil"/>
              <w:tr2bl w:val="nil"/>
            </w:tcBorders>
            <w:noWrap/>
            <w:vAlign w:val="center"/>
          </w:tcPr>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断面</w:t>
            </w:r>
          </w:p>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形式</w:t>
            </w:r>
          </w:p>
        </w:tc>
        <w:tc>
          <w:tcPr>
            <w:tcW w:w="451" w:type="pct"/>
            <w:tcBorders>
              <w:tl2br w:val="nil"/>
              <w:tr2bl w:val="nil"/>
            </w:tcBorders>
            <w:noWrap/>
            <w:vAlign w:val="center"/>
          </w:tcPr>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边坡</w:t>
            </w:r>
          </w:p>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系数</w:t>
            </w:r>
          </w:p>
        </w:tc>
        <w:tc>
          <w:tcPr>
            <w:tcW w:w="434" w:type="pct"/>
            <w:tcBorders>
              <w:tl2br w:val="nil"/>
              <w:tr2bl w:val="nil"/>
            </w:tcBorders>
            <w:noWrap/>
            <w:vAlign w:val="center"/>
          </w:tcPr>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沟深（m）</w:t>
            </w:r>
          </w:p>
        </w:tc>
        <w:tc>
          <w:tcPr>
            <w:tcW w:w="540" w:type="pct"/>
            <w:tcBorders>
              <w:tl2br w:val="nil"/>
              <w:tr2bl w:val="nil"/>
            </w:tcBorders>
            <w:noWrap/>
            <w:vAlign w:val="center"/>
          </w:tcPr>
          <w:p>
            <w:pPr>
              <w:spacing w:line="240" w:lineRule="atLeast"/>
              <w:jc w:val="center"/>
              <w:rPr>
                <w:rFonts w:ascii="Times New Roman" w:hAnsi="Times New Roman" w:eastAsia="仿宋_GB2312" w:cs="Times New Roman"/>
                <w:b/>
                <w:bCs/>
                <w:color w:val="auto"/>
                <w:sz w:val="21"/>
                <w:szCs w:val="21"/>
              </w:rPr>
            </w:pPr>
            <w:r>
              <w:rPr>
                <w:rFonts w:hint="eastAsia" w:ascii="Times New Roman" w:hAnsi="Times New Roman" w:eastAsia="仿宋_GB2312" w:cs="Times New Roman"/>
                <w:b/>
                <w:bCs/>
                <w:color w:val="auto"/>
                <w:sz w:val="21"/>
                <w:szCs w:val="21"/>
              </w:rPr>
              <w:t>沟底</w:t>
            </w:r>
            <w:r>
              <w:rPr>
                <w:rFonts w:ascii="Times New Roman" w:hAnsi="Times New Roman" w:eastAsia="仿宋_GB2312" w:cs="Times New Roman"/>
                <w:b/>
                <w:bCs/>
                <w:color w:val="auto"/>
                <w:sz w:val="21"/>
                <w:szCs w:val="21"/>
              </w:rPr>
              <w:t>宽（m）</w:t>
            </w:r>
          </w:p>
        </w:tc>
        <w:tc>
          <w:tcPr>
            <w:tcW w:w="515" w:type="pct"/>
            <w:tcBorders>
              <w:tl2br w:val="nil"/>
              <w:tr2bl w:val="nil"/>
            </w:tcBorders>
            <w:noWrap/>
            <w:vAlign w:val="center"/>
          </w:tcPr>
          <w:p>
            <w:pPr>
              <w:adjustRightInd w:val="0"/>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安全超高</w:t>
            </w:r>
            <w:r>
              <w:rPr>
                <w:rFonts w:hint="eastAsia" w:ascii="Times New Roman" w:hAnsi="Times New Roman" w:eastAsia="仿宋_GB2312" w:cs="Times New Roman"/>
                <w:b/>
                <w:color w:val="auto"/>
                <w:sz w:val="21"/>
                <w:szCs w:val="21"/>
              </w:rPr>
              <w:t>（m）</w:t>
            </w:r>
          </w:p>
        </w:tc>
        <w:tc>
          <w:tcPr>
            <w:tcW w:w="600" w:type="pct"/>
            <w:tcBorders>
              <w:tl2br w:val="nil"/>
              <w:tr2bl w:val="nil"/>
            </w:tcBorders>
            <w:noWrap/>
            <w:vAlign w:val="center"/>
          </w:tcPr>
          <w:p>
            <w:pPr>
              <w:spacing w:line="240" w:lineRule="atLeast"/>
              <w:jc w:val="center"/>
              <w:rPr>
                <w:rFonts w:ascii="Times New Roman" w:hAnsi="Times New Roman" w:eastAsia="仿宋_GB2312" w:cs="Times New Roman"/>
                <w:b/>
                <w:bCs/>
                <w:color w:val="auto"/>
                <w:sz w:val="21"/>
                <w:szCs w:val="21"/>
              </w:rPr>
            </w:pPr>
            <w:r>
              <w:rPr>
                <w:rFonts w:hint="eastAsia" w:ascii="Times New Roman" w:hAnsi="Times New Roman" w:eastAsia="仿宋_GB2312" w:cs="Times New Roman"/>
                <w:b/>
                <w:bCs/>
                <w:color w:val="auto"/>
                <w:sz w:val="21"/>
                <w:szCs w:val="21"/>
              </w:rPr>
              <w:t>坡比</w:t>
            </w:r>
          </w:p>
        </w:tc>
        <w:tc>
          <w:tcPr>
            <w:tcW w:w="703" w:type="pct"/>
            <w:tcBorders>
              <w:tl2br w:val="nil"/>
              <w:tr2bl w:val="nil"/>
            </w:tcBorders>
            <w:noWrap/>
            <w:vAlign w:val="center"/>
          </w:tcPr>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土方开挖（m</w:t>
            </w:r>
            <w:r>
              <w:rPr>
                <w:rFonts w:ascii="Times New Roman" w:hAnsi="Times New Roman" w:eastAsia="仿宋_GB2312" w:cs="Times New Roman"/>
                <w:b/>
                <w:bCs/>
                <w:color w:val="auto"/>
                <w:sz w:val="21"/>
                <w:szCs w:val="21"/>
                <w:vertAlign w:val="superscript"/>
              </w:rPr>
              <w:t>3</w:t>
            </w:r>
            <w:r>
              <w:rPr>
                <w:rFonts w:ascii="Times New Roman" w:hAnsi="Times New Roman" w:eastAsia="仿宋_GB2312" w:cs="Times New Roman"/>
                <w:b/>
                <w:bCs/>
                <w:color w:val="auto"/>
                <w:sz w:val="21"/>
                <w:szCs w:val="21"/>
              </w:rPr>
              <w:t>/m）</w:t>
            </w:r>
          </w:p>
        </w:tc>
        <w:tc>
          <w:tcPr>
            <w:tcW w:w="693" w:type="pct"/>
            <w:tcBorders>
              <w:tl2br w:val="nil"/>
              <w:tr2bl w:val="nil"/>
            </w:tcBorders>
            <w:noWrap/>
            <w:vAlign w:val="center"/>
          </w:tcPr>
          <w:p>
            <w:pPr>
              <w:widowControl/>
              <w:spacing w:line="240" w:lineRule="atLeast"/>
              <w:jc w:val="center"/>
              <w:textAlignment w:val="center"/>
              <w:rPr>
                <w:rFonts w:ascii="Times New Roman" w:hAnsi="Times New Roman" w:eastAsia="仿宋_GB2312" w:cs="Times New Roman"/>
                <w:b/>
                <w:bCs/>
                <w:color w:val="auto"/>
                <w:sz w:val="21"/>
                <w:szCs w:val="21"/>
              </w:rPr>
            </w:pPr>
            <w:r>
              <w:rPr>
                <w:rFonts w:hint="eastAsia" w:ascii="Times New Roman" w:hAnsi="Times New Roman" w:eastAsia="仿宋_GB2312" w:cs="Times New Roman"/>
                <w:b/>
                <w:color w:val="auto"/>
                <w:kern w:val="0"/>
                <w:sz w:val="21"/>
                <w:szCs w:val="21"/>
              </w:rPr>
              <w:t>铺草皮</w:t>
            </w:r>
            <w:r>
              <w:rPr>
                <w:rFonts w:ascii="Times New Roman" w:hAnsi="Times New Roman" w:eastAsia="仿宋_GB2312" w:cs="Times New Roman"/>
                <w:b/>
                <w:color w:val="auto"/>
                <w:kern w:val="0"/>
                <w:sz w:val="21"/>
                <w:szCs w:val="21"/>
              </w:rPr>
              <w:t>（m</w:t>
            </w:r>
            <w:r>
              <w:rPr>
                <w:rFonts w:hint="eastAsia" w:ascii="Times New Roman" w:hAnsi="Times New Roman" w:eastAsia="仿宋_GB2312" w:cs="Times New Roman"/>
                <w:b/>
                <w:color w:val="auto"/>
                <w:kern w:val="0"/>
                <w:sz w:val="21"/>
                <w:szCs w:val="21"/>
                <w:vertAlign w:val="superscript"/>
              </w:rPr>
              <w:t>2</w:t>
            </w:r>
            <w:r>
              <w:rPr>
                <w:rFonts w:ascii="Times New Roman" w:hAnsi="Times New Roman" w:eastAsia="仿宋_GB2312" w:cs="Times New Roman"/>
                <w:b/>
                <w:color w:val="auto"/>
                <w:kern w:val="0"/>
                <w:sz w:val="21"/>
                <w:szCs w:val="21"/>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5" w:type="dxa"/>
            <w:bottom w:w="0" w:type="dxa"/>
            <w:right w:w="15" w:type="dxa"/>
          </w:tblCellMar>
        </w:tblPrEx>
        <w:trPr>
          <w:trHeight w:val="283" w:hRule="atLeast"/>
          <w:jc w:val="center"/>
        </w:trPr>
        <w:tc>
          <w:tcPr>
            <w:tcW w:w="523" w:type="pct"/>
            <w:tcBorders>
              <w:tl2br w:val="nil"/>
              <w:tr2bl w:val="nil"/>
            </w:tcBorders>
            <w:noWrap/>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植草沟</w:t>
            </w:r>
          </w:p>
        </w:tc>
        <w:tc>
          <w:tcPr>
            <w:tcW w:w="541" w:type="pct"/>
            <w:tcBorders>
              <w:tl2br w:val="nil"/>
              <w:tr2bl w:val="nil"/>
            </w:tcBorders>
            <w:noWrap/>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梯形</w:t>
            </w:r>
          </w:p>
        </w:tc>
        <w:tc>
          <w:tcPr>
            <w:tcW w:w="451" w:type="pct"/>
            <w:tcBorders>
              <w:tl2br w:val="nil"/>
              <w:tr2bl w:val="nil"/>
            </w:tcBorders>
            <w:noWrap/>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w:t>
            </w:r>
          </w:p>
        </w:tc>
        <w:tc>
          <w:tcPr>
            <w:tcW w:w="434" w:type="pct"/>
            <w:tcBorders>
              <w:tl2br w:val="nil"/>
              <w:tr2bl w:val="nil"/>
            </w:tcBorders>
            <w:noWrap/>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0.</w:t>
            </w:r>
            <w:r>
              <w:rPr>
                <w:rFonts w:hint="eastAsia" w:ascii="Times New Roman" w:hAnsi="Times New Roman" w:eastAsia="仿宋_GB2312" w:cs="Times New Roman"/>
                <w:color w:val="auto"/>
                <w:sz w:val="21"/>
                <w:szCs w:val="21"/>
              </w:rPr>
              <w:t>40</w:t>
            </w:r>
          </w:p>
        </w:tc>
        <w:tc>
          <w:tcPr>
            <w:tcW w:w="540" w:type="pct"/>
            <w:tcBorders>
              <w:tl2br w:val="nil"/>
              <w:tr2bl w:val="nil"/>
            </w:tcBorders>
            <w:noWrap/>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0.30</w:t>
            </w:r>
          </w:p>
        </w:tc>
        <w:tc>
          <w:tcPr>
            <w:tcW w:w="515" w:type="pct"/>
            <w:tcBorders>
              <w:tl2br w:val="nil"/>
              <w:tr2bl w:val="nil"/>
            </w:tcBorders>
            <w:noWrap/>
            <w:vAlign w:val="center"/>
          </w:tcPr>
          <w:p>
            <w:pPr>
              <w:adjustRightInd w:val="0"/>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0.20</w:t>
            </w:r>
          </w:p>
        </w:tc>
        <w:tc>
          <w:tcPr>
            <w:tcW w:w="600" w:type="pct"/>
            <w:tcBorders>
              <w:tl2br w:val="nil"/>
              <w:tr2bl w:val="nil"/>
            </w:tcBorders>
            <w:noWrap/>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1∶0.5</w:t>
            </w:r>
          </w:p>
        </w:tc>
        <w:tc>
          <w:tcPr>
            <w:tcW w:w="703" w:type="pct"/>
            <w:tcBorders>
              <w:tl2br w:val="nil"/>
              <w:tr2bl w:val="nil"/>
            </w:tcBorders>
            <w:noWrap/>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0.20</w:t>
            </w:r>
          </w:p>
        </w:tc>
        <w:tc>
          <w:tcPr>
            <w:tcW w:w="693" w:type="pct"/>
            <w:tcBorders>
              <w:tl2br w:val="nil"/>
              <w:tr2bl w:val="nil"/>
            </w:tcBorders>
            <w:noWrap/>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1.20</w:t>
            </w:r>
          </w:p>
        </w:tc>
      </w:tr>
    </w:tbl>
    <w:p>
      <w:pPr>
        <w:pStyle w:val="16"/>
        <w:ind w:left="0" w:leftChars="0" w:right="120" w:firstLine="0" w:firstLineChars="0"/>
        <w:jc w:val="center"/>
        <w:rPr>
          <w:rFonts w:cs="Times New Roman"/>
          <w:b/>
          <w:color w:val="auto"/>
        </w:rPr>
      </w:pPr>
      <w:r>
        <w:rPr>
          <w:rFonts w:cs="Times New Roman"/>
          <w:b/>
          <w:color w:val="auto"/>
        </w:rPr>
        <w:drawing>
          <wp:inline distT="0" distB="0" distL="0" distR="0">
            <wp:extent cx="3311525" cy="1912620"/>
            <wp:effectExtent l="0" t="0" r="3175" b="5080"/>
            <wp:docPr id="35" name="图片 24" descr="C:\Users\ADMINI~1\AppData\Local\Temp\WeChat Files\a68bd1cfc1ec56dea80a43e24346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4" descr="C:\Users\ADMINI~1\AppData\Local\Temp\WeChat Files\a68bd1cfc1ec56dea80a43e24346189.png"/>
                    <pic:cNvPicPr>
                      <a:picLocks noChangeAspect="1" noChangeArrowheads="1"/>
                    </pic:cNvPicPr>
                  </pic:nvPicPr>
                  <pic:blipFill>
                    <a:blip r:embed="rId96"/>
                    <a:srcRect/>
                    <a:stretch>
                      <a:fillRect/>
                    </a:stretch>
                  </pic:blipFill>
                  <pic:spPr>
                    <a:xfrm>
                      <a:off x="0" y="0"/>
                      <a:ext cx="3311525" cy="1912620"/>
                    </a:xfrm>
                    <a:prstGeom prst="rect">
                      <a:avLst/>
                    </a:prstGeom>
                    <a:noFill/>
                    <a:ln w="9525">
                      <a:noFill/>
                      <a:miter lim="800000"/>
                      <a:headEnd/>
                      <a:tailEnd/>
                    </a:ln>
                  </pic:spPr>
                </pic:pic>
              </a:graphicData>
            </a:graphic>
          </wp:inline>
        </w:drawing>
      </w:r>
    </w:p>
    <w:p>
      <w:pPr>
        <w:pStyle w:val="16"/>
        <w:ind w:left="0" w:leftChars="0" w:right="120" w:firstLine="0" w:firstLineChars="0"/>
        <w:jc w:val="center"/>
        <w:rPr>
          <w:rFonts w:cs="Times New Roman"/>
          <w:b/>
          <w:color w:val="auto"/>
        </w:rPr>
      </w:pPr>
      <w:r>
        <w:rPr>
          <w:rFonts w:cs="Times New Roman"/>
          <w:b/>
          <w:color w:val="auto"/>
        </w:rPr>
        <w:t>图5.3</w:t>
      </w:r>
      <w:r>
        <w:rPr>
          <w:rFonts w:hint="eastAsia" w:cs="Times New Roman"/>
          <w:b/>
          <w:color w:val="auto"/>
        </w:rPr>
        <w:t>-1：植草沟</w:t>
      </w:r>
      <w:r>
        <w:rPr>
          <w:rFonts w:cs="Times New Roman"/>
          <w:b/>
          <w:color w:val="auto"/>
        </w:rPr>
        <w:t>断面图（单位：cm）</w:t>
      </w:r>
    </w:p>
    <w:p>
      <w:pPr>
        <w:adjustRightInd w:val="0"/>
        <w:spacing w:line="360" w:lineRule="auto"/>
        <w:ind w:firstLine="480" w:firstLineChars="200"/>
        <w:rPr>
          <w:rFonts w:ascii="Times New Roman" w:hAnsi="Times New Roman" w:eastAsia="仿宋_GB2312" w:cs="Times New Roman"/>
          <w:color w:val="auto"/>
        </w:rPr>
      </w:pPr>
      <w:r>
        <w:rPr>
          <w:rFonts w:hint="eastAsia" w:ascii="Times New Roman" w:hAnsi="Times New Roman" w:eastAsia="仿宋_GB2312" w:cs="Times New Roman"/>
          <w:color w:val="auto"/>
          <w:szCs w:val="24"/>
        </w:rPr>
        <w:t>（3）透水铺装工程：</w:t>
      </w:r>
      <w:r>
        <w:rPr>
          <w:rFonts w:ascii="Times New Roman" w:hAnsi="Times New Roman" w:eastAsia="仿宋_GB2312" w:cs="Times New Roman"/>
          <w:color w:val="auto"/>
        </w:rPr>
        <w:t>采用</w:t>
      </w:r>
      <w:r>
        <w:rPr>
          <w:rFonts w:hint="eastAsia" w:ascii="Times New Roman" w:hAnsi="Times New Roman" w:eastAsia="仿宋_GB2312" w:cs="Times New Roman"/>
          <w:color w:val="auto"/>
        </w:rPr>
        <w:t>面</w:t>
      </w:r>
      <w:r>
        <w:rPr>
          <w:rFonts w:ascii="Times New Roman" w:hAnsi="Times New Roman" w:eastAsia="仿宋_GB2312" w:cs="Times New Roman"/>
          <w:color w:val="auto"/>
        </w:rPr>
        <w:t>层6cm厚的透水砖</w:t>
      </w:r>
      <w:r>
        <w:rPr>
          <w:rFonts w:hint="eastAsia" w:ascii="Times New Roman" w:hAnsi="Times New Roman" w:eastAsia="仿宋_GB2312" w:cs="Times New Roman"/>
          <w:color w:val="auto"/>
        </w:rPr>
        <w:t>、封层2cm厚水泥砂浆、基层15</w:t>
      </w:r>
      <w:r>
        <w:rPr>
          <w:rFonts w:ascii="Times New Roman" w:hAnsi="Times New Roman" w:eastAsia="仿宋_GB2312" w:cs="Times New Roman"/>
          <w:color w:val="auto"/>
        </w:rPr>
        <w:t>cmC20透水混凝土和垫层</w:t>
      </w:r>
      <w:r>
        <w:rPr>
          <w:rFonts w:hint="eastAsia" w:ascii="Times New Roman" w:hAnsi="Times New Roman" w:eastAsia="仿宋_GB2312" w:cs="Times New Roman"/>
          <w:color w:val="auto"/>
        </w:rPr>
        <w:t>10cm级配碎石的</w:t>
      </w:r>
      <w:r>
        <w:rPr>
          <w:rFonts w:ascii="Times New Roman" w:hAnsi="Times New Roman" w:eastAsia="仿宋_GB2312" w:cs="Times New Roman"/>
          <w:color w:val="auto"/>
        </w:rPr>
        <w:t>型式</w:t>
      </w:r>
      <w:r>
        <w:rPr>
          <w:rFonts w:hint="eastAsia" w:ascii="Times New Roman" w:hAnsi="Times New Roman" w:eastAsia="仿宋_GB2312" w:cs="Times New Roman"/>
          <w:color w:val="auto"/>
        </w:rPr>
        <w:t>。</w:t>
      </w:r>
    </w:p>
    <w:p>
      <w:pPr>
        <w:adjustRightInd w:val="0"/>
        <w:spacing w:line="360" w:lineRule="auto"/>
        <w:ind w:firstLine="480" w:firstLineChars="200"/>
        <w:rPr>
          <w:rFonts w:ascii="Times New Roman" w:hAnsi="Times New Roman" w:eastAsia="仿宋_GB2312" w:cs="Times New Roman"/>
          <w:bCs/>
          <w:color w:val="auto"/>
          <w:szCs w:val="24"/>
        </w:rPr>
      </w:pPr>
      <w:r>
        <w:rPr>
          <w:rFonts w:ascii="Times New Roman" w:hAnsi="Times New Roman" w:eastAsia="仿宋_GB2312" w:cs="Times New Roman"/>
          <w:bCs/>
          <w:color w:val="auto"/>
          <w:szCs w:val="24"/>
        </w:rPr>
        <w:t>（</w:t>
      </w:r>
      <w:r>
        <w:rPr>
          <w:rFonts w:hint="eastAsia" w:ascii="Times New Roman" w:hAnsi="Times New Roman" w:eastAsia="仿宋_GB2312" w:cs="Times New Roman"/>
          <w:bCs/>
          <w:color w:val="auto"/>
          <w:szCs w:val="24"/>
        </w:rPr>
        <w:t>4</w:t>
      </w:r>
      <w:r>
        <w:rPr>
          <w:rFonts w:ascii="Times New Roman" w:hAnsi="Times New Roman" w:eastAsia="仿宋_GB2312" w:cs="Times New Roman"/>
          <w:bCs/>
          <w:color w:val="auto"/>
          <w:szCs w:val="24"/>
        </w:rPr>
        <w:t>）表土剥离及回填：对需要剥离表土的区域进行剥离，剥离后应集中存放于专门堆放场地，并采取拦挡、排水和苫盖措施</w:t>
      </w:r>
      <w:r>
        <w:rPr>
          <w:rFonts w:hint="eastAsia" w:ascii="Times New Roman" w:hAnsi="Times New Roman" w:eastAsia="仿宋_GB2312" w:cs="Times New Roman"/>
          <w:bCs/>
          <w:color w:val="auto"/>
          <w:szCs w:val="24"/>
        </w:rPr>
        <w:t>，后期运至指定场地铺平回填</w:t>
      </w:r>
      <w:r>
        <w:rPr>
          <w:rFonts w:ascii="Times New Roman" w:hAnsi="Times New Roman" w:eastAsia="仿宋_GB2312" w:cs="Times New Roman"/>
          <w:bCs/>
          <w:color w:val="auto"/>
          <w:szCs w:val="24"/>
        </w:rPr>
        <w:t>。</w:t>
      </w:r>
    </w:p>
    <w:p>
      <w:pPr>
        <w:spacing w:line="360" w:lineRule="auto"/>
        <w:ind w:firstLine="482" w:firstLineChars="200"/>
        <w:rPr>
          <w:rFonts w:ascii="Times New Roman" w:hAnsi="Times New Roman" w:eastAsia="仿宋_GB2312" w:cs="Times New Roman"/>
          <w:b/>
          <w:bCs/>
          <w:color w:val="auto"/>
        </w:rPr>
      </w:pPr>
      <w:r>
        <w:rPr>
          <w:rFonts w:ascii="Times New Roman" w:hAnsi="Times New Roman" w:eastAsia="仿宋_GB2312" w:cs="Times New Roman"/>
          <w:b/>
          <w:bCs/>
          <w:color w:val="auto"/>
        </w:rPr>
        <w:t>（二）植物措施</w:t>
      </w:r>
    </w:p>
    <w:p>
      <w:pPr>
        <w:widowControl/>
        <w:spacing w:line="360" w:lineRule="auto"/>
        <w:ind w:firstLine="480" w:firstLineChars="200"/>
        <w:jc w:val="left"/>
        <w:rPr>
          <w:rFonts w:ascii="仿宋_GB2312" w:hAnsi="宋体" w:eastAsia="仿宋_GB2312" w:cs="仿宋_GB2312"/>
          <w:color w:val="auto"/>
          <w:kern w:val="0"/>
          <w:szCs w:val="24"/>
        </w:rPr>
      </w:pPr>
      <w:r>
        <w:rPr>
          <w:rFonts w:ascii="仿宋_GB2312" w:hAnsi="宋体" w:eastAsia="仿宋_GB2312" w:cs="仿宋_GB2312"/>
          <w:color w:val="auto"/>
          <w:kern w:val="0"/>
          <w:szCs w:val="24"/>
        </w:rPr>
        <w:t>项目绿化遵循</w:t>
      </w:r>
      <w:r>
        <w:rPr>
          <w:rFonts w:hint="eastAsia" w:ascii="Times New Roman" w:hAnsi="Times New Roman" w:cs="Times New Roman"/>
          <w:color w:val="auto"/>
          <w:kern w:val="0"/>
          <w:szCs w:val="24"/>
        </w:rPr>
        <w:t>“</w:t>
      </w:r>
      <w:r>
        <w:rPr>
          <w:rFonts w:hint="eastAsia" w:ascii="仿宋_GB2312" w:hAnsi="宋体" w:eastAsia="仿宋_GB2312" w:cs="仿宋_GB2312"/>
          <w:color w:val="auto"/>
          <w:kern w:val="0"/>
          <w:szCs w:val="24"/>
        </w:rPr>
        <w:t>因地制宜、适地适树、符合地域</w:t>
      </w:r>
      <w:r>
        <w:rPr>
          <w:rFonts w:hint="eastAsia" w:ascii="Times New Roman" w:hAnsi="Times New Roman" w:cs="Times New Roman"/>
          <w:color w:val="auto"/>
          <w:kern w:val="0"/>
          <w:szCs w:val="24"/>
        </w:rPr>
        <w:t>”</w:t>
      </w:r>
      <w:r>
        <w:rPr>
          <w:rFonts w:hint="eastAsia" w:ascii="仿宋_GB2312" w:hAnsi="宋体" w:eastAsia="仿宋_GB2312" w:cs="仿宋_GB2312"/>
          <w:color w:val="auto"/>
          <w:kern w:val="0"/>
          <w:szCs w:val="24"/>
        </w:rPr>
        <w:t>的特点，采用乡土树种。美化与绿化统筹兼顾，合理配置常绿与落叶、速生与慢生树种，构成多层次的复合生态系统。植物配置兼顾多样性和季节性，进行多层次、多品种的搭配，整体上疏密有至，高低有序，力求在色彩变化和空间组织上都保持良好的效果。</w:t>
      </w:r>
    </w:p>
    <w:p>
      <w:pPr>
        <w:widowControl/>
        <w:spacing w:line="360" w:lineRule="auto"/>
        <w:ind w:firstLine="480" w:firstLineChars="200"/>
        <w:jc w:val="left"/>
        <w:rPr>
          <w:rFonts w:ascii="Times New Roman" w:hAnsi="Times New Roman" w:eastAsia="仿宋_GB2312"/>
          <w:color w:val="auto"/>
        </w:rPr>
      </w:pPr>
      <w:r>
        <w:rPr>
          <w:rFonts w:hint="eastAsia" w:ascii="Times New Roman" w:hAnsi="Times New Roman" w:cs="Times New Roman"/>
          <w:bCs/>
          <w:color w:val="auto"/>
          <w:kern w:val="0"/>
          <w:szCs w:val="24"/>
        </w:rPr>
        <w:t>（1）</w:t>
      </w:r>
      <w:r>
        <w:rPr>
          <w:rFonts w:ascii="仿宋_GB2312" w:hAnsi="宋体" w:eastAsia="仿宋_GB2312" w:cs="仿宋_GB2312"/>
          <w:bCs/>
          <w:color w:val="auto"/>
          <w:kern w:val="0"/>
          <w:szCs w:val="24"/>
        </w:rPr>
        <w:t>措施设计标准</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植被恢复与建设工程级别根据</w:t>
      </w:r>
      <w:r>
        <w:rPr>
          <w:rFonts w:ascii="Times New Roman" w:hAnsi="Times New Roman" w:eastAsia="仿宋_GB2312"/>
          <w:color w:val="auto"/>
        </w:rPr>
        <w:t>上位规划的</w:t>
      </w:r>
      <w:r>
        <w:rPr>
          <w:rFonts w:hint="eastAsia" w:ascii="Times New Roman" w:hAnsi="Times New Roman" w:eastAsia="仿宋_GB2312"/>
          <w:color w:val="auto"/>
        </w:rPr>
        <w:t>《</w:t>
      </w:r>
      <w:r>
        <w:rPr>
          <w:rFonts w:hint="eastAsia" w:ascii="Times New Roman" w:hAnsi="Times New Roman" w:eastAsia="仿宋_GB2312" w:cs="Times New Roman"/>
          <w:color w:val="auto"/>
          <w:szCs w:val="24"/>
        </w:rPr>
        <w:t>南昌市高铁东站周边地区控制性详细规划</w:t>
      </w:r>
      <w:r>
        <w:rPr>
          <w:rFonts w:hint="eastAsia" w:ascii="Times New Roman" w:hAnsi="Times New Roman" w:eastAsia="仿宋_GB2312"/>
          <w:color w:val="auto"/>
        </w:rPr>
        <w:t>》及</w:t>
      </w:r>
      <w:r>
        <w:rPr>
          <w:rFonts w:ascii="Times New Roman" w:hAnsi="Times New Roman" w:eastAsia="仿宋_GB2312"/>
          <w:color w:val="auto"/>
        </w:rPr>
        <w:t>《水土保持工程设计规范》（GB51018-2014</w:t>
      </w:r>
      <w:r>
        <w:rPr>
          <w:rFonts w:hint="eastAsia" w:ascii="Times New Roman" w:hAnsi="Times New Roman" w:eastAsia="仿宋_GB2312"/>
          <w:color w:val="auto"/>
        </w:rPr>
        <w:t>）确定。本评估区域内的</w:t>
      </w:r>
      <w:r>
        <w:rPr>
          <w:rFonts w:hint="eastAsia" w:ascii="Times New Roman" w:hAnsi="Times New Roman" w:eastAsia="仿宋_GB2312"/>
          <w:color w:val="auto"/>
        </w:rPr>
        <w:t>景观绿化、道路绿化及裸露复绿植被恢复与建设工程级别为</w:t>
      </w:r>
      <w:r>
        <w:rPr>
          <w:rFonts w:ascii="Times New Roman" w:hAnsi="Times New Roman" w:eastAsia="仿宋_GB2312"/>
          <w:color w:val="auto"/>
        </w:rPr>
        <w:t>1</w:t>
      </w:r>
      <w:r>
        <w:rPr>
          <w:rFonts w:hint="eastAsia" w:ascii="Times New Roman" w:hAnsi="Times New Roman" w:eastAsia="仿宋_GB2312"/>
          <w:color w:val="auto"/>
        </w:rPr>
        <w:t>级。</w:t>
      </w:r>
    </w:p>
    <w:p>
      <w:pPr>
        <w:widowControl/>
        <w:spacing w:line="360" w:lineRule="auto"/>
        <w:ind w:firstLine="480" w:firstLineChars="200"/>
        <w:jc w:val="left"/>
        <w:rPr>
          <w:rFonts w:ascii="Times New Roman" w:hAnsi="Times New Roman" w:eastAsia="仿宋_GB2312"/>
          <w:color w:val="auto"/>
        </w:rPr>
      </w:pPr>
      <w:r>
        <w:rPr>
          <w:rFonts w:hint="eastAsia" w:ascii="Times New Roman" w:hAnsi="Times New Roman" w:cs="Times New Roman"/>
          <w:bCs/>
          <w:color w:val="auto"/>
          <w:kern w:val="0"/>
          <w:szCs w:val="24"/>
        </w:rPr>
        <w:t>（2）</w:t>
      </w:r>
      <w:r>
        <w:rPr>
          <w:rFonts w:hint="eastAsia" w:ascii="仿宋_GB2312" w:hAnsi="宋体" w:eastAsia="仿宋_GB2312" w:cs="仿宋_GB2312"/>
          <w:bCs/>
          <w:color w:val="auto"/>
          <w:kern w:val="0"/>
          <w:szCs w:val="24"/>
        </w:rPr>
        <w:t>措施配置技术要求</w:t>
      </w:r>
    </w:p>
    <w:p>
      <w:pPr>
        <w:spacing w:line="360" w:lineRule="auto"/>
        <w:ind w:firstLine="480" w:firstLineChars="200"/>
        <w:rPr>
          <w:rFonts w:hint="eastAsia" w:ascii="Times New Roman" w:hAnsi="Times New Roman" w:eastAsia="仿宋_GB2312"/>
          <w:color w:val="auto"/>
        </w:rPr>
      </w:pPr>
      <w:r>
        <w:rPr>
          <w:rFonts w:hint="eastAsia" w:ascii="Times New Roman" w:hAnsi="Times New Roman" w:eastAsia="仿宋_GB2312"/>
          <w:color w:val="auto"/>
        </w:rPr>
        <w:t>①公园绿地注重物种多样性以及生态景观功能，做到乔、灌、草相结合。</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②防护绿地注重与周边道路或地块隔离效果，做到上层栽植高大乔木，下层栽植灌木的形式，起到隔离、防护、降噪的效果。</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③与周边绿化景观规划相统一。</w:t>
      </w:r>
    </w:p>
    <w:p>
      <w:pPr>
        <w:widowControl/>
        <w:spacing w:line="360" w:lineRule="auto"/>
        <w:ind w:firstLine="480" w:firstLineChars="200"/>
        <w:jc w:val="left"/>
        <w:rPr>
          <w:rFonts w:ascii="Times New Roman" w:hAnsi="Times New Roman" w:eastAsia="仿宋_GB2312"/>
          <w:color w:val="auto"/>
        </w:rPr>
      </w:pPr>
      <w:r>
        <w:rPr>
          <w:rFonts w:hint="eastAsia" w:ascii="Times New Roman" w:hAnsi="Times New Roman" w:cs="Times New Roman"/>
          <w:bCs/>
          <w:color w:val="auto"/>
          <w:kern w:val="0"/>
          <w:szCs w:val="24"/>
        </w:rPr>
        <w:t>（3）</w:t>
      </w:r>
      <w:r>
        <w:rPr>
          <w:rFonts w:hint="eastAsia" w:ascii="仿宋_GB2312" w:hAnsi="宋体" w:eastAsia="仿宋_GB2312" w:cs="仿宋_GB2312"/>
          <w:bCs/>
          <w:color w:val="auto"/>
          <w:kern w:val="0"/>
          <w:szCs w:val="24"/>
        </w:rPr>
        <w:t>树草种选择</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从生态适应性、和谐性、抗逆性和自我维持性等方面选择适合于当地生长的草种，做到适地适树（草），与周边景观规划相统一，种植观赏树种、铺植草皮。参考树草种有：</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①乔木主要有：香樟、银杏、无患子、楠树、榆树、红枫、杜英、紫薇、桂花、紫叶李、塔柏等。道路行道树及防护绿地的乔木主要选择耐旱耐贫瘠的诸如无患子、楠树、塔柏等树种。</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②灌木主要有：山茶、四季桂、月季、夹竹桃、金森女贞、红叶石楠、杜鹃、石榴、八仙花、红花</w:t>
      </w:r>
      <w:r>
        <w:rPr>
          <w:rFonts w:hint="eastAsia" w:ascii="宋体" w:hAnsi="宋体" w:cs="宋体"/>
          <w:color w:val="auto"/>
        </w:rPr>
        <w:t>檵</w:t>
      </w:r>
      <w:r>
        <w:rPr>
          <w:rFonts w:hint="eastAsia" w:ascii="仿宋_GB2312" w:hAnsi="仿宋_GB2312" w:eastAsia="仿宋_GB2312" w:cs="仿宋_GB2312"/>
          <w:color w:val="auto"/>
        </w:rPr>
        <w:t>木、龟甲冬青等。</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③草本植物有：狗牙根、马尼拉草、台湾青、白三叶、金鸡菊等。</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项目区绿化选择乔木应植株高大、树干通直、枝叶繁茂、直根系（避免树木根系对道路及硬化地面、渠道衬砌以及挡土墙墙体的破坏），并且良好的滞尘、降噪、净化空气、美化和改善环境的效果；灌木应该具有较好的绿化美化景观效果，并安排好花期，实现四季常绿、终年有花；草本应该有一定的耐热性和抗旱性。所选择树草种，均要求有一定的抗逆性，一年当中，除虫喷药的次数较少，并不产生易造成过敏反应的花粉、飞絮等。</w:t>
      </w:r>
    </w:p>
    <w:p>
      <w:pPr>
        <w:spacing w:line="360" w:lineRule="auto"/>
        <w:ind w:firstLine="480" w:firstLineChars="200"/>
        <w:rPr>
          <w:rFonts w:ascii="Times New Roman" w:hAnsi="Times New Roman" w:eastAsia="仿宋_GB2312" w:cs="Times New Roman"/>
          <w:color w:val="auto"/>
        </w:rPr>
      </w:pPr>
      <w:r>
        <w:rPr>
          <w:rFonts w:hint="eastAsia" w:ascii="Times New Roman" w:hAnsi="Times New Roman" w:eastAsia="仿宋_GB2312" w:cs="Times New Roman"/>
          <w:color w:val="auto"/>
        </w:rPr>
        <w:t>④</w:t>
      </w:r>
      <w:r>
        <w:rPr>
          <w:rFonts w:ascii="Times New Roman" w:hAnsi="Times New Roman" w:eastAsia="仿宋_GB2312" w:cs="Times New Roman"/>
          <w:color w:val="auto"/>
        </w:rPr>
        <w:t>撒播草籽</w:t>
      </w:r>
      <w:r>
        <w:rPr>
          <w:rFonts w:hint="eastAsia" w:ascii="Times New Roman" w:hAnsi="Times New Roman" w:eastAsia="仿宋_GB2312" w:cs="Times New Roman"/>
          <w:color w:val="auto"/>
        </w:rPr>
        <w:t>（植被恢复）</w:t>
      </w:r>
      <w:r>
        <w:rPr>
          <w:rFonts w:ascii="Times New Roman" w:hAnsi="Times New Roman" w:eastAsia="仿宋_GB2312" w:cs="Times New Roman"/>
          <w:color w:val="auto"/>
        </w:rPr>
        <w:t>：为对</w:t>
      </w:r>
      <w:r>
        <w:rPr>
          <w:rFonts w:hint="eastAsia" w:ascii="Times New Roman" w:hAnsi="Times New Roman" w:eastAsia="仿宋_GB2312" w:cs="Times New Roman"/>
          <w:color w:val="auto"/>
        </w:rPr>
        <w:t>场平后裸露地表进行植被恢复</w:t>
      </w:r>
      <w:r>
        <w:rPr>
          <w:rFonts w:ascii="Times New Roman" w:hAnsi="Times New Roman" w:eastAsia="仿宋_GB2312" w:cs="Times New Roman"/>
          <w:color w:val="auto"/>
        </w:rPr>
        <w:t>，对其进行撒播狗牙根、黑麦草等混合草籽。单位面积草籽量详见下表。</w:t>
      </w:r>
    </w:p>
    <w:p>
      <w:pPr>
        <w:tabs>
          <w:tab w:val="left" w:pos="2184"/>
        </w:tabs>
        <w:spacing w:line="360" w:lineRule="auto"/>
        <w:jc w:val="center"/>
        <w:textAlignment w:val="baseline"/>
        <w:rPr>
          <w:rFonts w:ascii="Times New Roman" w:hAnsi="Times New Roman" w:eastAsia="仿宋_GB2312" w:cs="Times New Roman"/>
          <w:b/>
          <w:color w:val="auto"/>
        </w:rPr>
      </w:pPr>
      <w:r>
        <w:rPr>
          <w:rFonts w:ascii="Times New Roman" w:hAnsi="Times New Roman" w:eastAsia="仿宋_GB2312" w:cs="Times New Roman"/>
          <w:b/>
          <w:color w:val="auto"/>
        </w:rPr>
        <w:t>表5.3-</w:t>
      </w:r>
      <w:r>
        <w:rPr>
          <w:rFonts w:hint="eastAsia" w:ascii="Times New Roman" w:hAnsi="Times New Roman" w:eastAsia="仿宋_GB2312" w:cs="Times New Roman"/>
          <w:b/>
          <w:color w:val="auto"/>
          <w:lang w:val="en-US" w:eastAsia="zh-CN"/>
        </w:rPr>
        <w:t>4</w:t>
      </w:r>
      <w:r>
        <w:rPr>
          <w:rFonts w:ascii="Times New Roman" w:hAnsi="Times New Roman" w:eastAsia="仿宋_GB2312" w:cs="Times New Roman"/>
          <w:b/>
          <w:color w:val="auto"/>
        </w:rPr>
        <w:t>：撒播草籽情况表</w:t>
      </w:r>
    </w:p>
    <w:tbl>
      <w:tblPr>
        <w:tblStyle w:val="37"/>
        <w:tblW w:w="506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98"/>
        <w:gridCol w:w="1500"/>
        <w:gridCol w:w="1463"/>
        <w:gridCol w:w="3745"/>
        <w:gridCol w:w="12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04" w:type="pct"/>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ascii="Times New Roman" w:hAnsi="Times New Roman" w:eastAsia="仿宋_GB2312" w:cs="Times New Roman"/>
                <w:b/>
                <w:bCs/>
                <w:color w:val="auto"/>
                <w:sz w:val="21"/>
              </w:rPr>
            </w:pPr>
            <w:r>
              <w:rPr>
                <w:rFonts w:ascii="Times New Roman" w:hAnsi="Times New Roman" w:eastAsia="仿宋_GB2312" w:cs="Times New Roman"/>
                <w:b/>
                <w:bCs/>
                <w:color w:val="auto"/>
                <w:sz w:val="21"/>
              </w:rPr>
              <w:t>类型</w:t>
            </w:r>
          </w:p>
        </w:tc>
        <w:tc>
          <w:tcPr>
            <w:tcW w:w="867" w:type="pct"/>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ascii="Times New Roman" w:hAnsi="Times New Roman" w:eastAsia="仿宋_GB2312" w:cs="Times New Roman"/>
                <w:b/>
                <w:bCs/>
                <w:color w:val="auto"/>
                <w:sz w:val="21"/>
              </w:rPr>
            </w:pPr>
            <w:r>
              <w:rPr>
                <w:rFonts w:ascii="Times New Roman" w:hAnsi="Times New Roman" w:eastAsia="仿宋_GB2312" w:cs="Times New Roman"/>
                <w:b/>
                <w:bCs/>
                <w:color w:val="auto"/>
                <w:sz w:val="21"/>
              </w:rPr>
              <w:t>草种</w:t>
            </w:r>
          </w:p>
        </w:tc>
        <w:tc>
          <w:tcPr>
            <w:tcW w:w="846" w:type="pct"/>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ascii="Times New Roman" w:hAnsi="Times New Roman" w:eastAsia="仿宋_GB2312" w:cs="Times New Roman"/>
                <w:b/>
                <w:bCs/>
                <w:color w:val="auto"/>
                <w:sz w:val="21"/>
              </w:rPr>
            </w:pPr>
            <w:r>
              <w:rPr>
                <w:rFonts w:ascii="Times New Roman" w:hAnsi="Times New Roman" w:eastAsia="仿宋_GB2312" w:cs="Times New Roman"/>
                <w:b/>
                <w:bCs/>
                <w:color w:val="auto"/>
                <w:sz w:val="21"/>
              </w:rPr>
              <w:t>要求</w:t>
            </w:r>
          </w:p>
        </w:tc>
        <w:tc>
          <w:tcPr>
            <w:tcW w:w="2167" w:type="pct"/>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ascii="Times New Roman" w:hAnsi="Times New Roman" w:eastAsia="仿宋_GB2312" w:cs="Times New Roman"/>
                <w:b/>
                <w:bCs/>
                <w:color w:val="auto"/>
                <w:sz w:val="21"/>
              </w:rPr>
            </w:pPr>
            <w:r>
              <w:rPr>
                <w:rFonts w:ascii="Times New Roman" w:hAnsi="Times New Roman" w:eastAsia="仿宋_GB2312" w:cs="Times New Roman"/>
                <w:b/>
                <w:bCs/>
                <w:color w:val="auto"/>
                <w:sz w:val="21"/>
              </w:rPr>
              <w:t>种植方式</w:t>
            </w:r>
          </w:p>
        </w:tc>
        <w:tc>
          <w:tcPr>
            <w:tcW w:w="713" w:type="pct"/>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ascii="Times New Roman" w:hAnsi="Times New Roman" w:eastAsia="仿宋_GB2312" w:cs="Times New Roman"/>
                <w:b/>
                <w:bCs/>
                <w:color w:val="auto"/>
                <w:sz w:val="21"/>
              </w:rPr>
            </w:pPr>
            <w:r>
              <w:rPr>
                <w:rFonts w:ascii="Times New Roman" w:hAnsi="Times New Roman" w:eastAsia="仿宋_GB2312" w:cs="Times New Roman"/>
                <w:b/>
                <w:bCs/>
                <w:color w:val="auto"/>
                <w:sz w:val="21"/>
              </w:rPr>
              <w:t>草籽量（kg/hm</w:t>
            </w:r>
            <w:r>
              <w:rPr>
                <w:rFonts w:ascii="Times New Roman" w:hAnsi="Times New Roman" w:eastAsia="仿宋_GB2312" w:cs="Times New Roman"/>
                <w:b/>
                <w:bCs/>
                <w:color w:val="auto"/>
                <w:sz w:val="21"/>
                <w:vertAlign w:val="superscript"/>
              </w:rPr>
              <w:t>2</w:t>
            </w:r>
            <w:r>
              <w:rPr>
                <w:rFonts w:ascii="Times New Roman" w:hAnsi="Times New Roman" w:eastAsia="仿宋_GB2312" w:cs="Times New Roman"/>
                <w:b/>
                <w:bCs/>
                <w:color w:val="auto"/>
                <w:sz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04" w:type="pct"/>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ascii="Times New Roman" w:hAnsi="Times New Roman" w:eastAsia="仿宋_GB2312" w:cs="Times New Roman"/>
                <w:color w:val="auto"/>
                <w:sz w:val="21"/>
              </w:rPr>
            </w:pPr>
            <w:r>
              <w:rPr>
                <w:rFonts w:ascii="Times New Roman" w:hAnsi="Times New Roman" w:eastAsia="仿宋_GB2312" w:cs="Times New Roman"/>
                <w:color w:val="auto"/>
                <w:sz w:val="21"/>
              </w:rPr>
              <w:t>混合草籽</w:t>
            </w:r>
          </w:p>
        </w:tc>
        <w:tc>
          <w:tcPr>
            <w:tcW w:w="867" w:type="pct"/>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ascii="Times New Roman" w:hAnsi="Times New Roman" w:eastAsia="仿宋_GB2312" w:cs="Times New Roman"/>
                <w:color w:val="auto"/>
                <w:sz w:val="21"/>
              </w:rPr>
            </w:pPr>
            <w:r>
              <w:rPr>
                <w:rFonts w:ascii="Times New Roman" w:hAnsi="Times New Roman" w:eastAsia="仿宋_GB2312" w:cs="Times New Roman"/>
                <w:color w:val="auto"/>
                <w:sz w:val="21"/>
              </w:rPr>
              <w:t>狗芽根、黑麦草等混合草籽</w:t>
            </w:r>
          </w:p>
        </w:tc>
        <w:tc>
          <w:tcPr>
            <w:tcW w:w="846" w:type="pct"/>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ascii="Times New Roman" w:hAnsi="Times New Roman" w:eastAsia="仿宋_GB2312" w:cs="Times New Roman"/>
                <w:color w:val="auto"/>
                <w:sz w:val="21"/>
              </w:rPr>
            </w:pPr>
            <w:r>
              <w:rPr>
                <w:rFonts w:ascii="Times New Roman" w:hAnsi="Times New Roman" w:eastAsia="仿宋_GB2312" w:cs="Times New Roman"/>
                <w:color w:val="auto"/>
                <w:sz w:val="21"/>
              </w:rPr>
              <w:t>净度&gt;95%，</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ascii="Times New Roman" w:hAnsi="Times New Roman" w:eastAsia="仿宋_GB2312" w:cs="Times New Roman"/>
                <w:color w:val="auto"/>
                <w:sz w:val="21"/>
              </w:rPr>
            </w:pPr>
            <w:r>
              <w:rPr>
                <w:rFonts w:ascii="Times New Roman" w:hAnsi="Times New Roman" w:eastAsia="仿宋_GB2312" w:cs="Times New Roman"/>
                <w:color w:val="auto"/>
                <w:sz w:val="21"/>
              </w:rPr>
              <w:t>发芽率&gt;85%</w:t>
            </w:r>
          </w:p>
        </w:tc>
        <w:tc>
          <w:tcPr>
            <w:tcW w:w="2167" w:type="pct"/>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ascii="Times New Roman" w:hAnsi="Times New Roman" w:eastAsia="仿宋_GB2312" w:cs="Times New Roman"/>
                <w:color w:val="auto"/>
                <w:sz w:val="21"/>
              </w:rPr>
            </w:pPr>
            <w:r>
              <w:rPr>
                <w:rFonts w:ascii="Times New Roman" w:hAnsi="Times New Roman" w:eastAsia="仿宋_GB2312" w:cs="Times New Roman"/>
                <w:color w:val="auto"/>
                <w:sz w:val="21"/>
              </w:rPr>
              <w:t>种植前先平整坡面，去除坡面上的杂物和浮石，播种前用少量泥沙和磷肥拌种后撒播，播后覆土，及时覆盖保护。</w:t>
            </w:r>
          </w:p>
        </w:tc>
        <w:tc>
          <w:tcPr>
            <w:tcW w:w="713" w:type="pct"/>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ascii="Times New Roman" w:hAnsi="Times New Roman" w:eastAsia="仿宋_GB2312" w:cs="Times New Roman"/>
                <w:color w:val="auto"/>
                <w:sz w:val="21"/>
              </w:rPr>
            </w:pPr>
            <w:r>
              <w:rPr>
                <w:rFonts w:ascii="Times New Roman" w:hAnsi="Times New Roman" w:eastAsia="仿宋_GB2312" w:cs="Times New Roman"/>
                <w:color w:val="auto"/>
                <w:sz w:val="21"/>
              </w:rPr>
              <w:t>80</w:t>
            </w:r>
          </w:p>
        </w:tc>
      </w:tr>
    </w:tbl>
    <w:p>
      <w:pPr>
        <w:spacing w:line="360" w:lineRule="auto"/>
        <w:ind w:firstLine="480" w:firstLineChars="200"/>
        <w:rPr>
          <w:rFonts w:ascii="Times New Roman" w:hAnsi="Times New Roman" w:eastAsia="仿宋_GB2312" w:cs="Times New Roman"/>
          <w:color w:val="auto"/>
        </w:rPr>
      </w:pPr>
      <w:r>
        <w:rPr>
          <w:rFonts w:hint="eastAsia" w:ascii="Times New Roman" w:hAnsi="Times New Roman" w:eastAsia="仿宋_GB2312" w:cs="Times New Roman"/>
          <w:color w:val="auto"/>
        </w:rPr>
        <w:t>1)</w:t>
      </w:r>
      <w:r>
        <w:rPr>
          <w:rFonts w:ascii="Times New Roman" w:hAnsi="Times New Roman" w:eastAsia="仿宋_GB2312" w:cs="Times New Roman"/>
          <w:color w:val="auto"/>
        </w:rPr>
        <w:t>主要树草种的生态学特性和适地环境介绍：</w:t>
      </w:r>
    </w:p>
    <w:p>
      <w:pPr>
        <w:spacing w:line="360" w:lineRule="auto"/>
        <w:ind w:firstLine="480" w:firstLineChars="200"/>
        <w:rPr>
          <w:rFonts w:ascii="Times New Roman" w:hAnsi="Times New Roman" w:eastAsia="仿宋_GB2312" w:cs="Times New Roman"/>
          <w:color w:val="auto"/>
        </w:rPr>
      </w:pPr>
      <w:r>
        <w:rPr>
          <w:rFonts w:ascii="Times New Roman" w:hAnsi="Times New Roman" w:cs="Times New Roman"/>
          <w:color w:val="auto"/>
        </w:rPr>
        <w:t>a.</w:t>
      </w:r>
      <w:r>
        <w:rPr>
          <w:rFonts w:ascii="Times New Roman" w:hAnsi="Times New Roman" w:eastAsia="仿宋_GB2312" w:cs="Times New Roman"/>
          <w:color w:val="auto"/>
        </w:rPr>
        <w:t>狗牙根（Cynodon Rich）：多年生植物，属禾本科狗压根属，是我国南方应用最广的暖季型草坪植物之一。具根茎，耐淹，极耐热和抗旱，耐践踏，适应的土壤范围很广，适宜的PH值为5.5~7.5，再生能力很强。</w:t>
      </w:r>
    </w:p>
    <w:p>
      <w:pPr>
        <w:spacing w:line="360" w:lineRule="auto"/>
        <w:ind w:firstLine="480" w:firstLineChars="200"/>
        <w:rPr>
          <w:rFonts w:ascii="Times New Roman" w:hAnsi="Times New Roman" w:eastAsia="仿宋_GB2312" w:cs="Times New Roman"/>
          <w:color w:val="auto"/>
        </w:rPr>
      </w:pPr>
      <w:r>
        <w:rPr>
          <w:rFonts w:ascii="Times New Roman" w:hAnsi="Times New Roman" w:cs="Times New Roman"/>
          <w:color w:val="auto"/>
        </w:rPr>
        <w:t>b.</w:t>
      </w:r>
      <w:r>
        <w:rPr>
          <w:rFonts w:ascii="Times New Roman" w:hAnsi="Times New Roman" w:eastAsia="仿宋_GB2312" w:cs="Times New Roman"/>
          <w:color w:val="auto"/>
        </w:rPr>
        <w:t>黑麦草(学名:Lolium perenne L.)：多年生植物，属禾本科黑麦草属，可保持草坪四季常绿的优良景观。喜温凉湿润气候。宜于夏季凉爽、冬季不太寒冷地区生长。10℃左右能较好生长，27℃以下为生长适宜温度，35℃生长不良。不耐旱，尤其夏季高热、干旱更为不利。对土壤要求比较严格，喜肥不耐瘠。略能耐酸，适宜的土壤pH为6</w:t>
      </w:r>
      <w:r>
        <w:rPr>
          <w:rFonts w:hint="eastAsia" w:ascii="Times New Roman" w:hAnsi="Times New Roman" w:eastAsia="仿宋_GB2312" w:cs="Times New Roman"/>
          <w:color w:val="auto"/>
        </w:rPr>
        <w:t>~</w:t>
      </w:r>
      <w:r>
        <w:rPr>
          <w:rFonts w:ascii="Times New Roman" w:hAnsi="Times New Roman" w:eastAsia="仿宋_GB2312" w:cs="Times New Roman"/>
          <w:color w:val="auto"/>
        </w:rPr>
        <w:t>7。</w:t>
      </w:r>
    </w:p>
    <w:p>
      <w:pPr>
        <w:spacing w:line="360" w:lineRule="auto"/>
        <w:ind w:firstLine="480" w:firstLineChars="200"/>
        <w:rPr>
          <w:rFonts w:ascii="Times New Roman" w:hAnsi="Times New Roman" w:eastAsia="仿宋_GB2312" w:cs="Times New Roman"/>
          <w:color w:val="auto"/>
        </w:rPr>
      </w:pPr>
      <w:r>
        <w:rPr>
          <w:rFonts w:hint="eastAsia" w:ascii="Times New Roman" w:hAnsi="Times New Roman" w:eastAsia="仿宋_GB2312" w:cs="Times New Roman"/>
          <w:color w:val="auto"/>
        </w:rPr>
        <w:t>2)</w:t>
      </w:r>
      <w:r>
        <w:rPr>
          <w:rFonts w:ascii="Times New Roman" w:hAnsi="Times New Roman" w:eastAsia="仿宋_GB2312" w:cs="Times New Roman"/>
          <w:color w:val="auto"/>
        </w:rPr>
        <w:t>种草方式：</w:t>
      </w:r>
    </w:p>
    <w:p>
      <w:pPr>
        <w:spacing w:line="360" w:lineRule="auto"/>
        <w:ind w:firstLine="480" w:firstLineChars="200"/>
        <w:rPr>
          <w:rFonts w:ascii="Times New Roman" w:hAnsi="Times New Roman" w:eastAsia="仿宋_GB2312" w:cs="Times New Roman"/>
          <w:color w:val="auto"/>
        </w:rPr>
      </w:pPr>
      <w:r>
        <w:rPr>
          <w:rFonts w:ascii="Times New Roman" w:hAnsi="Times New Roman" w:cs="Times New Roman"/>
          <w:color w:val="auto"/>
        </w:rPr>
        <w:t>a.</w:t>
      </w:r>
      <w:r>
        <w:rPr>
          <w:rFonts w:ascii="Times New Roman" w:hAnsi="Times New Roman" w:eastAsia="仿宋_GB2312" w:cs="Times New Roman"/>
          <w:color w:val="auto"/>
        </w:rPr>
        <w:t>种植方法：种植前，清理场面杂物，松地碎土；种植时，草籽播前浸种晾干后，用少量泥沙和磷肥拌种，播后覆土。</w:t>
      </w:r>
    </w:p>
    <w:p>
      <w:pPr>
        <w:spacing w:line="360" w:lineRule="auto"/>
        <w:ind w:firstLine="480" w:firstLineChars="200"/>
        <w:rPr>
          <w:rFonts w:ascii="Times New Roman" w:hAnsi="Times New Roman" w:eastAsia="仿宋_GB2312" w:cs="Times New Roman"/>
          <w:color w:val="auto"/>
        </w:rPr>
      </w:pPr>
      <w:r>
        <w:rPr>
          <w:rFonts w:ascii="Times New Roman" w:hAnsi="Times New Roman" w:cs="Times New Roman"/>
          <w:color w:val="auto"/>
        </w:rPr>
        <w:t>b.</w:t>
      </w:r>
      <w:r>
        <w:rPr>
          <w:rFonts w:ascii="Times New Roman" w:hAnsi="Times New Roman" w:eastAsia="仿宋_GB2312" w:cs="Times New Roman"/>
          <w:color w:val="auto"/>
        </w:rPr>
        <w:t>抚育管理：适时浇水、施肥、锄草，防治病虫害，严禁人为损坏。</w:t>
      </w:r>
    </w:p>
    <w:p>
      <w:pPr>
        <w:adjustRightInd w:val="0"/>
        <w:spacing w:line="360" w:lineRule="auto"/>
        <w:ind w:firstLine="480" w:firstLineChars="200"/>
        <w:rPr>
          <w:rFonts w:ascii="Times New Roman" w:hAnsi="Times New Roman" w:eastAsia="仿宋_GB2312" w:cs="Times New Roman"/>
          <w:bCs/>
          <w:color w:val="auto"/>
          <w:szCs w:val="24"/>
        </w:rPr>
      </w:pPr>
      <w:r>
        <w:rPr>
          <w:rFonts w:hint="eastAsia" w:ascii="Times New Roman" w:hAnsi="Times New Roman" w:eastAsia="仿宋_GB2312" w:cs="Times New Roman"/>
          <w:bCs/>
          <w:color w:val="auto"/>
          <w:szCs w:val="24"/>
        </w:rPr>
        <w:t>（4）后期养护</w:t>
      </w:r>
    </w:p>
    <w:p>
      <w:pPr>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植物措施后期养护包括浇水、修剪、维护等。浇水应及时，水量充足，视树木生长需要和气候变化而定，浇后应中耕或封堰，常绿树还要注意叶面喷水，雨季时还应注意排涝，树堰内不得有积水。植物移植后注意修剪，去蘖、定芽，成活生长后再逐步改变培养树型。对易发生病虫害的树木，应有专人经常观察，采取措施及时防治。加强看管维护，防止自然灾害与人为破坏。</w:t>
      </w:r>
    </w:p>
    <w:p>
      <w:pPr>
        <w:spacing w:line="360" w:lineRule="auto"/>
        <w:ind w:firstLine="480" w:firstLineChars="200"/>
        <w:rPr>
          <w:rFonts w:hint="eastAsia" w:ascii="Times New Roman" w:hAnsi="Times New Roman" w:eastAsia="仿宋_GB2312" w:cs="Times New Roman"/>
          <w:color w:val="auto"/>
        </w:rPr>
      </w:pPr>
      <w:r>
        <w:rPr>
          <w:rFonts w:hint="eastAsia" w:ascii="Times New Roman" w:hAnsi="Times New Roman" w:eastAsia="仿宋_GB2312" w:cs="Times New Roman"/>
          <w:color w:val="auto"/>
        </w:rPr>
        <w:t>（5）海绵城市绿化</w:t>
      </w:r>
    </w:p>
    <w:p>
      <w:pPr>
        <w:spacing w:line="360" w:lineRule="auto"/>
        <w:ind w:firstLine="480" w:firstLineChars="200"/>
        <w:rPr>
          <w:rFonts w:hint="eastAsia" w:ascii="Times New Roman" w:hAnsi="Times New Roman" w:eastAsia="仿宋_GB2312" w:cs="Times New Roman"/>
          <w:color w:val="auto"/>
        </w:rPr>
      </w:pPr>
      <w:r>
        <w:rPr>
          <w:rFonts w:hint="eastAsia" w:ascii="Times New Roman" w:hAnsi="Times New Roman" w:eastAsia="仿宋_GB2312" w:cs="Times New Roman"/>
          <w:color w:val="auto"/>
        </w:rPr>
        <w:t>①下凹式绿地（含雨水花园）</w:t>
      </w:r>
    </w:p>
    <w:p>
      <w:pPr>
        <w:spacing w:line="360" w:lineRule="auto"/>
        <w:ind w:firstLine="480" w:firstLineChars="200"/>
        <w:rPr>
          <w:rFonts w:hint="eastAsia" w:ascii="Times New Roman" w:hAnsi="Times New Roman" w:eastAsia="仿宋_GB2312" w:cs="Times New Roman"/>
          <w:color w:val="auto"/>
        </w:rPr>
      </w:pPr>
      <w:r>
        <w:rPr>
          <w:rFonts w:hint="eastAsia" w:ascii="Times New Roman" w:hAnsi="Times New Roman" w:eastAsia="仿宋_GB2312" w:cs="Times New Roman"/>
          <w:color w:val="auto"/>
        </w:rPr>
        <w:t>在绿地区域内可通过调整设计高程，使绿地低于周边铺砌地面或道路在200mm以内，使绿地具有一定调蓄容积，本评估区域内绿地年净流总量控制率需达到90%。在下凹式绿地处选取植物应选用耐淹植物。</w:t>
      </w:r>
    </w:p>
    <w:p>
      <w:pPr>
        <w:spacing w:line="360" w:lineRule="auto"/>
        <w:jc w:val="center"/>
        <w:rPr>
          <w:rFonts w:hint="eastAsia" w:ascii="Times New Roman" w:hAnsi="Times New Roman" w:eastAsia="仿宋_GB2312" w:cs="Times New Roman"/>
          <w:color w:val="auto"/>
        </w:rPr>
      </w:pPr>
      <w:r>
        <w:rPr>
          <w:rFonts w:ascii="Times New Roman" w:hAnsi="Times New Roman" w:eastAsia="仿宋_GB2312" w:cs="Times New Roman"/>
          <w:color w:val="auto"/>
        </w:rPr>
        <w:drawing>
          <wp:inline distT="0" distB="0" distL="0" distR="0">
            <wp:extent cx="5062220" cy="2948940"/>
            <wp:effectExtent l="0" t="0" r="5080" b="10160"/>
            <wp:docPr id="49" name="图片 18" descr="D:\Backup\Documents\WeChat Files\wxid_fheikpirhbqm21\FileStorage\Temp\16645402605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8" descr="D:\Backup\Documents\WeChat Files\wxid_fheikpirhbqm21\FileStorage\Temp\1664540260568.png"/>
                    <pic:cNvPicPr>
                      <a:picLocks noChangeAspect="1" noChangeArrowheads="1"/>
                    </pic:cNvPicPr>
                  </pic:nvPicPr>
                  <pic:blipFill>
                    <a:blip r:embed="rId97"/>
                    <a:srcRect/>
                    <a:stretch>
                      <a:fillRect/>
                    </a:stretch>
                  </pic:blipFill>
                  <pic:spPr>
                    <a:xfrm>
                      <a:off x="0" y="0"/>
                      <a:ext cx="5062220" cy="2948940"/>
                    </a:xfrm>
                    <a:prstGeom prst="rect">
                      <a:avLst/>
                    </a:prstGeom>
                    <a:noFill/>
                    <a:ln w="9525">
                      <a:noFill/>
                      <a:miter lim="800000"/>
                      <a:headEnd/>
                      <a:tailEnd/>
                    </a:ln>
                  </pic:spPr>
                </pic:pic>
              </a:graphicData>
            </a:graphic>
          </wp:inline>
        </w:drawing>
      </w:r>
    </w:p>
    <w:p>
      <w:pPr>
        <w:spacing w:line="360" w:lineRule="auto"/>
        <w:jc w:val="center"/>
        <w:rPr>
          <w:rFonts w:hint="eastAsia" w:ascii="Times New Roman" w:hAnsi="Times New Roman" w:eastAsia="仿宋_GB2312" w:cs="Times New Roman"/>
          <w:color w:val="auto"/>
        </w:rPr>
      </w:pPr>
      <w:r>
        <w:rPr>
          <w:rFonts w:ascii="Times New Roman" w:hAnsi="Times New Roman" w:eastAsia="仿宋_GB2312" w:cs="Times New Roman"/>
          <w:color w:val="auto"/>
        </w:rPr>
        <w:drawing>
          <wp:inline distT="0" distB="0" distL="0" distR="0">
            <wp:extent cx="4863465" cy="2320925"/>
            <wp:effectExtent l="0" t="0" r="635" b="3175"/>
            <wp:docPr id="51" name="图片 19" descr="D:\Backup\Documents\WeChat Files\wxid_fheikpirhbqm21\FileStorage\Temp\1664540307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9" descr="D:\Backup\Documents\WeChat Files\wxid_fheikpirhbqm21\FileStorage\Temp\1664540307314.png"/>
                    <pic:cNvPicPr>
                      <a:picLocks noChangeAspect="1" noChangeArrowheads="1"/>
                    </pic:cNvPicPr>
                  </pic:nvPicPr>
                  <pic:blipFill>
                    <a:blip r:embed="rId98"/>
                    <a:srcRect/>
                    <a:stretch>
                      <a:fillRect/>
                    </a:stretch>
                  </pic:blipFill>
                  <pic:spPr>
                    <a:xfrm>
                      <a:off x="0" y="0"/>
                      <a:ext cx="4863465" cy="2320925"/>
                    </a:xfrm>
                    <a:prstGeom prst="rect">
                      <a:avLst/>
                    </a:prstGeom>
                    <a:noFill/>
                    <a:ln w="9525">
                      <a:noFill/>
                      <a:miter lim="800000"/>
                      <a:headEnd/>
                      <a:tailEnd/>
                    </a:ln>
                  </pic:spPr>
                </pic:pic>
              </a:graphicData>
            </a:graphic>
          </wp:inline>
        </w:drawing>
      </w:r>
    </w:p>
    <w:p>
      <w:pPr>
        <w:spacing w:line="360" w:lineRule="auto"/>
        <w:jc w:val="center"/>
        <w:rPr>
          <w:rFonts w:hint="eastAsia" w:ascii="Times New Roman" w:hAnsi="Times New Roman" w:eastAsia="仿宋_GB2312" w:cs="Times New Roman"/>
          <w:color w:val="auto"/>
        </w:rPr>
      </w:pPr>
      <w:r>
        <w:rPr>
          <w:rFonts w:ascii="Times New Roman" w:hAnsi="Times New Roman" w:eastAsia="仿宋_GB2312" w:cs="Times New Roman"/>
          <w:b/>
          <w:color w:val="auto"/>
        </w:rPr>
        <w:t>图5.3</w:t>
      </w:r>
      <w:r>
        <w:rPr>
          <w:rFonts w:hint="eastAsia" w:ascii="Times New Roman" w:hAnsi="Times New Roman" w:eastAsia="仿宋_GB2312" w:cs="Times New Roman"/>
          <w:b/>
          <w:color w:val="auto"/>
        </w:rPr>
        <w:t>-2：下凹式绿地示意</w:t>
      </w:r>
      <w:r>
        <w:rPr>
          <w:rFonts w:ascii="Times New Roman" w:hAnsi="Times New Roman" w:eastAsia="仿宋_GB2312" w:cs="Times New Roman"/>
          <w:b/>
          <w:color w:val="auto"/>
        </w:rPr>
        <w:t>图</w:t>
      </w:r>
    </w:p>
    <w:p>
      <w:pPr>
        <w:spacing w:line="360" w:lineRule="auto"/>
        <w:ind w:firstLine="480" w:firstLineChars="200"/>
        <w:rPr>
          <w:rFonts w:hint="eastAsia" w:ascii="Times New Roman" w:hAnsi="Times New Roman" w:eastAsia="仿宋_GB2312" w:cs="Times New Roman"/>
          <w:color w:val="auto"/>
        </w:rPr>
      </w:pPr>
      <w:r>
        <w:rPr>
          <w:rFonts w:hint="eastAsia" w:ascii="Times New Roman" w:hAnsi="Times New Roman" w:eastAsia="仿宋_GB2312" w:cs="Times New Roman"/>
          <w:color w:val="auto"/>
        </w:rPr>
        <w:t>②植物缓冲带</w:t>
      </w:r>
    </w:p>
    <w:p>
      <w:pPr>
        <w:spacing w:line="360" w:lineRule="auto"/>
        <w:ind w:firstLine="480" w:firstLineChars="200"/>
        <w:rPr>
          <w:rFonts w:hint="eastAsia" w:ascii="Times New Roman" w:hAnsi="Times New Roman" w:eastAsia="仿宋_GB2312" w:cs="Times New Roman"/>
          <w:color w:val="auto"/>
        </w:rPr>
      </w:pPr>
      <w:r>
        <w:rPr>
          <w:rFonts w:ascii="Times New Roman" w:hAnsi="Times New Roman" w:eastAsia="仿宋_GB2312" w:cs="Times New Roman"/>
          <w:color w:val="auto"/>
        </w:rPr>
        <w:t>通过在绿地与其他地块</w:t>
      </w:r>
      <w:r>
        <w:rPr>
          <w:rFonts w:hint="eastAsia" w:ascii="Times New Roman" w:hAnsi="Times New Roman" w:eastAsia="仿宋_GB2312" w:cs="Times New Roman"/>
          <w:color w:val="auto"/>
        </w:rPr>
        <w:t>、</w:t>
      </w:r>
      <w:r>
        <w:rPr>
          <w:rFonts w:ascii="Times New Roman" w:hAnsi="Times New Roman" w:eastAsia="仿宋_GB2312" w:cs="Times New Roman"/>
          <w:color w:val="auto"/>
        </w:rPr>
        <w:t>道路及西总干渠周边设置一定缓坡</w:t>
      </w:r>
      <w:r>
        <w:rPr>
          <w:rFonts w:hint="eastAsia" w:ascii="Times New Roman" w:hAnsi="Times New Roman" w:eastAsia="仿宋_GB2312" w:cs="Times New Roman"/>
          <w:color w:val="auto"/>
        </w:rPr>
        <w:t>（一般取2%~6%），且宽度不宜小于2m。使地表径流经植被拦截及土壤下渗作用，减缓地表径流流速，并去除径流中部分污染物。在最内侧采用多年禾本科植物组成，搭配其他草本与木本植物，降低雨水径流流速，并吸收处理雨水中污染物；中间层采用慢生乔木与灌木，进行进一步净化处理最内侧植物带的剩余污染物；最外层采用耐水湿乔木或灌草，完成雨水水量与水质的最后一步管理，临近西总干渠处还可栽植芦苇等水路两生植物，保护堤岸与为水生生物创造稳定栖息环境。</w:t>
      </w:r>
    </w:p>
    <w:p>
      <w:pPr>
        <w:spacing w:line="360" w:lineRule="auto"/>
        <w:jc w:val="center"/>
        <w:rPr>
          <w:rFonts w:hint="eastAsia" w:ascii="Times New Roman" w:hAnsi="Times New Roman" w:eastAsia="仿宋_GB2312" w:cs="Times New Roman"/>
          <w:color w:val="auto"/>
        </w:rPr>
      </w:pPr>
      <w:r>
        <w:rPr>
          <w:rFonts w:ascii="Times New Roman" w:hAnsi="Times New Roman" w:eastAsia="仿宋_GB2312" w:cs="Times New Roman"/>
          <w:color w:val="auto"/>
        </w:rPr>
        <w:drawing>
          <wp:inline distT="0" distB="0" distL="0" distR="0">
            <wp:extent cx="4413250" cy="3084830"/>
            <wp:effectExtent l="0" t="0" r="6350" b="1270"/>
            <wp:docPr id="54" name="图片 20" descr="D:\Backup\Documents\WeChat Files\wxid_fheikpirhbqm21\FileStorage\Temp\1664540718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0" descr="D:\Backup\Documents\WeChat Files\wxid_fheikpirhbqm21\FileStorage\Temp\1664540718284.png"/>
                    <pic:cNvPicPr>
                      <a:picLocks noChangeAspect="1" noChangeArrowheads="1"/>
                    </pic:cNvPicPr>
                  </pic:nvPicPr>
                  <pic:blipFill>
                    <a:blip r:embed="rId99"/>
                    <a:srcRect/>
                    <a:stretch>
                      <a:fillRect/>
                    </a:stretch>
                  </pic:blipFill>
                  <pic:spPr>
                    <a:xfrm>
                      <a:off x="0" y="0"/>
                      <a:ext cx="4413250" cy="3084830"/>
                    </a:xfrm>
                    <a:prstGeom prst="rect">
                      <a:avLst/>
                    </a:prstGeom>
                    <a:noFill/>
                    <a:ln w="9525">
                      <a:noFill/>
                      <a:miter lim="800000"/>
                      <a:headEnd/>
                      <a:tailEnd/>
                    </a:ln>
                  </pic:spPr>
                </pic:pic>
              </a:graphicData>
            </a:graphic>
          </wp:inline>
        </w:drawing>
      </w:r>
    </w:p>
    <w:p>
      <w:pPr>
        <w:spacing w:line="360" w:lineRule="auto"/>
        <w:jc w:val="center"/>
        <w:rPr>
          <w:rFonts w:hint="eastAsia" w:ascii="Times New Roman" w:hAnsi="Times New Roman" w:eastAsia="仿宋_GB2312" w:cs="Times New Roman"/>
          <w:color w:val="auto"/>
        </w:rPr>
      </w:pPr>
      <w:r>
        <w:rPr>
          <w:rFonts w:ascii="Times New Roman" w:hAnsi="Times New Roman" w:eastAsia="仿宋_GB2312" w:cs="Times New Roman"/>
          <w:b/>
          <w:color w:val="auto"/>
        </w:rPr>
        <w:t>图5.3</w:t>
      </w:r>
      <w:r>
        <w:rPr>
          <w:rFonts w:hint="eastAsia" w:ascii="Times New Roman" w:hAnsi="Times New Roman" w:eastAsia="仿宋_GB2312" w:cs="Times New Roman"/>
          <w:b/>
          <w:color w:val="auto"/>
        </w:rPr>
        <w:t>-3：植物缓冲带示意</w:t>
      </w:r>
      <w:r>
        <w:rPr>
          <w:rFonts w:ascii="Times New Roman" w:hAnsi="Times New Roman" w:eastAsia="仿宋_GB2312" w:cs="Times New Roman"/>
          <w:b/>
          <w:color w:val="auto"/>
        </w:rPr>
        <w:t>图</w:t>
      </w:r>
    </w:p>
    <w:p>
      <w:pPr>
        <w:spacing w:line="360" w:lineRule="auto"/>
        <w:ind w:firstLine="482" w:firstLineChars="200"/>
        <w:rPr>
          <w:rFonts w:ascii="Times New Roman" w:hAnsi="Times New Roman" w:eastAsia="仿宋_GB2312" w:cs="Times New Roman"/>
          <w:b/>
          <w:bCs/>
          <w:color w:val="auto"/>
        </w:rPr>
      </w:pPr>
      <w:r>
        <w:rPr>
          <w:rFonts w:ascii="Times New Roman" w:hAnsi="Times New Roman" w:eastAsia="仿宋_GB2312" w:cs="Times New Roman"/>
          <w:b/>
          <w:bCs/>
          <w:color w:val="auto"/>
        </w:rPr>
        <w:t>（三）临时措施</w:t>
      </w:r>
    </w:p>
    <w:p>
      <w:pPr>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rPr>
        <w:t>临时措施防护对象为施工建设场地的扰动面、占压面等。主要包括临时苫盖、排水和拦挡等，重点在于预防和控制施工过程中的水土流失。</w:t>
      </w:r>
    </w:p>
    <w:p>
      <w:pPr>
        <w:adjustRightInd w:val="0"/>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rPr>
        <w:t>（1）临时苫盖</w:t>
      </w:r>
    </w:p>
    <w:p>
      <w:pPr>
        <w:adjustRightInd w:val="0"/>
        <w:spacing w:line="360" w:lineRule="auto"/>
        <w:ind w:firstLine="480" w:firstLineChars="200"/>
        <w:rPr>
          <w:rFonts w:ascii="Times New Roman" w:hAnsi="Times New Roman" w:eastAsia="仿宋_GB2312" w:cs="Times New Roman"/>
          <w:bCs/>
          <w:color w:val="auto"/>
          <w:szCs w:val="24"/>
        </w:rPr>
      </w:pPr>
      <w:r>
        <w:rPr>
          <w:rFonts w:ascii="Times New Roman" w:hAnsi="Times New Roman" w:eastAsia="仿宋_GB2312" w:cs="Times New Roman"/>
          <w:color w:val="auto"/>
        </w:rPr>
        <w:t>对场地内裸露的地表</w:t>
      </w:r>
      <w:r>
        <w:rPr>
          <w:rFonts w:hint="eastAsia" w:ascii="Times New Roman" w:hAnsi="Times New Roman" w:eastAsia="仿宋_GB2312" w:cs="Times New Roman"/>
          <w:color w:val="auto"/>
        </w:rPr>
        <w:t>复绿前进行临时防护</w:t>
      </w:r>
      <w:r>
        <w:rPr>
          <w:rFonts w:ascii="Times New Roman" w:hAnsi="Times New Roman" w:eastAsia="仿宋_GB2312" w:cs="Times New Roman"/>
          <w:color w:val="auto"/>
        </w:rPr>
        <w:t>，应用土工布、苫布等覆盖，防止水土流失。临时苫盖示意图见图5.3-</w:t>
      </w:r>
      <w:r>
        <w:rPr>
          <w:rFonts w:hint="eastAsia" w:ascii="Times New Roman" w:hAnsi="Times New Roman" w:eastAsia="仿宋_GB2312" w:cs="Times New Roman"/>
          <w:color w:val="auto"/>
          <w:lang w:val="en-US" w:eastAsia="zh-CN"/>
        </w:rPr>
        <w:t>4</w:t>
      </w:r>
      <w:r>
        <w:rPr>
          <w:rFonts w:ascii="Times New Roman" w:hAnsi="Times New Roman" w:eastAsia="仿宋_GB2312" w:cs="Times New Roman"/>
          <w:color w:val="auto"/>
        </w:rPr>
        <w:t>。</w:t>
      </w:r>
    </w:p>
    <w:p>
      <w:pPr>
        <w:jc w:val="center"/>
        <w:rPr>
          <w:rFonts w:ascii="Times New Roman" w:hAnsi="Times New Roman" w:eastAsia="仿宋_GB2312" w:cs="Times New Roman"/>
          <w:b/>
          <w:bCs/>
          <w:color w:val="auto"/>
        </w:rPr>
      </w:pPr>
      <w:r>
        <w:rPr>
          <w:rFonts w:ascii="Times New Roman" w:hAnsi="Times New Roman" w:eastAsia="仿宋_GB2312" w:cs="Times New Roman"/>
          <w:b/>
          <w:bCs/>
          <w:color w:val="auto"/>
        </w:rPr>
        <w:drawing>
          <wp:inline distT="0" distB="0" distL="0" distR="0">
            <wp:extent cx="3063875" cy="2244725"/>
            <wp:effectExtent l="19050" t="0" r="2658" b="0"/>
            <wp:docPr id="36" name="图片 25" descr="C:\Users\ADMINI~1\AppData\Local\Temp\WeChat Files\29db6aef06ef089c8356d2c5cbbf4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5" descr="C:\Users\ADMINI~1\AppData\Local\Temp\WeChat Files\29db6aef06ef089c8356d2c5cbbf4f3.png"/>
                    <pic:cNvPicPr>
                      <a:picLocks noChangeAspect="1" noChangeArrowheads="1"/>
                    </pic:cNvPicPr>
                  </pic:nvPicPr>
                  <pic:blipFill>
                    <a:blip r:embed="rId100"/>
                    <a:srcRect/>
                    <a:stretch>
                      <a:fillRect/>
                    </a:stretch>
                  </pic:blipFill>
                  <pic:spPr>
                    <a:xfrm>
                      <a:off x="0" y="0"/>
                      <a:ext cx="3066848" cy="2247030"/>
                    </a:xfrm>
                    <a:prstGeom prst="rect">
                      <a:avLst/>
                    </a:prstGeom>
                    <a:noFill/>
                    <a:ln w="9525">
                      <a:noFill/>
                      <a:miter lim="800000"/>
                      <a:headEnd/>
                      <a:tailEnd/>
                    </a:ln>
                  </pic:spPr>
                </pic:pic>
              </a:graphicData>
            </a:graphic>
          </wp:inline>
        </w:drawing>
      </w:r>
    </w:p>
    <w:p>
      <w:pPr>
        <w:spacing w:line="360" w:lineRule="auto"/>
        <w:jc w:val="center"/>
        <w:rPr>
          <w:rFonts w:ascii="Times New Roman" w:hAnsi="Times New Roman" w:eastAsia="仿宋_GB2312" w:cs="Times New Roman"/>
          <w:color w:val="auto"/>
        </w:rPr>
      </w:pPr>
      <w:r>
        <w:rPr>
          <w:rFonts w:ascii="Times New Roman" w:hAnsi="Times New Roman" w:eastAsia="仿宋_GB2312" w:cs="Times New Roman"/>
          <w:b/>
          <w:bCs/>
          <w:color w:val="auto"/>
        </w:rPr>
        <w:t>图5.3-</w:t>
      </w:r>
      <w:r>
        <w:rPr>
          <w:rFonts w:hint="eastAsia" w:ascii="Times New Roman" w:hAnsi="Times New Roman" w:eastAsia="仿宋_GB2312" w:cs="Times New Roman"/>
          <w:b/>
          <w:bCs/>
          <w:color w:val="auto"/>
          <w:lang w:val="en-US" w:eastAsia="zh-CN"/>
        </w:rPr>
        <w:t>4</w:t>
      </w:r>
      <w:r>
        <w:rPr>
          <w:rFonts w:ascii="Times New Roman" w:hAnsi="Times New Roman" w:eastAsia="仿宋_GB2312" w:cs="Times New Roman"/>
          <w:b/>
          <w:bCs/>
          <w:color w:val="auto"/>
        </w:rPr>
        <w:t>：临时</w:t>
      </w:r>
      <w:r>
        <w:rPr>
          <w:rFonts w:hint="eastAsia" w:ascii="Times New Roman" w:hAnsi="Times New Roman" w:eastAsia="仿宋_GB2312" w:cs="Times New Roman"/>
          <w:b/>
          <w:bCs/>
          <w:color w:val="auto"/>
        </w:rPr>
        <w:t>苫盖</w:t>
      </w:r>
      <w:r>
        <w:rPr>
          <w:rFonts w:ascii="Times New Roman" w:hAnsi="Times New Roman" w:eastAsia="仿宋_GB2312" w:cs="Times New Roman"/>
          <w:b/>
          <w:bCs/>
          <w:color w:val="auto"/>
        </w:rPr>
        <w:t>示意图</w:t>
      </w:r>
    </w:p>
    <w:p>
      <w:pPr>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rPr>
        <w:t>（2）临时排水</w:t>
      </w:r>
      <w:r>
        <w:rPr>
          <w:rFonts w:hint="eastAsia" w:ascii="Times New Roman" w:hAnsi="Times New Roman" w:eastAsia="仿宋_GB2312" w:cs="Times New Roman"/>
          <w:color w:val="auto"/>
        </w:rPr>
        <w:t>、沉沙</w:t>
      </w:r>
    </w:p>
    <w:p>
      <w:pPr>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rPr>
        <w:t>主要是于场地及周边布设，考虑到临时排水沟使用时限较短，集雨面积较小，且保护对象等别较低，故按较低排水标准考虑，按3年一遇最大10min降雨量，即P=33.33%的最大10min降雨量考虑。根据《江西省暴雨洪水查算手册》，查出项目区10min暴雨均值和变差系数Cv（详见表5.3-</w:t>
      </w:r>
      <w:r>
        <w:rPr>
          <w:rFonts w:hint="eastAsia" w:ascii="Times New Roman" w:hAnsi="Times New Roman" w:eastAsia="仿宋_GB2312" w:cs="Times New Roman"/>
          <w:color w:val="auto"/>
          <w:lang w:val="en-US" w:eastAsia="zh-CN"/>
        </w:rPr>
        <w:t>5</w:t>
      </w:r>
      <w:r>
        <w:rPr>
          <w:rFonts w:ascii="Times New Roman" w:hAnsi="Times New Roman" w:eastAsia="仿宋_GB2312" w:cs="Times New Roman"/>
          <w:color w:val="auto"/>
        </w:rPr>
        <w:t>）。</w:t>
      </w:r>
    </w:p>
    <w:p>
      <w:pPr>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rPr>
        <w:t>排水沟截面根据确定的边坡系数、底坡和糙率等设计参数，采用明渠均匀流水力计算方法，排水沟横断面采用最佳水力断面，推算出过水深度H，加上</w:t>
      </w:r>
      <w:r>
        <w:rPr>
          <w:rFonts w:hint="eastAsia" w:ascii="Times New Roman" w:hAnsi="Times New Roman" w:eastAsia="仿宋_GB2312" w:cs="Times New Roman"/>
          <w:color w:val="auto"/>
        </w:rPr>
        <w:t>20</w:t>
      </w:r>
      <w:r>
        <w:rPr>
          <w:rFonts w:ascii="Times New Roman" w:hAnsi="Times New Roman" w:eastAsia="仿宋_GB2312" w:cs="Times New Roman"/>
          <w:color w:val="auto"/>
        </w:rPr>
        <w:t>cm的安全超高，即为设计流量Q所需的沟深。沉沙池断面尺寸设计根据《水土保持工程设计规范》（GB51018-2014）确定，同时沉沙池兼顾排水缓冲效能的作用。</w:t>
      </w:r>
    </w:p>
    <w:p>
      <w:pPr>
        <w:kinsoku w:val="0"/>
        <w:overflowPunct w:val="0"/>
        <w:spacing w:line="360" w:lineRule="auto"/>
        <w:jc w:val="center"/>
        <w:rPr>
          <w:rFonts w:ascii="Times New Roman" w:hAnsi="Times New Roman" w:eastAsia="仿宋_GB2312" w:cs="Times New Roman"/>
          <w:b/>
          <w:color w:val="auto"/>
          <w:sz w:val="3"/>
          <w:szCs w:val="3"/>
        </w:rPr>
      </w:pPr>
      <w:r>
        <w:rPr>
          <w:rFonts w:ascii="Times New Roman" w:hAnsi="Times New Roman" w:eastAsia="仿宋_GB2312" w:cs="Times New Roman"/>
          <w:b/>
          <w:bCs/>
          <w:color w:val="auto"/>
          <w:szCs w:val="24"/>
        </w:rPr>
        <w:t>表5.3-</w:t>
      </w:r>
      <w:r>
        <w:rPr>
          <w:rFonts w:hint="eastAsia" w:ascii="Times New Roman" w:hAnsi="Times New Roman" w:eastAsia="仿宋_GB2312" w:cs="Times New Roman"/>
          <w:b/>
          <w:bCs/>
          <w:color w:val="auto"/>
          <w:szCs w:val="24"/>
          <w:lang w:val="en-US" w:eastAsia="zh-CN"/>
        </w:rPr>
        <w:t>5</w:t>
      </w:r>
      <w:r>
        <w:rPr>
          <w:rFonts w:ascii="Times New Roman" w:hAnsi="Times New Roman" w:eastAsia="仿宋_GB2312" w:cs="Times New Roman"/>
          <w:b/>
          <w:bCs/>
          <w:color w:val="auto"/>
          <w:szCs w:val="24"/>
        </w:rPr>
        <w:t>：</w:t>
      </w:r>
      <w:r>
        <w:rPr>
          <w:rFonts w:ascii="Times New Roman" w:hAnsi="Times New Roman" w:eastAsia="仿宋_GB2312" w:cs="Times New Roman"/>
          <w:b/>
          <w:color w:val="auto"/>
          <w:szCs w:val="24"/>
        </w:rPr>
        <w:t>项目区水文特性表</w:t>
      </w:r>
    </w:p>
    <w:tbl>
      <w:tblPr>
        <w:tblStyle w:val="37"/>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873"/>
        <w:gridCol w:w="1872"/>
        <w:gridCol w:w="1873"/>
        <w:gridCol w:w="271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124" w:type="pct"/>
            <w:noWrap/>
            <w:vAlign w:val="center"/>
          </w:tcPr>
          <w:p>
            <w:pPr>
              <w:kinsoku w:val="0"/>
              <w:overflowPunct w:val="0"/>
              <w:autoSpaceDE w:val="0"/>
              <w:autoSpaceDN w:val="0"/>
              <w:adjustRightInd w:val="0"/>
              <w:spacing w:line="240" w:lineRule="atLeast"/>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spacing w:val="-2"/>
                <w:kern w:val="0"/>
                <w:sz w:val="21"/>
                <w:szCs w:val="21"/>
              </w:rPr>
              <w:t>所属地</w:t>
            </w:r>
          </w:p>
        </w:tc>
        <w:tc>
          <w:tcPr>
            <w:tcW w:w="1123" w:type="pct"/>
            <w:noWrap/>
            <w:vAlign w:val="center"/>
          </w:tcPr>
          <w:p>
            <w:pPr>
              <w:kinsoku w:val="0"/>
              <w:overflowPunct w:val="0"/>
              <w:autoSpaceDE w:val="0"/>
              <w:autoSpaceDN w:val="0"/>
              <w:adjustRightInd w:val="0"/>
              <w:spacing w:line="240" w:lineRule="atLeast"/>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spacing w:val="-1"/>
                <w:kern w:val="0"/>
                <w:sz w:val="21"/>
                <w:szCs w:val="21"/>
              </w:rPr>
              <w:t>10min</w:t>
            </w:r>
            <w:r>
              <w:rPr>
                <w:rFonts w:ascii="Times New Roman" w:hAnsi="Times New Roman" w:eastAsia="仿宋_GB2312" w:cs="Times New Roman"/>
                <w:b/>
                <w:bCs/>
                <w:color w:val="auto"/>
                <w:spacing w:val="-2"/>
                <w:kern w:val="0"/>
                <w:sz w:val="21"/>
                <w:szCs w:val="21"/>
              </w:rPr>
              <w:t>暴雨均值</w:t>
            </w:r>
          </w:p>
        </w:tc>
        <w:tc>
          <w:tcPr>
            <w:tcW w:w="1124" w:type="pct"/>
            <w:noWrap/>
            <w:vAlign w:val="center"/>
          </w:tcPr>
          <w:p>
            <w:pPr>
              <w:kinsoku w:val="0"/>
              <w:overflowPunct w:val="0"/>
              <w:autoSpaceDE w:val="0"/>
              <w:autoSpaceDN w:val="0"/>
              <w:adjustRightInd w:val="0"/>
              <w:spacing w:line="240" w:lineRule="atLeast"/>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spacing w:val="-2"/>
                <w:kern w:val="0"/>
                <w:sz w:val="21"/>
                <w:szCs w:val="21"/>
              </w:rPr>
              <w:t>变差系数</w:t>
            </w:r>
          </w:p>
          <w:p>
            <w:pPr>
              <w:kinsoku w:val="0"/>
              <w:overflowPunct w:val="0"/>
              <w:autoSpaceDE w:val="0"/>
              <w:autoSpaceDN w:val="0"/>
              <w:adjustRightInd w:val="0"/>
              <w:spacing w:line="240" w:lineRule="atLeast"/>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spacing w:val="-1"/>
                <w:kern w:val="0"/>
                <w:sz w:val="21"/>
                <w:szCs w:val="21"/>
              </w:rPr>
              <w:t>Cv</w:t>
            </w:r>
          </w:p>
        </w:tc>
        <w:tc>
          <w:tcPr>
            <w:tcW w:w="1629" w:type="pct"/>
            <w:noWrap/>
            <w:vAlign w:val="center"/>
          </w:tcPr>
          <w:p>
            <w:pPr>
              <w:kinsoku w:val="0"/>
              <w:overflowPunct w:val="0"/>
              <w:autoSpaceDE w:val="0"/>
              <w:autoSpaceDN w:val="0"/>
              <w:adjustRightInd w:val="0"/>
              <w:spacing w:line="240" w:lineRule="atLeast"/>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spacing w:val="-1"/>
                <w:kern w:val="0"/>
                <w:sz w:val="21"/>
                <w:szCs w:val="21"/>
              </w:rPr>
              <w:t>I=33.33%的最大10min</w:t>
            </w:r>
          </w:p>
          <w:p>
            <w:pPr>
              <w:kinsoku w:val="0"/>
              <w:overflowPunct w:val="0"/>
              <w:autoSpaceDE w:val="0"/>
              <w:autoSpaceDN w:val="0"/>
              <w:adjustRightInd w:val="0"/>
              <w:spacing w:line="240" w:lineRule="atLeast"/>
              <w:jc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spacing w:val="-1"/>
                <w:kern w:val="0"/>
                <w:sz w:val="21"/>
                <w:szCs w:val="21"/>
              </w:rPr>
              <w:t>降雨量（C</w:t>
            </w:r>
            <w:r>
              <w:rPr>
                <w:rFonts w:ascii="Times New Roman" w:hAnsi="Times New Roman" w:eastAsia="仿宋_GB2312" w:cs="Times New Roman"/>
                <w:b/>
                <w:bCs/>
                <w:color w:val="auto"/>
                <w:spacing w:val="-1"/>
                <w:kern w:val="0"/>
                <w:position w:val="-3"/>
                <w:sz w:val="21"/>
                <w:szCs w:val="21"/>
              </w:rPr>
              <w:t>s</w:t>
            </w:r>
            <w:r>
              <w:rPr>
                <w:rFonts w:ascii="Times New Roman" w:hAnsi="Times New Roman" w:eastAsia="仿宋_GB2312" w:cs="Times New Roman"/>
                <w:b/>
                <w:bCs/>
                <w:color w:val="auto"/>
                <w:spacing w:val="-1"/>
                <w:kern w:val="0"/>
                <w:sz w:val="21"/>
                <w:szCs w:val="21"/>
              </w:rPr>
              <w:t>=3.5C</w:t>
            </w:r>
            <w:r>
              <w:rPr>
                <w:rFonts w:ascii="Times New Roman" w:hAnsi="Times New Roman" w:eastAsia="仿宋_GB2312" w:cs="Times New Roman"/>
                <w:b/>
                <w:bCs/>
                <w:color w:val="auto"/>
                <w:spacing w:val="-1"/>
                <w:kern w:val="0"/>
                <w:position w:val="-3"/>
                <w:sz w:val="21"/>
                <w:szCs w:val="21"/>
              </w:rPr>
              <w:t>v</w:t>
            </w:r>
            <w:r>
              <w:rPr>
                <w:rFonts w:ascii="Times New Roman" w:hAnsi="Times New Roman" w:eastAsia="仿宋_GB2312" w:cs="Times New Roman"/>
                <w:b/>
                <w:bCs/>
                <w:color w:val="auto"/>
                <w:spacing w:val="-1"/>
                <w:kern w:val="0"/>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124" w:type="pct"/>
            <w:noWrap/>
            <w:vAlign w:val="center"/>
          </w:tcPr>
          <w:p>
            <w:pPr>
              <w:kinsoku w:val="0"/>
              <w:overflowPunct w:val="0"/>
              <w:autoSpaceDE w:val="0"/>
              <w:autoSpaceDN w:val="0"/>
              <w:adjustRightInd w:val="0"/>
              <w:spacing w:line="240" w:lineRule="atLeast"/>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青山湖区</w:t>
            </w:r>
          </w:p>
        </w:tc>
        <w:tc>
          <w:tcPr>
            <w:tcW w:w="1123" w:type="pct"/>
            <w:noWrap/>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2"/>
              </w:rPr>
              <w:t>1</w:t>
            </w:r>
            <w:r>
              <w:rPr>
                <w:rFonts w:hint="eastAsia" w:ascii="Times New Roman" w:hAnsi="Times New Roman" w:eastAsia="仿宋_GB2312" w:cs="Times New Roman"/>
                <w:color w:val="auto"/>
                <w:kern w:val="0"/>
                <w:sz w:val="22"/>
              </w:rPr>
              <w:t>8.4</w:t>
            </w:r>
          </w:p>
        </w:tc>
        <w:tc>
          <w:tcPr>
            <w:tcW w:w="1124" w:type="pct"/>
            <w:noWrap/>
            <w:vAlign w:val="center"/>
          </w:tcPr>
          <w:p>
            <w:pPr>
              <w:widowControl/>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2"/>
              </w:rPr>
              <w:t>0.33</w:t>
            </w:r>
          </w:p>
        </w:tc>
        <w:tc>
          <w:tcPr>
            <w:tcW w:w="1629" w:type="pct"/>
            <w:noWrap/>
            <w:vAlign w:val="center"/>
          </w:tcPr>
          <w:p>
            <w:pPr>
              <w:widowControl/>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kern w:val="0"/>
                <w:sz w:val="22"/>
              </w:rPr>
              <w:t>20.4</w:t>
            </w:r>
          </w:p>
        </w:tc>
      </w:tr>
    </w:tbl>
    <w:p>
      <w:pPr>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szCs w:val="24"/>
        </w:rPr>
        <w:t>临时沉沙池与临时排水沟同时布设</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布置在排水沟沿线或排水沟末端，按每周清淤一次，每次暴雨后均清淤一次。沉沙池断面尺寸设计参考《水土保持工程设计规范》（GB51018-2014）确定</w:t>
      </w:r>
      <w:r>
        <w:rPr>
          <w:rFonts w:hint="eastAsia" w:ascii="Times New Roman" w:hAnsi="Times New Roman" w:eastAsia="仿宋_GB2312" w:cs="Times New Roman"/>
          <w:color w:val="auto"/>
          <w:szCs w:val="24"/>
        </w:rPr>
        <w:t>，</w:t>
      </w:r>
      <w:r>
        <w:rPr>
          <w:rFonts w:ascii="Times New Roman" w:hAnsi="Times New Roman" w:eastAsia="仿宋_GB2312" w:cs="Times New Roman"/>
          <w:bCs/>
          <w:color w:val="auto"/>
          <w:szCs w:val="24"/>
        </w:rPr>
        <w:t>沉沙池宽宜取</w:t>
      </w:r>
      <w:r>
        <w:rPr>
          <w:rFonts w:hint="eastAsia" w:ascii="Times New Roman" w:hAnsi="Times New Roman" w:eastAsia="仿宋_GB2312" w:cs="Times New Roman"/>
          <w:bCs/>
          <w:color w:val="auto"/>
          <w:szCs w:val="24"/>
        </w:rPr>
        <w:t>1~2m，长宜取2~4m，深宜取1.5~2m。其宽度为相连排水沟宽度的2倍，长度为池体宽度的2倍</w:t>
      </w:r>
      <w:r>
        <w:rPr>
          <w:rFonts w:ascii="Times New Roman" w:hAnsi="Times New Roman" w:eastAsia="仿宋_GB2312" w:cs="Times New Roman"/>
          <w:bCs/>
          <w:color w:val="auto"/>
          <w:szCs w:val="24"/>
        </w:rPr>
        <w:t>。</w:t>
      </w:r>
    </w:p>
    <w:p>
      <w:pPr>
        <w:spacing w:line="360" w:lineRule="auto"/>
        <w:ind w:firstLine="480" w:firstLineChars="200"/>
        <w:rPr>
          <w:rFonts w:ascii="Times New Roman" w:hAnsi="Times New Roman" w:eastAsia="仿宋_GB2312" w:cs="Times New Roman"/>
          <w:color w:val="auto"/>
        </w:rPr>
      </w:pPr>
      <w:r>
        <w:rPr>
          <w:rFonts w:hint="eastAsia" w:ascii="Times New Roman" w:hAnsi="Times New Roman" w:eastAsia="仿宋_GB2312" w:cs="Times New Roman"/>
          <w:color w:val="auto"/>
        </w:rPr>
        <w:t>①基坑</w:t>
      </w:r>
      <w:r>
        <w:rPr>
          <w:rFonts w:ascii="Times New Roman" w:hAnsi="Times New Roman" w:eastAsia="仿宋_GB2312" w:cs="Times New Roman"/>
          <w:color w:val="auto"/>
        </w:rPr>
        <w:t>排水沟</w:t>
      </w:r>
    </w:p>
    <w:p>
      <w:pPr>
        <w:spacing w:line="360" w:lineRule="auto"/>
        <w:ind w:firstLine="480" w:firstLineChars="200"/>
        <w:rPr>
          <w:rFonts w:ascii="Times New Roman" w:hAnsi="Times New Roman" w:eastAsia="仿宋_GB2312" w:cs="Times New Roman"/>
          <w:color w:val="auto"/>
        </w:rPr>
      </w:pPr>
      <w:r>
        <w:rPr>
          <w:rFonts w:hint="eastAsia" w:ascii="Times New Roman" w:hAnsi="Times New Roman" w:eastAsia="仿宋_GB2312" w:cs="Times New Roman"/>
          <w:color w:val="auto"/>
        </w:rPr>
        <w:t>基坑</w:t>
      </w:r>
      <w:r>
        <w:rPr>
          <w:rFonts w:ascii="Times New Roman" w:hAnsi="Times New Roman" w:eastAsia="仿宋_GB2312" w:cs="Times New Roman"/>
          <w:color w:val="auto"/>
        </w:rPr>
        <w:t>排水沟断面设计采用矩形，断面尺寸</w:t>
      </w:r>
      <w:r>
        <w:rPr>
          <w:rFonts w:hint="eastAsia" w:ascii="Times New Roman" w:hAnsi="Times New Roman" w:eastAsia="仿宋_GB2312" w:cs="Times New Roman"/>
          <w:color w:val="auto"/>
        </w:rPr>
        <w:t>宽×深=</w:t>
      </w:r>
      <w:r>
        <w:rPr>
          <w:rFonts w:ascii="Times New Roman" w:hAnsi="Times New Roman" w:eastAsia="仿宋_GB2312" w:cs="Times New Roman"/>
          <w:color w:val="auto"/>
        </w:rPr>
        <w:t>0.</w:t>
      </w:r>
      <w:r>
        <w:rPr>
          <w:rFonts w:hint="eastAsia" w:ascii="Times New Roman" w:hAnsi="Times New Roman" w:eastAsia="仿宋_GB2312" w:cs="Times New Roman"/>
          <w:color w:val="auto"/>
        </w:rPr>
        <w:t>3</w:t>
      </w:r>
      <w:r>
        <w:rPr>
          <w:rFonts w:ascii="Times New Roman" w:hAnsi="Times New Roman" w:eastAsia="仿宋_GB2312" w:cs="Times New Roman"/>
          <w:color w:val="auto"/>
        </w:rPr>
        <w:t>0m×0.</w:t>
      </w:r>
      <w:r>
        <w:rPr>
          <w:rFonts w:hint="eastAsia" w:ascii="Times New Roman" w:hAnsi="Times New Roman" w:eastAsia="仿宋_GB2312" w:cs="Times New Roman"/>
          <w:color w:val="auto"/>
        </w:rPr>
        <w:t>4</w:t>
      </w:r>
      <w:r>
        <w:rPr>
          <w:rFonts w:ascii="Times New Roman" w:hAnsi="Times New Roman" w:eastAsia="仿宋_GB2312" w:cs="Times New Roman"/>
          <w:color w:val="auto"/>
        </w:rPr>
        <w:t>0m，</w:t>
      </w:r>
      <w:r>
        <w:rPr>
          <w:rFonts w:hint="eastAsia" w:ascii="Times New Roman" w:hAnsi="Times New Roman" w:eastAsia="仿宋_GB2312" w:cs="Times New Roman"/>
          <w:color w:val="auto"/>
        </w:rPr>
        <w:t>基坑</w:t>
      </w:r>
      <w:r>
        <w:rPr>
          <w:rFonts w:ascii="Times New Roman" w:hAnsi="Times New Roman" w:eastAsia="仿宋_GB2312" w:cs="Times New Roman"/>
          <w:color w:val="auto"/>
        </w:rPr>
        <w:t>排水沟设计参数及校核验算详见表5.</w:t>
      </w:r>
      <w:r>
        <w:rPr>
          <w:rFonts w:hint="eastAsia" w:ascii="Times New Roman" w:hAnsi="Times New Roman" w:eastAsia="仿宋_GB2312" w:cs="Times New Roman"/>
          <w:color w:val="auto"/>
        </w:rPr>
        <w:t>3-</w:t>
      </w:r>
      <w:r>
        <w:rPr>
          <w:rFonts w:hint="eastAsia" w:ascii="Times New Roman" w:hAnsi="Times New Roman" w:eastAsia="仿宋_GB2312" w:cs="Times New Roman"/>
          <w:color w:val="auto"/>
          <w:lang w:val="en-US" w:eastAsia="zh-CN"/>
        </w:rPr>
        <w:t>6</w:t>
      </w:r>
      <w:r>
        <w:rPr>
          <w:rFonts w:ascii="Times New Roman" w:hAnsi="Times New Roman" w:eastAsia="仿宋_GB2312" w:cs="Times New Roman"/>
          <w:color w:val="auto"/>
        </w:rPr>
        <w:t>，单位工程量见表5.</w:t>
      </w:r>
      <w:r>
        <w:rPr>
          <w:rFonts w:hint="eastAsia" w:ascii="Times New Roman" w:hAnsi="Times New Roman" w:eastAsia="仿宋_GB2312" w:cs="Times New Roman"/>
          <w:color w:val="auto"/>
        </w:rPr>
        <w:t>3-</w:t>
      </w:r>
      <w:r>
        <w:rPr>
          <w:rFonts w:hint="eastAsia" w:ascii="Times New Roman" w:hAnsi="Times New Roman" w:eastAsia="仿宋_GB2312" w:cs="Times New Roman"/>
          <w:color w:val="auto"/>
          <w:lang w:val="en-US" w:eastAsia="zh-CN"/>
        </w:rPr>
        <w:t>7</w:t>
      </w:r>
      <w:r>
        <w:rPr>
          <w:rFonts w:ascii="Times New Roman" w:hAnsi="Times New Roman" w:eastAsia="仿宋_GB2312" w:cs="Times New Roman"/>
          <w:color w:val="auto"/>
        </w:rPr>
        <w:t>，</w:t>
      </w:r>
      <w:r>
        <w:rPr>
          <w:rFonts w:hint="eastAsia" w:ascii="Times New Roman" w:hAnsi="Times New Roman" w:eastAsia="仿宋_GB2312" w:cs="Times New Roman"/>
          <w:color w:val="auto"/>
        </w:rPr>
        <w:t>基坑</w:t>
      </w:r>
      <w:r>
        <w:rPr>
          <w:rFonts w:ascii="Times New Roman" w:hAnsi="Times New Roman" w:eastAsia="仿宋_GB2312" w:cs="Times New Roman"/>
          <w:color w:val="auto"/>
        </w:rPr>
        <w:t>排水沟断面见图5.3</w:t>
      </w:r>
      <w:r>
        <w:rPr>
          <w:rFonts w:hint="eastAsia" w:ascii="Times New Roman" w:hAnsi="Times New Roman" w:eastAsia="仿宋_GB2312" w:cs="Times New Roman"/>
          <w:color w:val="auto"/>
        </w:rPr>
        <w:t>-</w:t>
      </w:r>
      <w:r>
        <w:rPr>
          <w:rFonts w:hint="eastAsia" w:ascii="Times New Roman" w:hAnsi="Times New Roman" w:eastAsia="仿宋_GB2312" w:cs="Times New Roman"/>
          <w:color w:val="auto"/>
          <w:lang w:val="en-US" w:eastAsia="zh-CN"/>
        </w:rPr>
        <w:t>5</w:t>
      </w:r>
      <w:r>
        <w:rPr>
          <w:rFonts w:ascii="Times New Roman" w:hAnsi="Times New Roman" w:eastAsia="仿宋_GB2312" w:cs="Times New Roman"/>
          <w:color w:val="auto"/>
        </w:rPr>
        <w:t>。</w:t>
      </w:r>
    </w:p>
    <w:p>
      <w:pPr>
        <w:spacing w:line="360" w:lineRule="auto"/>
        <w:jc w:val="center"/>
        <w:rPr>
          <w:rFonts w:ascii="Times New Roman" w:hAnsi="Times New Roman" w:eastAsia="仿宋_GB2312" w:cs="Times New Roman"/>
          <w:b/>
          <w:bCs/>
          <w:color w:val="auto"/>
        </w:rPr>
      </w:pPr>
      <w:r>
        <w:rPr>
          <w:rFonts w:ascii="Times New Roman" w:hAnsi="Times New Roman" w:eastAsia="仿宋_GB2312" w:cs="Times New Roman"/>
          <w:b/>
          <w:bCs/>
          <w:color w:val="auto"/>
        </w:rPr>
        <w:t>表5.</w:t>
      </w:r>
      <w:r>
        <w:rPr>
          <w:rFonts w:hint="eastAsia" w:ascii="Times New Roman" w:hAnsi="Times New Roman" w:eastAsia="仿宋_GB2312" w:cs="Times New Roman"/>
          <w:b/>
          <w:bCs/>
          <w:color w:val="auto"/>
        </w:rPr>
        <w:t>3-</w:t>
      </w:r>
      <w:r>
        <w:rPr>
          <w:rFonts w:hint="eastAsia" w:ascii="Times New Roman" w:hAnsi="Times New Roman" w:eastAsia="仿宋_GB2312" w:cs="Times New Roman"/>
          <w:b/>
          <w:bCs/>
          <w:color w:val="auto"/>
          <w:lang w:val="en-US" w:eastAsia="zh-CN"/>
        </w:rPr>
        <w:t>6</w:t>
      </w:r>
      <w:r>
        <w:rPr>
          <w:rFonts w:hint="eastAsia" w:ascii="Times New Roman" w:hAnsi="Times New Roman" w:eastAsia="仿宋_GB2312" w:cs="Times New Roman"/>
          <w:b/>
          <w:bCs/>
          <w:color w:val="auto"/>
        </w:rPr>
        <w:t>：基坑</w:t>
      </w:r>
      <w:r>
        <w:rPr>
          <w:rFonts w:ascii="Times New Roman" w:hAnsi="Times New Roman" w:eastAsia="仿宋_GB2312" w:cs="Times New Roman"/>
          <w:b/>
          <w:bCs/>
          <w:color w:val="auto"/>
        </w:rPr>
        <w:t>排水沟</w:t>
      </w:r>
      <w:r>
        <w:rPr>
          <w:rFonts w:ascii="Times New Roman" w:hAnsi="Times New Roman" w:eastAsia="仿宋_GB2312" w:cs="Times New Roman"/>
          <w:b/>
          <w:color w:val="auto"/>
        </w:rPr>
        <w:t>设计参数及校核验算表</w:t>
      </w:r>
    </w:p>
    <w:tbl>
      <w:tblPr>
        <w:tblStyle w:val="37"/>
        <w:tblW w:w="8984"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5" w:type="dxa"/>
          <w:bottom w:w="0" w:type="dxa"/>
          <w:right w:w="15" w:type="dxa"/>
        </w:tblCellMar>
      </w:tblPr>
      <w:tblGrid>
        <w:gridCol w:w="1067"/>
        <w:gridCol w:w="879"/>
        <w:gridCol w:w="879"/>
        <w:gridCol w:w="879"/>
        <w:gridCol w:w="879"/>
        <w:gridCol w:w="879"/>
        <w:gridCol w:w="879"/>
        <w:gridCol w:w="879"/>
        <w:gridCol w:w="879"/>
        <w:gridCol w:w="88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5" w:type="dxa"/>
            <w:bottom w:w="0" w:type="dxa"/>
            <w:right w:w="15" w:type="dxa"/>
          </w:tblCellMar>
        </w:tblPrEx>
        <w:trPr>
          <w:trHeight w:val="283" w:hRule="atLeast"/>
          <w:jc w:val="center"/>
        </w:trPr>
        <w:tc>
          <w:tcPr>
            <w:tcW w:w="1067" w:type="dxa"/>
            <w:tcBorders>
              <w:tl2br w:val="nil"/>
              <w:tr2bl w:val="nil"/>
            </w:tcBorders>
            <w:noWrap/>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b/>
                <w:bCs/>
                <w:color w:val="auto"/>
                <w:sz w:val="21"/>
                <w:szCs w:val="21"/>
              </w:rPr>
              <w:t>项目名称</w:t>
            </w:r>
          </w:p>
        </w:tc>
        <w:tc>
          <w:tcPr>
            <w:tcW w:w="3516" w:type="dxa"/>
            <w:gridSpan w:val="4"/>
            <w:tcBorders>
              <w:tl2br w:val="nil"/>
              <w:tr2bl w:val="nil"/>
            </w:tcBorders>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汇流计算</w:t>
            </w:r>
          </w:p>
        </w:tc>
        <w:tc>
          <w:tcPr>
            <w:tcW w:w="4401" w:type="dxa"/>
            <w:gridSpan w:val="5"/>
            <w:tcBorders>
              <w:tl2br w:val="nil"/>
              <w:tr2bl w:val="nil"/>
            </w:tcBorders>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过流能力验算</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5" w:type="dxa"/>
            <w:bottom w:w="0" w:type="dxa"/>
            <w:right w:w="15" w:type="dxa"/>
          </w:tblCellMar>
        </w:tblPrEx>
        <w:trPr>
          <w:trHeight w:val="283" w:hRule="atLeast"/>
          <w:jc w:val="center"/>
        </w:trPr>
        <w:tc>
          <w:tcPr>
            <w:tcW w:w="1067" w:type="dxa"/>
            <w:vMerge w:val="restart"/>
            <w:tcBorders>
              <w:tl2br w:val="nil"/>
              <w:tr2bl w:val="nil"/>
            </w:tcBorders>
            <w:noWrap/>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基坑排水沟</w:t>
            </w:r>
          </w:p>
        </w:tc>
        <w:tc>
          <w:tcPr>
            <w:tcW w:w="3516" w:type="dxa"/>
            <w:gridSpan w:val="4"/>
            <w:tcBorders>
              <w:tl2br w:val="nil"/>
              <w:tr2bl w:val="nil"/>
            </w:tcBorders>
            <w:noWrap/>
            <w:vAlign w:val="center"/>
          </w:tcPr>
          <w:p>
            <w:pPr>
              <w:widowControl/>
              <w:adjustRightInd w:val="0"/>
              <w:snapToGrid w:val="0"/>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Q=16.67kIF</w:t>
            </w:r>
          </w:p>
        </w:tc>
        <w:tc>
          <w:tcPr>
            <w:tcW w:w="4401" w:type="dxa"/>
            <w:gridSpan w:val="5"/>
            <w:tcBorders>
              <w:tl2br w:val="nil"/>
              <w:tr2bl w:val="nil"/>
            </w:tcBorders>
            <w:noWrap/>
            <w:vAlign w:val="center"/>
          </w:tcPr>
          <w:p>
            <w:pPr>
              <w:widowControl/>
              <w:adjustRightInd w:val="0"/>
              <w:snapToGrid w:val="0"/>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Q</w:t>
            </w:r>
            <w:r>
              <w:rPr>
                <w:rFonts w:ascii="Times New Roman" w:hAnsi="Times New Roman" w:eastAsia="仿宋_GB2312" w:cs="Times New Roman"/>
                <w:b/>
                <w:bCs/>
                <w:color w:val="auto"/>
                <w:sz w:val="21"/>
                <w:szCs w:val="21"/>
                <w:vertAlign w:val="subscript"/>
              </w:rPr>
              <w:t>设</w:t>
            </w:r>
            <w:r>
              <w:rPr>
                <w:rFonts w:ascii="Times New Roman" w:hAnsi="Times New Roman" w:eastAsia="仿宋_GB2312" w:cs="Times New Roman"/>
                <w:b/>
                <w:bCs/>
                <w:color w:val="auto"/>
                <w:sz w:val="21"/>
                <w:szCs w:val="21"/>
              </w:rPr>
              <w:t>=1/n·A·R</w:t>
            </w:r>
            <w:r>
              <w:rPr>
                <w:rFonts w:ascii="Times New Roman" w:hAnsi="Times New Roman" w:eastAsia="仿宋_GB2312" w:cs="Times New Roman"/>
                <w:b/>
                <w:bCs/>
                <w:color w:val="auto"/>
                <w:sz w:val="21"/>
                <w:szCs w:val="21"/>
                <w:vertAlign w:val="superscript"/>
              </w:rPr>
              <w:t>2/3</w:t>
            </w:r>
            <w:r>
              <w:rPr>
                <w:rFonts w:ascii="Times New Roman" w:hAnsi="Times New Roman" w:eastAsia="仿宋_GB2312" w:cs="Times New Roman"/>
                <w:b/>
                <w:bCs/>
                <w:color w:val="auto"/>
                <w:sz w:val="21"/>
                <w:szCs w:val="21"/>
              </w:rPr>
              <w:t>·i</w:t>
            </w:r>
            <w:r>
              <w:rPr>
                <w:rFonts w:ascii="Times New Roman" w:hAnsi="Times New Roman" w:eastAsia="仿宋_GB2312" w:cs="Times New Roman"/>
                <w:b/>
                <w:bCs/>
                <w:color w:val="auto"/>
                <w:sz w:val="21"/>
                <w:szCs w:val="21"/>
                <w:vertAlign w:val="superscript"/>
              </w:rPr>
              <w:t>1/2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5" w:type="dxa"/>
            <w:bottom w:w="0" w:type="dxa"/>
            <w:right w:w="15" w:type="dxa"/>
          </w:tblCellMar>
        </w:tblPrEx>
        <w:trPr>
          <w:trHeight w:val="283" w:hRule="atLeast"/>
          <w:jc w:val="center"/>
        </w:trPr>
        <w:tc>
          <w:tcPr>
            <w:tcW w:w="1067" w:type="dxa"/>
            <w:vMerge w:val="continue"/>
            <w:tcBorders>
              <w:tl2br w:val="nil"/>
              <w:tr2bl w:val="nil"/>
            </w:tcBorders>
            <w:noWrap/>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p>
        </w:tc>
        <w:tc>
          <w:tcPr>
            <w:tcW w:w="879" w:type="dxa"/>
            <w:tcBorders>
              <w:tl2br w:val="nil"/>
              <w:tr2bl w:val="nil"/>
            </w:tcBorders>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i/>
                <w:iCs/>
                <w:color w:val="auto"/>
                <w:sz w:val="21"/>
                <w:szCs w:val="21"/>
              </w:rPr>
              <w:t>k</w:t>
            </w:r>
          </w:p>
        </w:tc>
        <w:tc>
          <w:tcPr>
            <w:tcW w:w="879" w:type="dxa"/>
            <w:tcBorders>
              <w:tl2br w:val="nil"/>
              <w:tr2bl w:val="nil"/>
            </w:tcBorders>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i/>
                <w:iCs/>
                <w:color w:val="auto"/>
                <w:sz w:val="21"/>
                <w:szCs w:val="21"/>
              </w:rPr>
              <w:t>I</w:t>
            </w:r>
          </w:p>
        </w:tc>
        <w:tc>
          <w:tcPr>
            <w:tcW w:w="879" w:type="dxa"/>
            <w:tcBorders>
              <w:tl2br w:val="nil"/>
              <w:tr2bl w:val="nil"/>
            </w:tcBorders>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i/>
                <w:iCs/>
                <w:color w:val="auto"/>
                <w:sz w:val="21"/>
                <w:szCs w:val="21"/>
              </w:rPr>
              <w:t>F</w:t>
            </w:r>
          </w:p>
        </w:tc>
        <w:tc>
          <w:tcPr>
            <w:tcW w:w="879" w:type="dxa"/>
            <w:tcBorders>
              <w:tl2br w:val="nil"/>
              <w:tr2bl w:val="nil"/>
            </w:tcBorders>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i/>
                <w:iCs/>
                <w:color w:val="auto"/>
                <w:sz w:val="21"/>
                <w:szCs w:val="21"/>
              </w:rPr>
              <w:t>Q</w:t>
            </w:r>
            <w:r>
              <w:rPr>
                <w:rFonts w:ascii="Times New Roman" w:hAnsi="Times New Roman" w:eastAsia="仿宋_GB2312" w:cs="Times New Roman"/>
                <w:b/>
                <w:bCs/>
                <w:color w:val="auto"/>
                <w:sz w:val="21"/>
                <w:szCs w:val="21"/>
                <w:vertAlign w:val="subscript"/>
              </w:rPr>
              <w:t>汇</w:t>
            </w:r>
          </w:p>
        </w:tc>
        <w:tc>
          <w:tcPr>
            <w:tcW w:w="879" w:type="dxa"/>
            <w:tcBorders>
              <w:tl2br w:val="nil"/>
              <w:tr2bl w:val="nil"/>
            </w:tcBorders>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b</w:t>
            </w:r>
          </w:p>
        </w:tc>
        <w:tc>
          <w:tcPr>
            <w:tcW w:w="879" w:type="dxa"/>
            <w:tcBorders>
              <w:tl2br w:val="nil"/>
              <w:tr2bl w:val="nil"/>
            </w:tcBorders>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h</w:t>
            </w:r>
          </w:p>
        </w:tc>
        <w:tc>
          <w:tcPr>
            <w:tcW w:w="879" w:type="dxa"/>
            <w:tcBorders>
              <w:tl2br w:val="nil"/>
              <w:tr2bl w:val="nil"/>
            </w:tcBorders>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i/>
                <w:iCs/>
                <w:color w:val="auto"/>
                <w:sz w:val="21"/>
                <w:szCs w:val="21"/>
              </w:rPr>
              <w:t>i</w:t>
            </w:r>
          </w:p>
        </w:tc>
        <w:tc>
          <w:tcPr>
            <w:tcW w:w="879" w:type="dxa"/>
            <w:tcBorders>
              <w:tl2br w:val="nil"/>
              <w:tr2bl w:val="nil"/>
            </w:tcBorders>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i/>
                <w:iCs/>
                <w:color w:val="auto"/>
                <w:sz w:val="21"/>
                <w:szCs w:val="21"/>
              </w:rPr>
              <w:t>n</w:t>
            </w:r>
          </w:p>
        </w:tc>
        <w:tc>
          <w:tcPr>
            <w:tcW w:w="885" w:type="dxa"/>
            <w:tcBorders>
              <w:tl2br w:val="nil"/>
              <w:tr2bl w:val="nil"/>
            </w:tcBorders>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i/>
                <w:iCs/>
                <w:color w:val="auto"/>
                <w:sz w:val="21"/>
                <w:szCs w:val="21"/>
              </w:rPr>
              <w:t>Q</w:t>
            </w:r>
            <w:r>
              <w:rPr>
                <w:rFonts w:ascii="Times New Roman" w:hAnsi="Times New Roman" w:eastAsia="仿宋_GB2312" w:cs="Times New Roman"/>
                <w:b/>
                <w:bCs/>
                <w:color w:val="auto"/>
                <w:sz w:val="21"/>
                <w:szCs w:val="21"/>
                <w:vertAlign w:val="subscript"/>
              </w:rPr>
              <w:t>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5" w:type="dxa"/>
            <w:bottom w:w="0" w:type="dxa"/>
            <w:right w:w="15" w:type="dxa"/>
          </w:tblCellMar>
        </w:tblPrEx>
        <w:trPr>
          <w:trHeight w:val="283" w:hRule="atLeast"/>
          <w:jc w:val="center"/>
        </w:trPr>
        <w:tc>
          <w:tcPr>
            <w:tcW w:w="1067" w:type="dxa"/>
            <w:vMerge w:val="continue"/>
            <w:tcBorders>
              <w:tl2br w:val="nil"/>
              <w:tr2bl w:val="nil"/>
            </w:tcBorders>
            <w:noWrap/>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p>
        </w:tc>
        <w:tc>
          <w:tcPr>
            <w:tcW w:w="879" w:type="dxa"/>
            <w:tcBorders>
              <w:tl2br w:val="nil"/>
              <w:tr2bl w:val="nil"/>
            </w:tcBorders>
            <w:noWrap/>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sz w:val="21"/>
                <w:szCs w:val="21"/>
              </w:rPr>
              <w:t>0.65</w:t>
            </w:r>
          </w:p>
        </w:tc>
        <w:tc>
          <w:tcPr>
            <w:tcW w:w="879" w:type="dxa"/>
            <w:tcBorders>
              <w:tl2br w:val="nil"/>
              <w:tr2bl w:val="nil"/>
            </w:tcBorders>
            <w:noWrap/>
            <w:vAlign w:val="center"/>
          </w:tcPr>
          <w:p>
            <w:pPr>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2.04</w:t>
            </w:r>
          </w:p>
        </w:tc>
        <w:tc>
          <w:tcPr>
            <w:tcW w:w="879" w:type="dxa"/>
            <w:tcBorders>
              <w:tl2br w:val="nil"/>
              <w:tr2bl w:val="nil"/>
            </w:tcBorders>
            <w:noWrap/>
            <w:vAlign w:val="center"/>
          </w:tcPr>
          <w:p>
            <w:pPr>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sz w:val="21"/>
                <w:szCs w:val="21"/>
              </w:rPr>
              <w:t>0.00</w:t>
            </w:r>
            <w:r>
              <w:rPr>
                <w:rFonts w:hint="eastAsia" w:ascii="Times New Roman" w:hAnsi="Times New Roman" w:eastAsia="仿宋_GB2312" w:cs="Times New Roman"/>
                <w:color w:val="auto"/>
                <w:sz w:val="21"/>
                <w:szCs w:val="21"/>
              </w:rPr>
              <w:t>11</w:t>
            </w:r>
          </w:p>
        </w:tc>
        <w:tc>
          <w:tcPr>
            <w:tcW w:w="879" w:type="dxa"/>
            <w:tcBorders>
              <w:tl2br w:val="nil"/>
              <w:tr2bl w:val="nil"/>
            </w:tcBorders>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0.</w:t>
            </w:r>
            <w:r>
              <w:rPr>
                <w:rFonts w:hint="eastAsia" w:ascii="Times New Roman" w:hAnsi="Times New Roman" w:eastAsia="仿宋_GB2312" w:cs="Times New Roman"/>
                <w:color w:val="auto"/>
                <w:sz w:val="21"/>
                <w:szCs w:val="21"/>
              </w:rPr>
              <w:t>024</w:t>
            </w:r>
          </w:p>
        </w:tc>
        <w:tc>
          <w:tcPr>
            <w:tcW w:w="879" w:type="dxa"/>
            <w:tcBorders>
              <w:tl2br w:val="nil"/>
              <w:tr2bl w:val="nil"/>
            </w:tcBorders>
            <w:noWrap/>
            <w:vAlign w:val="center"/>
          </w:tcPr>
          <w:p>
            <w:pPr>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30</w:t>
            </w:r>
          </w:p>
        </w:tc>
        <w:tc>
          <w:tcPr>
            <w:tcW w:w="879" w:type="dxa"/>
            <w:tcBorders>
              <w:tl2br w:val="nil"/>
              <w:tr2bl w:val="nil"/>
            </w:tcBorders>
            <w:noWrap/>
            <w:vAlign w:val="center"/>
          </w:tcPr>
          <w:p>
            <w:pPr>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20</w:t>
            </w:r>
          </w:p>
        </w:tc>
        <w:tc>
          <w:tcPr>
            <w:tcW w:w="879" w:type="dxa"/>
            <w:tcBorders>
              <w:tl2br w:val="nil"/>
              <w:tr2bl w:val="nil"/>
            </w:tcBorders>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0.004</w:t>
            </w:r>
          </w:p>
        </w:tc>
        <w:tc>
          <w:tcPr>
            <w:tcW w:w="879" w:type="dxa"/>
            <w:tcBorders>
              <w:tl2br w:val="nil"/>
              <w:tr2bl w:val="nil"/>
            </w:tcBorders>
            <w:noWrap/>
            <w:vAlign w:val="center"/>
          </w:tcPr>
          <w:p>
            <w:pPr>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0.025</w:t>
            </w:r>
          </w:p>
        </w:tc>
        <w:tc>
          <w:tcPr>
            <w:tcW w:w="885" w:type="dxa"/>
            <w:tcBorders>
              <w:tl2br w:val="nil"/>
              <w:tr2bl w:val="nil"/>
            </w:tcBorders>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0.029</w:t>
            </w:r>
          </w:p>
        </w:tc>
      </w:tr>
    </w:tbl>
    <w:p>
      <w:pPr>
        <w:rPr>
          <w:rFonts w:ascii="Times New Roman" w:hAnsi="Times New Roman" w:eastAsia="仿宋_GB2312" w:cs="Times New Roman"/>
          <w:color w:val="auto"/>
        </w:rPr>
      </w:pPr>
      <w:r>
        <w:rPr>
          <w:rFonts w:ascii="Times New Roman" w:hAnsi="Times New Roman" w:eastAsia="仿宋_GB2312" w:cs="Times New Roman"/>
          <w:i/>
          <w:iCs/>
          <w:color w:val="auto"/>
        </w:rPr>
        <w:t>Q</w:t>
      </w:r>
      <w:r>
        <w:rPr>
          <w:rFonts w:ascii="Times New Roman" w:hAnsi="Times New Roman" w:eastAsia="仿宋_GB2312" w:cs="Times New Roman"/>
          <w:color w:val="auto"/>
          <w:vertAlign w:val="subscript"/>
        </w:rPr>
        <w:t>验</w:t>
      </w:r>
      <w:r>
        <w:rPr>
          <w:rFonts w:ascii="Times New Roman" w:hAnsi="Times New Roman" w:eastAsia="仿宋_GB2312" w:cs="Times New Roman"/>
          <w:color w:val="auto"/>
        </w:rPr>
        <w:t>=0.</w:t>
      </w:r>
      <w:r>
        <w:rPr>
          <w:rFonts w:hint="eastAsia" w:ascii="Times New Roman" w:hAnsi="Times New Roman" w:eastAsia="仿宋_GB2312" w:cs="Times New Roman"/>
          <w:color w:val="auto"/>
        </w:rPr>
        <w:t>029</w:t>
      </w:r>
      <w:r>
        <w:rPr>
          <w:rFonts w:ascii="Times New Roman" w:hAnsi="Times New Roman" w:eastAsia="仿宋_GB2312" w:cs="Times New Roman"/>
          <w:color w:val="auto"/>
        </w:rPr>
        <w:t>m</w:t>
      </w:r>
      <w:r>
        <w:rPr>
          <w:rFonts w:ascii="Times New Roman" w:hAnsi="Times New Roman" w:eastAsia="仿宋_GB2312" w:cs="Times New Roman"/>
          <w:color w:val="auto"/>
          <w:vertAlign w:val="superscript"/>
        </w:rPr>
        <w:t>3</w:t>
      </w:r>
      <w:r>
        <w:rPr>
          <w:rFonts w:ascii="Times New Roman" w:hAnsi="Times New Roman" w:eastAsia="仿宋_GB2312" w:cs="Times New Roman"/>
          <w:color w:val="auto"/>
        </w:rPr>
        <w:t>/s&gt;</w:t>
      </w:r>
      <w:r>
        <w:rPr>
          <w:rFonts w:ascii="Times New Roman" w:hAnsi="Times New Roman" w:eastAsia="仿宋_GB2312" w:cs="Times New Roman"/>
          <w:i/>
          <w:iCs/>
          <w:color w:val="auto"/>
        </w:rPr>
        <w:t>Q</w:t>
      </w:r>
      <w:r>
        <w:rPr>
          <w:rFonts w:ascii="Times New Roman" w:hAnsi="Times New Roman" w:eastAsia="仿宋_GB2312" w:cs="Times New Roman"/>
          <w:color w:val="auto"/>
          <w:vertAlign w:val="subscript"/>
        </w:rPr>
        <w:t>汇</w:t>
      </w:r>
      <w:r>
        <w:rPr>
          <w:rFonts w:ascii="Times New Roman" w:hAnsi="Times New Roman" w:eastAsia="仿宋_GB2312" w:cs="Times New Roman"/>
          <w:color w:val="auto"/>
        </w:rPr>
        <w:t>=0.</w:t>
      </w:r>
      <w:r>
        <w:rPr>
          <w:rFonts w:hint="eastAsia" w:ascii="Times New Roman" w:hAnsi="Times New Roman" w:eastAsia="仿宋_GB2312" w:cs="Times New Roman"/>
          <w:color w:val="auto"/>
        </w:rPr>
        <w:t>024</w:t>
      </w:r>
      <w:r>
        <w:rPr>
          <w:rFonts w:ascii="Times New Roman" w:hAnsi="Times New Roman" w:eastAsia="仿宋_GB2312" w:cs="Times New Roman"/>
          <w:color w:val="auto"/>
        </w:rPr>
        <w:t>m</w:t>
      </w:r>
      <w:r>
        <w:rPr>
          <w:rFonts w:ascii="Times New Roman" w:hAnsi="Times New Roman" w:eastAsia="仿宋_GB2312" w:cs="Times New Roman"/>
          <w:color w:val="auto"/>
          <w:vertAlign w:val="superscript"/>
        </w:rPr>
        <w:t>3</w:t>
      </w:r>
      <w:r>
        <w:rPr>
          <w:rFonts w:ascii="Times New Roman" w:hAnsi="Times New Roman" w:eastAsia="仿宋_GB2312" w:cs="Times New Roman"/>
          <w:color w:val="auto"/>
        </w:rPr>
        <w:t>/s，基坑排水沟断面符合要求。</w:t>
      </w:r>
    </w:p>
    <w:p>
      <w:pPr>
        <w:spacing w:line="360" w:lineRule="auto"/>
        <w:jc w:val="center"/>
        <w:rPr>
          <w:rFonts w:ascii="Times New Roman" w:hAnsi="Times New Roman" w:eastAsia="仿宋_GB2312" w:cs="Times New Roman"/>
          <w:b/>
          <w:bCs/>
          <w:color w:val="auto"/>
        </w:rPr>
      </w:pPr>
      <w:r>
        <w:rPr>
          <w:rFonts w:ascii="Times New Roman" w:hAnsi="Times New Roman" w:eastAsia="仿宋_GB2312" w:cs="Times New Roman"/>
          <w:b/>
          <w:bCs/>
          <w:color w:val="auto"/>
        </w:rPr>
        <w:t>表5.</w:t>
      </w:r>
      <w:r>
        <w:rPr>
          <w:rFonts w:hint="eastAsia" w:ascii="Times New Roman" w:hAnsi="Times New Roman" w:eastAsia="仿宋_GB2312" w:cs="Times New Roman"/>
          <w:b/>
          <w:bCs/>
          <w:color w:val="auto"/>
        </w:rPr>
        <w:t>3-</w:t>
      </w:r>
      <w:r>
        <w:rPr>
          <w:rFonts w:hint="eastAsia" w:ascii="Times New Roman" w:hAnsi="Times New Roman" w:eastAsia="仿宋_GB2312" w:cs="Times New Roman"/>
          <w:b/>
          <w:bCs/>
          <w:color w:val="auto"/>
          <w:lang w:val="en-US" w:eastAsia="zh-CN"/>
        </w:rPr>
        <w:t>7</w:t>
      </w:r>
      <w:r>
        <w:rPr>
          <w:rFonts w:hint="eastAsia" w:ascii="Times New Roman" w:hAnsi="Times New Roman" w:eastAsia="仿宋_GB2312" w:cs="Times New Roman"/>
          <w:b/>
          <w:bCs/>
          <w:color w:val="auto"/>
        </w:rPr>
        <w:t>：基坑</w:t>
      </w:r>
      <w:r>
        <w:rPr>
          <w:rFonts w:ascii="Times New Roman" w:hAnsi="Times New Roman" w:eastAsia="仿宋_GB2312" w:cs="Times New Roman"/>
          <w:b/>
          <w:bCs/>
          <w:color w:val="auto"/>
        </w:rPr>
        <w:t>排水沟单位工程量表</w:t>
      </w:r>
    </w:p>
    <w:tbl>
      <w:tblPr>
        <w:tblStyle w:val="37"/>
        <w:tblW w:w="543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5" w:type="dxa"/>
          <w:bottom w:w="0" w:type="dxa"/>
          <w:right w:w="15" w:type="dxa"/>
        </w:tblCellMar>
      </w:tblPr>
      <w:tblGrid>
        <w:gridCol w:w="1095"/>
        <w:gridCol w:w="775"/>
        <w:gridCol w:w="736"/>
        <w:gridCol w:w="713"/>
        <w:gridCol w:w="715"/>
        <w:gridCol w:w="1012"/>
        <w:gridCol w:w="865"/>
        <w:gridCol w:w="1108"/>
        <w:gridCol w:w="874"/>
        <w:gridCol w:w="11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5" w:type="dxa"/>
            <w:bottom w:w="0" w:type="dxa"/>
            <w:right w:w="15" w:type="dxa"/>
          </w:tblCellMar>
        </w:tblPrEx>
        <w:trPr>
          <w:trHeight w:val="283" w:hRule="atLeast"/>
          <w:jc w:val="center"/>
        </w:trPr>
        <w:tc>
          <w:tcPr>
            <w:tcW w:w="603" w:type="pct"/>
            <w:vMerge w:val="restart"/>
            <w:tcBorders>
              <w:tl2br w:val="nil"/>
              <w:tr2bl w:val="nil"/>
            </w:tcBorders>
            <w:noWrap/>
            <w:vAlign w:val="center"/>
          </w:tcPr>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项目</w:t>
            </w:r>
            <w:r>
              <w:rPr>
                <w:rFonts w:ascii="Times New Roman" w:hAnsi="Times New Roman" w:eastAsia="仿宋_GB2312" w:cs="Times New Roman"/>
                <w:b/>
                <w:bCs/>
                <w:color w:val="auto"/>
                <w:kern w:val="28"/>
                <w:sz w:val="21"/>
                <w:szCs w:val="21"/>
              </w:rPr>
              <w:t>名称</w:t>
            </w:r>
          </w:p>
        </w:tc>
        <w:tc>
          <w:tcPr>
            <w:tcW w:w="1620" w:type="pct"/>
            <w:gridSpan w:val="4"/>
            <w:tcBorders>
              <w:tl2br w:val="nil"/>
              <w:tr2bl w:val="nil"/>
            </w:tcBorders>
            <w:noWrap/>
            <w:vAlign w:val="center"/>
          </w:tcPr>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断面尺寸</w:t>
            </w:r>
          </w:p>
        </w:tc>
        <w:tc>
          <w:tcPr>
            <w:tcW w:w="2776" w:type="pct"/>
            <w:gridSpan w:val="5"/>
            <w:tcBorders>
              <w:tl2br w:val="nil"/>
              <w:tr2bl w:val="nil"/>
            </w:tcBorders>
            <w:noWrap/>
            <w:vAlign w:val="center"/>
          </w:tcPr>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单位工程量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5" w:type="dxa"/>
            <w:bottom w:w="0" w:type="dxa"/>
            <w:right w:w="15" w:type="dxa"/>
          </w:tblCellMar>
        </w:tblPrEx>
        <w:trPr>
          <w:trHeight w:val="283" w:hRule="atLeast"/>
          <w:jc w:val="center"/>
        </w:trPr>
        <w:tc>
          <w:tcPr>
            <w:tcW w:w="603" w:type="pct"/>
            <w:vMerge w:val="continue"/>
            <w:tcBorders>
              <w:tl2br w:val="nil"/>
              <w:tr2bl w:val="nil"/>
            </w:tcBorders>
            <w:noWrap/>
            <w:vAlign w:val="center"/>
          </w:tcPr>
          <w:p>
            <w:pPr>
              <w:spacing w:line="240" w:lineRule="atLeast"/>
              <w:jc w:val="center"/>
              <w:rPr>
                <w:rFonts w:ascii="Times New Roman" w:hAnsi="Times New Roman" w:eastAsia="仿宋_GB2312" w:cs="Times New Roman"/>
                <w:b/>
                <w:bCs/>
                <w:color w:val="auto"/>
                <w:sz w:val="21"/>
                <w:szCs w:val="21"/>
              </w:rPr>
            </w:pPr>
          </w:p>
        </w:tc>
        <w:tc>
          <w:tcPr>
            <w:tcW w:w="427" w:type="pct"/>
            <w:tcBorders>
              <w:tl2br w:val="nil"/>
              <w:tr2bl w:val="nil"/>
            </w:tcBorders>
            <w:noWrap/>
            <w:vAlign w:val="center"/>
          </w:tcPr>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断面</w:t>
            </w:r>
          </w:p>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形式</w:t>
            </w:r>
          </w:p>
        </w:tc>
        <w:tc>
          <w:tcPr>
            <w:tcW w:w="406" w:type="pct"/>
            <w:tcBorders>
              <w:tl2br w:val="nil"/>
              <w:tr2bl w:val="nil"/>
            </w:tcBorders>
            <w:noWrap/>
            <w:vAlign w:val="center"/>
          </w:tcPr>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边坡</w:t>
            </w:r>
          </w:p>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系数</w:t>
            </w:r>
          </w:p>
        </w:tc>
        <w:tc>
          <w:tcPr>
            <w:tcW w:w="393" w:type="pct"/>
            <w:tcBorders>
              <w:tl2br w:val="nil"/>
              <w:tr2bl w:val="nil"/>
            </w:tcBorders>
            <w:noWrap/>
            <w:vAlign w:val="center"/>
          </w:tcPr>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沟深（m）</w:t>
            </w:r>
          </w:p>
        </w:tc>
        <w:tc>
          <w:tcPr>
            <w:tcW w:w="392" w:type="pct"/>
            <w:tcBorders>
              <w:tl2br w:val="nil"/>
              <w:tr2bl w:val="nil"/>
            </w:tcBorders>
            <w:noWrap/>
            <w:vAlign w:val="center"/>
          </w:tcPr>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沟宽（m）</w:t>
            </w:r>
          </w:p>
        </w:tc>
        <w:tc>
          <w:tcPr>
            <w:tcW w:w="558" w:type="pct"/>
            <w:tcBorders>
              <w:tl2br w:val="nil"/>
              <w:tr2bl w:val="nil"/>
            </w:tcBorders>
            <w:noWrap/>
            <w:vAlign w:val="center"/>
          </w:tcPr>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土方开挖（m</w:t>
            </w:r>
            <w:r>
              <w:rPr>
                <w:rFonts w:ascii="Times New Roman" w:hAnsi="Times New Roman" w:eastAsia="仿宋_GB2312" w:cs="Times New Roman"/>
                <w:b/>
                <w:bCs/>
                <w:color w:val="auto"/>
                <w:sz w:val="21"/>
                <w:szCs w:val="21"/>
                <w:vertAlign w:val="superscript"/>
              </w:rPr>
              <w:t>3</w:t>
            </w:r>
            <w:r>
              <w:rPr>
                <w:rFonts w:ascii="Times New Roman" w:hAnsi="Times New Roman" w:eastAsia="仿宋_GB2312" w:cs="Times New Roman"/>
                <w:b/>
                <w:bCs/>
                <w:color w:val="auto"/>
                <w:sz w:val="21"/>
                <w:szCs w:val="21"/>
              </w:rPr>
              <w:t>/m）</w:t>
            </w:r>
          </w:p>
        </w:tc>
        <w:tc>
          <w:tcPr>
            <w:tcW w:w="477" w:type="pct"/>
            <w:tcBorders>
              <w:tl2br w:val="nil"/>
              <w:tr2bl w:val="nil"/>
            </w:tcBorders>
            <w:noWrap/>
            <w:vAlign w:val="center"/>
          </w:tcPr>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砌砖（m</w:t>
            </w:r>
            <w:r>
              <w:rPr>
                <w:rFonts w:ascii="Times New Roman" w:hAnsi="Times New Roman" w:eastAsia="仿宋_GB2312" w:cs="Times New Roman"/>
                <w:b/>
                <w:bCs/>
                <w:color w:val="auto"/>
                <w:sz w:val="21"/>
                <w:szCs w:val="21"/>
                <w:vertAlign w:val="superscript"/>
              </w:rPr>
              <w:t>3</w:t>
            </w:r>
            <w:r>
              <w:rPr>
                <w:rFonts w:ascii="Times New Roman" w:hAnsi="Times New Roman" w:eastAsia="仿宋_GB2312" w:cs="Times New Roman"/>
                <w:b/>
                <w:bCs/>
                <w:color w:val="auto"/>
                <w:sz w:val="21"/>
                <w:szCs w:val="21"/>
              </w:rPr>
              <w:t>/m）</w:t>
            </w:r>
          </w:p>
        </w:tc>
        <w:tc>
          <w:tcPr>
            <w:tcW w:w="611" w:type="pct"/>
            <w:tcBorders>
              <w:tl2br w:val="nil"/>
              <w:tr2bl w:val="nil"/>
            </w:tcBorders>
            <w:noWrap/>
            <w:vAlign w:val="center"/>
          </w:tcPr>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M10砂浆抹面（m</w:t>
            </w:r>
            <w:r>
              <w:rPr>
                <w:rFonts w:ascii="Times New Roman" w:hAnsi="Times New Roman" w:eastAsia="仿宋_GB2312" w:cs="Times New Roman"/>
                <w:b/>
                <w:bCs/>
                <w:color w:val="auto"/>
                <w:sz w:val="21"/>
                <w:szCs w:val="21"/>
                <w:vertAlign w:val="superscript"/>
              </w:rPr>
              <w:t>2</w:t>
            </w:r>
            <w:r>
              <w:rPr>
                <w:rFonts w:ascii="Times New Roman" w:hAnsi="Times New Roman" w:eastAsia="仿宋_GB2312" w:cs="Times New Roman"/>
                <w:b/>
                <w:bCs/>
                <w:color w:val="auto"/>
                <w:sz w:val="21"/>
                <w:szCs w:val="21"/>
              </w:rPr>
              <w:t>/m）</w:t>
            </w:r>
          </w:p>
        </w:tc>
        <w:tc>
          <w:tcPr>
            <w:tcW w:w="482" w:type="pct"/>
            <w:tcBorders>
              <w:tl2br w:val="nil"/>
              <w:tr2bl w:val="nil"/>
            </w:tcBorders>
            <w:noWrap/>
            <w:vAlign w:val="center"/>
          </w:tcPr>
          <w:p>
            <w:pPr>
              <w:spacing w:line="240" w:lineRule="atLeas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土方回填（m</w:t>
            </w:r>
            <w:r>
              <w:rPr>
                <w:rFonts w:ascii="Times New Roman" w:hAnsi="Times New Roman" w:eastAsia="仿宋_GB2312" w:cs="Times New Roman"/>
                <w:b/>
                <w:bCs/>
                <w:color w:val="auto"/>
                <w:sz w:val="21"/>
                <w:szCs w:val="21"/>
                <w:vertAlign w:val="superscript"/>
              </w:rPr>
              <w:t>3</w:t>
            </w:r>
            <w:r>
              <w:rPr>
                <w:rFonts w:ascii="Times New Roman" w:hAnsi="Times New Roman" w:eastAsia="仿宋_GB2312" w:cs="Times New Roman"/>
                <w:b/>
                <w:bCs/>
                <w:color w:val="auto"/>
                <w:sz w:val="21"/>
                <w:szCs w:val="21"/>
              </w:rPr>
              <w:t>/m）</w:t>
            </w:r>
          </w:p>
        </w:tc>
        <w:tc>
          <w:tcPr>
            <w:tcW w:w="645" w:type="pct"/>
            <w:tcBorders>
              <w:tl2br w:val="nil"/>
              <w:tr2bl w:val="nil"/>
            </w:tcBorders>
            <w:noWrap/>
            <w:vAlign w:val="center"/>
          </w:tcPr>
          <w:p>
            <w:pPr>
              <w:widowControl/>
              <w:spacing w:line="240" w:lineRule="atLeast"/>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color w:val="auto"/>
                <w:kern w:val="0"/>
                <w:sz w:val="21"/>
                <w:szCs w:val="21"/>
              </w:rPr>
              <w:t>C15素混凝土（m</w:t>
            </w:r>
            <w:r>
              <w:rPr>
                <w:rFonts w:ascii="Times New Roman" w:hAnsi="Times New Roman" w:eastAsia="仿宋_GB2312" w:cs="Times New Roman"/>
                <w:b/>
                <w:color w:val="auto"/>
                <w:kern w:val="0"/>
                <w:sz w:val="21"/>
                <w:szCs w:val="21"/>
                <w:vertAlign w:val="superscript"/>
              </w:rPr>
              <w:t>3</w:t>
            </w:r>
            <w:r>
              <w:rPr>
                <w:rFonts w:ascii="Times New Roman" w:hAnsi="Times New Roman" w:eastAsia="仿宋_GB2312" w:cs="Times New Roman"/>
                <w:b/>
                <w:color w:val="auto"/>
                <w:kern w:val="0"/>
                <w:sz w:val="21"/>
                <w:szCs w:val="21"/>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5" w:type="dxa"/>
            <w:bottom w:w="0" w:type="dxa"/>
            <w:right w:w="15" w:type="dxa"/>
          </w:tblCellMar>
        </w:tblPrEx>
        <w:trPr>
          <w:trHeight w:val="283" w:hRule="atLeast"/>
          <w:jc w:val="center"/>
        </w:trPr>
        <w:tc>
          <w:tcPr>
            <w:tcW w:w="603" w:type="pct"/>
            <w:tcBorders>
              <w:tl2br w:val="nil"/>
              <w:tr2bl w:val="nil"/>
            </w:tcBorders>
            <w:noWrap/>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基坑排水沟</w:t>
            </w:r>
          </w:p>
        </w:tc>
        <w:tc>
          <w:tcPr>
            <w:tcW w:w="427" w:type="pct"/>
            <w:tcBorders>
              <w:tl2br w:val="nil"/>
              <w:tr2bl w:val="nil"/>
            </w:tcBorders>
            <w:noWrap/>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矩形</w:t>
            </w:r>
          </w:p>
        </w:tc>
        <w:tc>
          <w:tcPr>
            <w:tcW w:w="406" w:type="pct"/>
            <w:tcBorders>
              <w:tl2br w:val="nil"/>
              <w:tr2bl w:val="nil"/>
            </w:tcBorders>
            <w:noWrap/>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w:t>
            </w:r>
          </w:p>
        </w:tc>
        <w:tc>
          <w:tcPr>
            <w:tcW w:w="393" w:type="pct"/>
            <w:tcBorders>
              <w:tl2br w:val="nil"/>
              <w:tr2bl w:val="nil"/>
            </w:tcBorders>
            <w:noWrap/>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0.</w:t>
            </w:r>
            <w:r>
              <w:rPr>
                <w:rFonts w:hint="eastAsia" w:ascii="Times New Roman" w:hAnsi="Times New Roman" w:eastAsia="仿宋_GB2312" w:cs="Times New Roman"/>
                <w:color w:val="auto"/>
                <w:sz w:val="21"/>
                <w:szCs w:val="21"/>
              </w:rPr>
              <w:t>40</w:t>
            </w:r>
          </w:p>
        </w:tc>
        <w:tc>
          <w:tcPr>
            <w:tcW w:w="392" w:type="pct"/>
            <w:tcBorders>
              <w:tl2br w:val="nil"/>
              <w:tr2bl w:val="nil"/>
            </w:tcBorders>
            <w:noWrap/>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0.30</w:t>
            </w:r>
          </w:p>
        </w:tc>
        <w:tc>
          <w:tcPr>
            <w:tcW w:w="558" w:type="pct"/>
            <w:tcBorders>
              <w:tl2br w:val="nil"/>
              <w:tr2bl w:val="nil"/>
            </w:tcBorders>
            <w:noWrap/>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0.27</w:t>
            </w:r>
          </w:p>
        </w:tc>
        <w:tc>
          <w:tcPr>
            <w:tcW w:w="477" w:type="pct"/>
            <w:tcBorders>
              <w:tl2br w:val="nil"/>
              <w:tr2bl w:val="nil"/>
            </w:tcBorders>
            <w:noWrap/>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0.</w:t>
            </w:r>
            <w:r>
              <w:rPr>
                <w:rFonts w:hint="eastAsia" w:ascii="Times New Roman" w:hAnsi="Times New Roman" w:eastAsia="仿宋_GB2312" w:cs="Times New Roman"/>
                <w:color w:val="auto"/>
                <w:sz w:val="21"/>
                <w:szCs w:val="21"/>
              </w:rPr>
              <w:t>10</w:t>
            </w:r>
          </w:p>
        </w:tc>
        <w:tc>
          <w:tcPr>
            <w:tcW w:w="611" w:type="pct"/>
            <w:tcBorders>
              <w:tl2br w:val="nil"/>
              <w:tr2bl w:val="nil"/>
            </w:tcBorders>
            <w:noWrap/>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1.44</w:t>
            </w:r>
          </w:p>
        </w:tc>
        <w:tc>
          <w:tcPr>
            <w:tcW w:w="482" w:type="pct"/>
            <w:tcBorders>
              <w:tl2br w:val="nil"/>
              <w:tr2bl w:val="nil"/>
            </w:tcBorders>
            <w:noWrap/>
            <w:vAlign w:val="center"/>
          </w:tcPr>
          <w:p>
            <w:pPr>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0.03</w:t>
            </w:r>
          </w:p>
        </w:tc>
        <w:tc>
          <w:tcPr>
            <w:tcW w:w="645" w:type="pct"/>
            <w:tcBorders>
              <w:tl2br w:val="nil"/>
              <w:tr2bl w:val="nil"/>
            </w:tcBorders>
            <w:noWrap/>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0.0</w:t>
            </w:r>
            <w:r>
              <w:rPr>
                <w:rFonts w:hint="eastAsia" w:ascii="Times New Roman" w:hAnsi="Times New Roman" w:eastAsia="仿宋_GB2312" w:cs="Times New Roman"/>
                <w:color w:val="auto"/>
                <w:kern w:val="0"/>
                <w:sz w:val="21"/>
                <w:szCs w:val="21"/>
              </w:rPr>
              <w:t>2</w:t>
            </w:r>
          </w:p>
        </w:tc>
      </w:tr>
    </w:tbl>
    <w:p>
      <w:pPr>
        <w:widowControl/>
        <w:spacing w:line="360" w:lineRule="auto"/>
        <w:jc w:val="center"/>
        <w:rPr>
          <w:rFonts w:ascii="Times New Roman" w:hAnsi="Times New Roman" w:eastAsia="仿宋_GB2312" w:cs="Times New Roman"/>
          <w:color w:val="auto"/>
        </w:rPr>
      </w:pPr>
      <w:r>
        <w:rPr>
          <w:rFonts w:hint="eastAsia" w:ascii="Times New Roman" w:hAnsi="Times New Roman" w:eastAsia="仿宋_GB2312" w:cs="Times New Roman"/>
          <w:color w:val="auto"/>
        </w:rPr>
        <w:drawing>
          <wp:inline distT="0" distB="0" distL="114300" distR="114300">
            <wp:extent cx="3146425" cy="2019300"/>
            <wp:effectExtent l="0" t="0" r="3175" b="0"/>
            <wp:docPr id="38" name="图片 3" descr="7[GG~JK$NA1L`OS8O$9AX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 descr="7[GG~JK$NA1L`OS8O$9AXL3"/>
                    <pic:cNvPicPr>
                      <a:picLocks noChangeAspect="1"/>
                    </pic:cNvPicPr>
                  </pic:nvPicPr>
                  <pic:blipFill>
                    <a:blip r:embed="rId101"/>
                    <a:srcRect b="17292"/>
                    <a:stretch>
                      <a:fillRect/>
                    </a:stretch>
                  </pic:blipFill>
                  <pic:spPr>
                    <a:xfrm>
                      <a:off x="0" y="0"/>
                      <a:ext cx="3146425" cy="2019300"/>
                    </a:xfrm>
                    <a:prstGeom prst="rect">
                      <a:avLst/>
                    </a:prstGeom>
                    <a:noFill/>
                    <a:ln>
                      <a:noFill/>
                    </a:ln>
                  </pic:spPr>
                </pic:pic>
              </a:graphicData>
            </a:graphic>
          </wp:inline>
        </w:drawing>
      </w:r>
    </w:p>
    <w:p>
      <w:pPr>
        <w:jc w:val="center"/>
        <w:rPr>
          <w:rFonts w:ascii="Times New Roman" w:hAnsi="Times New Roman" w:eastAsia="仿宋_GB2312" w:cs="Times New Roman"/>
          <w:b/>
          <w:color w:val="auto"/>
        </w:rPr>
      </w:pPr>
      <w:r>
        <w:rPr>
          <w:rFonts w:ascii="Times New Roman" w:hAnsi="Times New Roman" w:eastAsia="仿宋_GB2312" w:cs="Times New Roman"/>
          <w:b/>
          <w:color w:val="auto"/>
        </w:rPr>
        <w:t>图5.3</w:t>
      </w:r>
      <w:r>
        <w:rPr>
          <w:rFonts w:hint="eastAsia" w:ascii="Times New Roman" w:hAnsi="Times New Roman" w:eastAsia="仿宋_GB2312" w:cs="Times New Roman"/>
          <w:b/>
          <w:color w:val="auto"/>
        </w:rPr>
        <w:t>-</w:t>
      </w:r>
      <w:r>
        <w:rPr>
          <w:rFonts w:hint="eastAsia" w:ascii="Times New Roman" w:hAnsi="Times New Roman" w:eastAsia="仿宋_GB2312" w:cs="Times New Roman"/>
          <w:b/>
          <w:color w:val="auto"/>
          <w:lang w:val="en-US" w:eastAsia="zh-CN"/>
        </w:rPr>
        <w:t>5</w:t>
      </w:r>
      <w:r>
        <w:rPr>
          <w:rFonts w:hint="eastAsia" w:ascii="Times New Roman" w:hAnsi="Times New Roman" w:eastAsia="仿宋_GB2312" w:cs="Times New Roman"/>
          <w:b/>
          <w:color w:val="auto"/>
        </w:rPr>
        <w:t>：基坑</w:t>
      </w:r>
      <w:r>
        <w:rPr>
          <w:rFonts w:ascii="Times New Roman" w:hAnsi="Times New Roman" w:eastAsia="仿宋_GB2312" w:cs="Times New Roman"/>
          <w:b/>
          <w:color w:val="auto"/>
        </w:rPr>
        <w:t>排水沟断面图（单位：cm）</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②</w:t>
      </w:r>
      <w:r>
        <w:rPr>
          <w:rFonts w:ascii="Times New Roman" w:hAnsi="Times New Roman" w:eastAsia="仿宋_GB2312"/>
          <w:color w:val="auto"/>
        </w:rPr>
        <w:t>基坑沉沙池</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本项目基坑沉沙池设计标准按照《水土保持工程设计规范》的有关标准确定，经计算得出基坑沉沙池的规格断面和池厢工作长度：基坑沉沙池采用方形结构，尺寸宽1.00m，长2.00m，深1.00m，采用M7.5砖块砌筑。</w:t>
      </w:r>
    </w:p>
    <w:p>
      <w:pPr>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olor w:val="auto"/>
        </w:rPr>
        <w:t>基坑沉沙池</w:t>
      </w:r>
      <w:r>
        <w:rPr>
          <w:rFonts w:ascii="Times New Roman" w:hAnsi="Times New Roman" w:eastAsia="仿宋_GB2312" w:cs="Times New Roman"/>
          <w:color w:val="auto"/>
        </w:rPr>
        <w:t>单位工程量见表5.</w:t>
      </w:r>
      <w:r>
        <w:rPr>
          <w:rFonts w:hint="eastAsia" w:ascii="Times New Roman" w:hAnsi="Times New Roman" w:eastAsia="仿宋_GB2312" w:cs="Times New Roman"/>
          <w:color w:val="auto"/>
        </w:rPr>
        <w:t>3-</w:t>
      </w:r>
      <w:r>
        <w:rPr>
          <w:rFonts w:hint="eastAsia" w:ascii="Times New Roman" w:hAnsi="Times New Roman" w:eastAsia="仿宋_GB2312" w:cs="Times New Roman"/>
          <w:color w:val="auto"/>
          <w:lang w:val="en-US" w:eastAsia="zh-CN"/>
        </w:rPr>
        <w:t>8</w:t>
      </w:r>
      <w:r>
        <w:rPr>
          <w:rFonts w:ascii="Times New Roman" w:hAnsi="Times New Roman" w:eastAsia="仿宋_GB2312" w:cs="Times New Roman"/>
          <w:color w:val="auto"/>
        </w:rPr>
        <w:t>，沉沙池平面设计见图5.</w:t>
      </w:r>
      <w:r>
        <w:rPr>
          <w:rFonts w:hint="eastAsia" w:ascii="Times New Roman" w:hAnsi="Times New Roman" w:eastAsia="仿宋_GB2312" w:cs="Times New Roman"/>
          <w:color w:val="auto"/>
        </w:rPr>
        <w:t>3-</w:t>
      </w:r>
      <w:r>
        <w:rPr>
          <w:rFonts w:hint="eastAsia" w:ascii="Times New Roman" w:hAnsi="Times New Roman" w:eastAsia="仿宋_GB2312" w:cs="Times New Roman"/>
          <w:color w:val="auto"/>
          <w:lang w:val="en-US" w:eastAsia="zh-CN"/>
        </w:rPr>
        <w:t>6</w:t>
      </w:r>
      <w:r>
        <w:rPr>
          <w:rFonts w:ascii="Times New Roman" w:hAnsi="Times New Roman" w:eastAsia="仿宋_GB2312" w:cs="Times New Roman"/>
          <w:color w:val="auto"/>
        </w:rPr>
        <w:t>。</w:t>
      </w:r>
    </w:p>
    <w:p>
      <w:pPr>
        <w:widowControl/>
        <w:adjustRightInd w:val="0"/>
        <w:snapToGrid w:val="0"/>
        <w:spacing w:line="360" w:lineRule="auto"/>
        <w:jc w:val="center"/>
        <w:rPr>
          <w:rFonts w:ascii="Times New Roman" w:hAnsi="Times New Roman" w:eastAsia="仿宋_GB2312" w:cs="Times New Roman"/>
          <w:color w:val="auto"/>
        </w:rPr>
      </w:pPr>
      <w:r>
        <w:rPr>
          <w:rFonts w:ascii="Times New Roman" w:hAnsi="Times New Roman" w:eastAsia="仿宋_GB2312" w:cs="Times New Roman"/>
          <w:b/>
          <w:color w:val="auto"/>
        </w:rPr>
        <w:t>表5.</w:t>
      </w:r>
      <w:r>
        <w:rPr>
          <w:rFonts w:hint="eastAsia" w:ascii="Times New Roman" w:hAnsi="Times New Roman" w:eastAsia="仿宋_GB2312" w:cs="Times New Roman"/>
          <w:b/>
          <w:color w:val="auto"/>
        </w:rPr>
        <w:t>3-</w:t>
      </w:r>
      <w:r>
        <w:rPr>
          <w:rFonts w:hint="eastAsia" w:ascii="Times New Roman" w:hAnsi="Times New Roman" w:eastAsia="仿宋_GB2312" w:cs="Times New Roman"/>
          <w:b/>
          <w:color w:val="auto"/>
          <w:lang w:val="en-US" w:eastAsia="zh-CN"/>
        </w:rPr>
        <w:t>8</w:t>
      </w:r>
      <w:r>
        <w:rPr>
          <w:rFonts w:hint="eastAsia" w:ascii="Times New Roman" w:hAnsi="Times New Roman" w:eastAsia="仿宋_GB2312" w:cs="Times New Roman"/>
          <w:b/>
          <w:color w:val="auto"/>
        </w:rPr>
        <w:t>：基坑沉沙池</w:t>
      </w:r>
      <w:r>
        <w:rPr>
          <w:rFonts w:ascii="Times New Roman" w:hAnsi="Times New Roman" w:eastAsia="仿宋_GB2312" w:cs="Times New Roman"/>
          <w:b/>
          <w:color w:val="auto"/>
        </w:rPr>
        <w:t>单位工程量表</w:t>
      </w:r>
    </w:p>
    <w:tbl>
      <w:tblPr>
        <w:tblStyle w:val="37"/>
        <w:tblW w:w="507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95"/>
        <w:gridCol w:w="779"/>
        <w:gridCol w:w="730"/>
        <w:gridCol w:w="730"/>
        <w:gridCol w:w="730"/>
        <w:gridCol w:w="846"/>
        <w:gridCol w:w="1088"/>
        <w:gridCol w:w="1327"/>
        <w:gridCol w:w="123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587" w:type="pct"/>
            <w:noWrap/>
            <w:tcMar>
              <w:top w:w="12" w:type="dxa"/>
              <w:left w:w="12" w:type="dxa"/>
              <w:right w:w="12" w:type="dxa"/>
            </w:tcMar>
            <w:vAlign w:val="center"/>
          </w:tcPr>
          <w:p>
            <w:pPr>
              <w:widowControl/>
              <w:spacing w:line="240" w:lineRule="atLeast"/>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项目</w:t>
            </w:r>
            <w:r>
              <w:rPr>
                <w:rFonts w:ascii="Times New Roman" w:hAnsi="Times New Roman" w:eastAsia="仿宋_GB2312" w:cs="Times New Roman"/>
                <w:b/>
                <w:bCs/>
                <w:color w:val="auto"/>
                <w:kern w:val="28"/>
                <w:sz w:val="21"/>
                <w:szCs w:val="21"/>
              </w:rPr>
              <w:t>名称</w:t>
            </w:r>
          </w:p>
        </w:tc>
        <w:tc>
          <w:tcPr>
            <w:tcW w:w="1753" w:type="pct"/>
            <w:gridSpan w:val="4"/>
            <w:noWrap/>
            <w:tcMar>
              <w:top w:w="12" w:type="dxa"/>
              <w:left w:w="12" w:type="dxa"/>
              <w:right w:w="12" w:type="dxa"/>
            </w:tcMar>
            <w:vAlign w:val="center"/>
          </w:tcPr>
          <w:p>
            <w:pPr>
              <w:widowControl/>
              <w:spacing w:line="240" w:lineRule="atLeast"/>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断面尺寸</w:t>
            </w:r>
          </w:p>
        </w:tc>
        <w:tc>
          <w:tcPr>
            <w:tcW w:w="2659" w:type="pct"/>
            <w:gridSpan w:val="4"/>
            <w:noWrap/>
            <w:tcMar>
              <w:top w:w="12" w:type="dxa"/>
              <w:left w:w="12" w:type="dxa"/>
              <w:right w:w="12" w:type="dxa"/>
            </w:tcMar>
            <w:vAlign w:val="center"/>
          </w:tcPr>
          <w:p>
            <w:pPr>
              <w:widowControl/>
              <w:spacing w:line="240" w:lineRule="atLeast"/>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工程量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3" w:hRule="atLeast"/>
          <w:jc w:val="center"/>
        </w:trPr>
        <w:tc>
          <w:tcPr>
            <w:tcW w:w="587" w:type="pct"/>
            <w:vMerge w:val="restart"/>
            <w:noWrap/>
            <w:tcMar>
              <w:top w:w="12" w:type="dxa"/>
              <w:left w:w="12" w:type="dxa"/>
              <w:right w:w="12" w:type="dxa"/>
            </w:tcMar>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基坑沉沙池</w:t>
            </w:r>
          </w:p>
        </w:tc>
        <w:tc>
          <w:tcPr>
            <w:tcW w:w="460" w:type="pct"/>
            <w:vMerge w:val="restart"/>
            <w:noWrap/>
            <w:tcMar>
              <w:top w:w="12" w:type="dxa"/>
              <w:left w:w="12" w:type="dxa"/>
              <w:right w:w="12" w:type="dxa"/>
            </w:tcMar>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池体形式</w:t>
            </w:r>
          </w:p>
        </w:tc>
        <w:tc>
          <w:tcPr>
            <w:tcW w:w="431" w:type="pct"/>
            <w:vMerge w:val="restart"/>
            <w:noWrap/>
            <w:tcMar>
              <w:top w:w="12" w:type="dxa"/>
              <w:left w:w="12" w:type="dxa"/>
              <w:right w:w="12" w:type="dxa"/>
            </w:tcMar>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池长（m）</w:t>
            </w:r>
          </w:p>
        </w:tc>
        <w:tc>
          <w:tcPr>
            <w:tcW w:w="431" w:type="pct"/>
            <w:vMerge w:val="restart"/>
            <w:noWrap/>
            <w:tcMar>
              <w:top w:w="12" w:type="dxa"/>
              <w:left w:w="12" w:type="dxa"/>
              <w:right w:w="12" w:type="dxa"/>
            </w:tcMar>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池宽（m）</w:t>
            </w:r>
          </w:p>
        </w:tc>
        <w:tc>
          <w:tcPr>
            <w:tcW w:w="431" w:type="pct"/>
            <w:vMerge w:val="restart"/>
            <w:noWrap/>
            <w:tcMar>
              <w:top w:w="12" w:type="dxa"/>
              <w:left w:w="12" w:type="dxa"/>
              <w:right w:w="12" w:type="dxa"/>
            </w:tcMar>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池深（m）</w:t>
            </w:r>
          </w:p>
        </w:tc>
        <w:tc>
          <w:tcPr>
            <w:tcW w:w="500" w:type="pct"/>
            <w:vMerge w:val="restart"/>
            <w:noWrap/>
            <w:tcMar>
              <w:top w:w="12" w:type="dxa"/>
              <w:left w:w="12" w:type="dxa"/>
              <w:right w:w="12" w:type="dxa"/>
            </w:tcMar>
            <w:vAlign w:val="center"/>
          </w:tcPr>
          <w:p>
            <w:pPr>
              <w:widowControl/>
              <w:spacing w:line="240" w:lineRule="atLeast"/>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砖砌</w:t>
            </w:r>
          </w:p>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（m</w:t>
            </w:r>
            <w:r>
              <w:rPr>
                <w:rFonts w:ascii="Times New Roman" w:hAnsi="Times New Roman" w:eastAsia="仿宋_GB2312" w:cs="Times New Roman"/>
                <w:color w:val="auto"/>
                <w:kern w:val="0"/>
                <w:sz w:val="21"/>
                <w:szCs w:val="21"/>
                <w:vertAlign w:val="superscript"/>
              </w:rPr>
              <w:t>3</w:t>
            </w:r>
            <w:r>
              <w:rPr>
                <w:rFonts w:ascii="Times New Roman" w:hAnsi="Times New Roman" w:eastAsia="仿宋_GB2312" w:cs="Times New Roman"/>
                <w:color w:val="auto"/>
                <w:kern w:val="0"/>
                <w:sz w:val="21"/>
                <w:szCs w:val="21"/>
              </w:rPr>
              <w:t>/口）</w:t>
            </w:r>
          </w:p>
        </w:tc>
        <w:tc>
          <w:tcPr>
            <w:tcW w:w="643" w:type="pct"/>
            <w:vMerge w:val="restart"/>
            <w:noWrap/>
            <w:tcMar>
              <w:top w:w="12" w:type="dxa"/>
              <w:left w:w="12" w:type="dxa"/>
              <w:right w:w="12" w:type="dxa"/>
            </w:tcMar>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土方开挖（m</w:t>
            </w:r>
            <w:r>
              <w:rPr>
                <w:rFonts w:ascii="Times New Roman" w:hAnsi="Times New Roman" w:eastAsia="仿宋_GB2312" w:cs="Times New Roman"/>
                <w:color w:val="auto"/>
                <w:kern w:val="0"/>
                <w:sz w:val="21"/>
                <w:szCs w:val="21"/>
                <w:vertAlign w:val="superscript"/>
              </w:rPr>
              <w:t>3</w:t>
            </w:r>
            <w:r>
              <w:rPr>
                <w:rFonts w:ascii="Times New Roman" w:hAnsi="Times New Roman" w:eastAsia="仿宋_GB2312" w:cs="Times New Roman"/>
                <w:color w:val="auto"/>
                <w:kern w:val="0"/>
                <w:sz w:val="21"/>
                <w:szCs w:val="21"/>
              </w:rPr>
              <w:t>/口）</w:t>
            </w:r>
          </w:p>
        </w:tc>
        <w:tc>
          <w:tcPr>
            <w:tcW w:w="784" w:type="pct"/>
            <w:vMerge w:val="restart"/>
            <w:noWrap/>
            <w:tcMar>
              <w:top w:w="12" w:type="dxa"/>
              <w:left w:w="12" w:type="dxa"/>
              <w:right w:w="12" w:type="dxa"/>
            </w:tcMar>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M10砂浆抹面（m</w:t>
            </w:r>
            <w:r>
              <w:rPr>
                <w:rFonts w:ascii="Times New Roman" w:hAnsi="Times New Roman" w:eastAsia="仿宋_GB2312" w:cs="Times New Roman"/>
                <w:color w:val="auto"/>
                <w:kern w:val="0"/>
                <w:sz w:val="21"/>
                <w:szCs w:val="21"/>
                <w:vertAlign w:val="superscript"/>
              </w:rPr>
              <w:t>2</w:t>
            </w:r>
            <w:r>
              <w:rPr>
                <w:rFonts w:ascii="Times New Roman" w:hAnsi="Times New Roman" w:eastAsia="仿宋_GB2312" w:cs="Times New Roman"/>
                <w:color w:val="auto"/>
                <w:kern w:val="0"/>
                <w:sz w:val="21"/>
                <w:szCs w:val="21"/>
              </w:rPr>
              <w:t>/口）</w:t>
            </w:r>
          </w:p>
        </w:tc>
        <w:tc>
          <w:tcPr>
            <w:tcW w:w="732" w:type="pct"/>
            <w:vMerge w:val="restart"/>
            <w:noWrap/>
            <w:tcMar>
              <w:top w:w="12" w:type="dxa"/>
              <w:left w:w="12" w:type="dxa"/>
              <w:right w:w="12" w:type="dxa"/>
            </w:tcMar>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土方回填（m</w:t>
            </w:r>
            <w:r>
              <w:rPr>
                <w:rFonts w:ascii="Times New Roman" w:hAnsi="Times New Roman" w:eastAsia="仿宋_GB2312" w:cs="Times New Roman"/>
                <w:color w:val="auto"/>
                <w:kern w:val="0"/>
                <w:sz w:val="21"/>
                <w:szCs w:val="21"/>
                <w:vertAlign w:val="superscript"/>
              </w:rPr>
              <w:t>3</w:t>
            </w:r>
            <w:r>
              <w:rPr>
                <w:rFonts w:ascii="Times New Roman" w:hAnsi="Times New Roman" w:eastAsia="仿宋_GB2312" w:cs="Times New Roman"/>
                <w:color w:val="auto"/>
                <w:kern w:val="0"/>
                <w:sz w:val="21"/>
                <w:szCs w:val="21"/>
              </w:rPr>
              <w:t>/口）</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3" w:hRule="atLeast"/>
          <w:jc w:val="center"/>
        </w:trPr>
        <w:tc>
          <w:tcPr>
            <w:tcW w:w="587" w:type="pct"/>
            <w:vMerge w:val="continue"/>
            <w:noWrap/>
            <w:tcMar>
              <w:top w:w="12" w:type="dxa"/>
              <w:left w:w="12" w:type="dxa"/>
              <w:right w:w="12" w:type="dxa"/>
            </w:tcMar>
            <w:vAlign w:val="center"/>
          </w:tcPr>
          <w:p>
            <w:pPr>
              <w:widowControl/>
              <w:spacing w:line="240" w:lineRule="atLeast"/>
              <w:jc w:val="center"/>
              <w:rPr>
                <w:rFonts w:ascii="Times New Roman" w:hAnsi="Times New Roman" w:eastAsia="仿宋_GB2312" w:cs="Times New Roman"/>
                <w:color w:val="auto"/>
                <w:sz w:val="21"/>
                <w:szCs w:val="21"/>
              </w:rPr>
            </w:pPr>
          </w:p>
        </w:tc>
        <w:tc>
          <w:tcPr>
            <w:tcW w:w="460" w:type="pct"/>
            <w:vMerge w:val="continue"/>
            <w:noWrap/>
            <w:tcMar>
              <w:top w:w="12" w:type="dxa"/>
              <w:left w:w="12" w:type="dxa"/>
              <w:right w:w="12" w:type="dxa"/>
            </w:tcMar>
            <w:vAlign w:val="center"/>
          </w:tcPr>
          <w:p>
            <w:pPr>
              <w:widowControl/>
              <w:spacing w:line="240" w:lineRule="atLeast"/>
              <w:jc w:val="center"/>
              <w:rPr>
                <w:rFonts w:ascii="Times New Roman" w:hAnsi="Times New Roman" w:eastAsia="仿宋_GB2312" w:cs="Times New Roman"/>
                <w:color w:val="auto"/>
                <w:sz w:val="21"/>
                <w:szCs w:val="21"/>
              </w:rPr>
            </w:pPr>
          </w:p>
        </w:tc>
        <w:tc>
          <w:tcPr>
            <w:tcW w:w="431" w:type="pct"/>
            <w:vMerge w:val="continue"/>
            <w:noWrap/>
            <w:tcMar>
              <w:top w:w="12" w:type="dxa"/>
              <w:left w:w="12" w:type="dxa"/>
              <w:right w:w="12" w:type="dxa"/>
            </w:tcMar>
            <w:vAlign w:val="center"/>
          </w:tcPr>
          <w:p>
            <w:pPr>
              <w:widowControl/>
              <w:spacing w:line="240" w:lineRule="atLeast"/>
              <w:jc w:val="center"/>
              <w:rPr>
                <w:rFonts w:ascii="Times New Roman" w:hAnsi="Times New Roman" w:eastAsia="仿宋_GB2312" w:cs="Times New Roman"/>
                <w:color w:val="auto"/>
                <w:sz w:val="21"/>
                <w:szCs w:val="21"/>
              </w:rPr>
            </w:pPr>
          </w:p>
        </w:tc>
        <w:tc>
          <w:tcPr>
            <w:tcW w:w="431" w:type="pct"/>
            <w:vMerge w:val="continue"/>
            <w:noWrap/>
            <w:tcMar>
              <w:top w:w="12" w:type="dxa"/>
              <w:left w:w="12" w:type="dxa"/>
              <w:right w:w="12" w:type="dxa"/>
            </w:tcMar>
            <w:vAlign w:val="center"/>
          </w:tcPr>
          <w:p>
            <w:pPr>
              <w:widowControl/>
              <w:spacing w:line="240" w:lineRule="atLeast"/>
              <w:jc w:val="center"/>
              <w:rPr>
                <w:rFonts w:ascii="Times New Roman" w:hAnsi="Times New Roman" w:eastAsia="仿宋_GB2312" w:cs="Times New Roman"/>
                <w:color w:val="auto"/>
                <w:sz w:val="21"/>
                <w:szCs w:val="21"/>
              </w:rPr>
            </w:pPr>
          </w:p>
        </w:tc>
        <w:tc>
          <w:tcPr>
            <w:tcW w:w="431" w:type="pct"/>
            <w:vMerge w:val="continue"/>
            <w:noWrap/>
            <w:tcMar>
              <w:top w:w="12" w:type="dxa"/>
              <w:left w:w="12" w:type="dxa"/>
              <w:right w:w="12" w:type="dxa"/>
            </w:tcMar>
            <w:vAlign w:val="center"/>
          </w:tcPr>
          <w:p>
            <w:pPr>
              <w:widowControl/>
              <w:spacing w:line="240" w:lineRule="atLeast"/>
              <w:jc w:val="center"/>
              <w:rPr>
                <w:rFonts w:ascii="Times New Roman" w:hAnsi="Times New Roman" w:eastAsia="仿宋_GB2312" w:cs="Times New Roman"/>
                <w:color w:val="auto"/>
                <w:sz w:val="21"/>
                <w:szCs w:val="21"/>
              </w:rPr>
            </w:pPr>
          </w:p>
        </w:tc>
        <w:tc>
          <w:tcPr>
            <w:tcW w:w="500" w:type="pct"/>
            <w:vMerge w:val="continue"/>
            <w:noWrap/>
            <w:tcMar>
              <w:top w:w="12" w:type="dxa"/>
              <w:left w:w="12" w:type="dxa"/>
              <w:right w:w="12" w:type="dxa"/>
            </w:tcMar>
            <w:vAlign w:val="center"/>
          </w:tcPr>
          <w:p>
            <w:pPr>
              <w:widowControl/>
              <w:spacing w:line="240" w:lineRule="atLeast"/>
              <w:jc w:val="center"/>
              <w:rPr>
                <w:rFonts w:ascii="Times New Roman" w:hAnsi="Times New Roman" w:eastAsia="仿宋_GB2312" w:cs="Times New Roman"/>
                <w:color w:val="auto"/>
                <w:sz w:val="21"/>
                <w:szCs w:val="21"/>
              </w:rPr>
            </w:pPr>
          </w:p>
        </w:tc>
        <w:tc>
          <w:tcPr>
            <w:tcW w:w="643" w:type="pct"/>
            <w:vMerge w:val="continue"/>
            <w:noWrap/>
            <w:tcMar>
              <w:top w:w="12" w:type="dxa"/>
              <w:left w:w="12" w:type="dxa"/>
              <w:right w:w="12" w:type="dxa"/>
            </w:tcMar>
            <w:vAlign w:val="center"/>
          </w:tcPr>
          <w:p>
            <w:pPr>
              <w:widowControl/>
              <w:spacing w:line="240" w:lineRule="atLeast"/>
              <w:jc w:val="center"/>
              <w:rPr>
                <w:rFonts w:ascii="Times New Roman" w:hAnsi="Times New Roman" w:eastAsia="仿宋_GB2312" w:cs="Times New Roman"/>
                <w:color w:val="auto"/>
                <w:sz w:val="21"/>
                <w:szCs w:val="21"/>
              </w:rPr>
            </w:pPr>
          </w:p>
        </w:tc>
        <w:tc>
          <w:tcPr>
            <w:tcW w:w="784" w:type="pct"/>
            <w:vMerge w:val="continue"/>
            <w:noWrap/>
            <w:tcMar>
              <w:top w:w="12" w:type="dxa"/>
              <w:left w:w="12" w:type="dxa"/>
              <w:right w:w="12" w:type="dxa"/>
            </w:tcMar>
            <w:vAlign w:val="center"/>
          </w:tcPr>
          <w:p>
            <w:pPr>
              <w:widowControl/>
              <w:spacing w:line="240" w:lineRule="atLeast"/>
              <w:jc w:val="center"/>
              <w:rPr>
                <w:rFonts w:ascii="Times New Roman" w:hAnsi="Times New Roman" w:eastAsia="仿宋_GB2312" w:cs="Times New Roman"/>
                <w:color w:val="auto"/>
                <w:sz w:val="21"/>
                <w:szCs w:val="21"/>
              </w:rPr>
            </w:pPr>
          </w:p>
        </w:tc>
        <w:tc>
          <w:tcPr>
            <w:tcW w:w="732" w:type="pct"/>
            <w:vMerge w:val="continue"/>
            <w:noWrap/>
            <w:tcMar>
              <w:top w:w="12" w:type="dxa"/>
              <w:left w:w="12" w:type="dxa"/>
              <w:right w:w="12" w:type="dxa"/>
            </w:tcMar>
            <w:vAlign w:val="center"/>
          </w:tcPr>
          <w:p>
            <w:pPr>
              <w:widowControl/>
              <w:spacing w:line="240" w:lineRule="atLeast"/>
              <w:jc w:val="center"/>
              <w:rPr>
                <w:rFonts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587" w:type="pct"/>
            <w:vMerge w:val="continue"/>
            <w:noWrap/>
            <w:tcMar>
              <w:top w:w="12" w:type="dxa"/>
              <w:left w:w="12" w:type="dxa"/>
              <w:right w:w="12" w:type="dxa"/>
            </w:tcMar>
            <w:vAlign w:val="center"/>
          </w:tcPr>
          <w:p>
            <w:pPr>
              <w:widowControl/>
              <w:spacing w:line="240" w:lineRule="atLeast"/>
              <w:jc w:val="center"/>
              <w:rPr>
                <w:rFonts w:ascii="Times New Roman" w:hAnsi="Times New Roman" w:eastAsia="仿宋_GB2312" w:cs="Times New Roman"/>
                <w:color w:val="auto"/>
                <w:sz w:val="21"/>
                <w:szCs w:val="21"/>
              </w:rPr>
            </w:pPr>
          </w:p>
        </w:tc>
        <w:tc>
          <w:tcPr>
            <w:tcW w:w="460" w:type="pct"/>
            <w:noWrap/>
            <w:tcMar>
              <w:top w:w="12" w:type="dxa"/>
              <w:left w:w="12" w:type="dxa"/>
              <w:right w:w="12" w:type="dxa"/>
            </w:tcMar>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矩形</w:t>
            </w:r>
          </w:p>
        </w:tc>
        <w:tc>
          <w:tcPr>
            <w:tcW w:w="431" w:type="pct"/>
            <w:noWrap/>
            <w:tcMar>
              <w:top w:w="12" w:type="dxa"/>
              <w:left w:w="12" w:type="dxa"/>
              <w:right w:w="12" w:type="dxa"/>
            </w:tcMar>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2.00</w:t>
            </w:r>
          </w:p>
        </w:tc>
        <w:tc>
          <w:tcPr>
            <w:tcW w:w="431" w:type="pct"/>
            <w:noWrap/>
            <w:tcMar>
              <w:top w:w="12" w:type="dxa"/>
              <w:left w:w="12" w:type="dxa"/>
              <w:right w:w="12" w:type="dxa"/>
            </w:tcMar>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1.00</w:t>
            </w:r>
          </w:p>
        </w:tc>
        <w:tc>
          <w:tcPr>
            <w:tcW w:w="431" w:type="pct"/>
            <w:noWrap/>
            <w:tcMar>
              <w:top w:w="12" w:type="dxa"/>
              <w:left w:w="12" w:type="dxa"/>
              <w:right w:w="12" w:type="dxa"/>
            </w:tcMar>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1.00</w:t>
            </w:r>
          </w:p>
        </w:tc>
        <w:tc>
          <w:tcPr>
            <w:tcW w:w="500" w:type="pct"/>
            <w:noWrap/>
            <w:tcMar>
              <w:top w:w="12" w:type="dxa"/>
              <w:left w:w="12" w:type="dxa"/>
              <w:right w:w="12" w:type="dxa"/>
            </w:tcMar>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kern w:val="0"/>
                <w:sz w:val="21"/>
                <w:szCs w:val="21"/>
              </w:rPr>
              <w:t>1.15</w:t>
            </w:r>
          </w:p>
        </w:tc>
        <w:tc>
          <w:tcPr>
            <w:tcW w:w="643" w:type="pct"/>
            <w:noWrap/>
            <w:tcMar>
              <w:top w:w="12" w:type="dxa"/>
              <w:left w:w="12" w:type="dxa"/>
              <w:right w:w="12" w:type="dxa"/>
            </w:tcMar>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3.</w:t>
            </w:r>
            <w:r>
              <w:rPr>
                <w:rFonts w:hint="eastAsia" w:ascii="Times New Roman" w:hAnsi="Times New Roman" w:eastAsia="仿宋_GB2312" w:cs="Times New Roman"/>
                <w:color w:val="auto"/>
                <w:kern w:val="0"/>
                <w:sz w:val="21"/>
                <w:szCs w:val="21"/>
              </w:rPr>
              <w:t>21</w:t>
            </w:r>
          </w:p>
        </w:tc>
        <w:tc>
          <w:tcPr>
            <w:tcW w:w="784" w:type="pct"/>
            <w:noWrap/>
            <w:tcMar>
              <w:top w:w="12" w:type="dxa"/>
              <w:left w:w="12" w:type="dxa"/>
              <w:right w:w="12" w:type="dxa"/>
            </w:tcMar>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9.</w:t>
            </w:r>
            <w:r>
              <w:rPr>
                <w:rFonts w:hint="eastAsia" w:ascii="Times New Roman" w:hAnsi="Times New Roman" w:eastAsia="仿宋_GB2312" w:cs="Times New Roman"/>
                <w:color w:val="auto"/>
                <w:kern w:val="0"/>
                <w:sz w:val="21"/>
                <w:szCs w:val="21"/>
              </w:rPr>
              <w:t>46</w:t>
            </w:r>
          </w:p>
        </w:tc>
        <w:tc>
          <w:tcPr>
            <w:tcW w:w="732" w:type="pct"/>
            <w:noWrap/>
            <w:tcMar>
              <w:top w:w="12" w:type="dxa"/>
              <w:left w:w="12" w:type="dxa"/>
              <w:right w:w="12" w:type="dxa"/>
            </w:tcMar>
            <w:vAlign w:val="center"/>
          </w:tcPr>
          <w:p>
            <w:pPr>
              <w:widowControl/>
              <w:spacing w:line="240" w:lineRule="atLeast"/>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0.31</w:t>
            </w:r>
          </w:p>
        </w:tc>
      </w:tr>
    </w:tbl>
    <w:p>
      <w:pPr>
        <w:widowControl/>
        <w:jc w:val="center"/>
        <w:rPr>
          <w:rFonts w:ascii="Times New Roman" w:hAnsi="Times New Roman" w:eastAsia="仿宋_GB2312" w:cs="Times New Roman"/>
          <w:color w:val="auto"/>
          <w:sz w:val="28"/>
          <w:szCs w:val="28"/>
        </w:rPr>
      </w:pPr>
      <w:r>
        <w:rPr>
          <w:rFonts w:ascii="宋体" w:hAnsi="宋体" w:cs="宋体"/>
          <w:color w:val="auto"/>
          <w:szCs w:val="24"/>
        </w:rPr>
        <w:drawing>
          <wp:inline distT="0" distB="0" distL="114300" distR="114300">
            <wp:extent cx="4170680" cy="2021205"/>
            <wp:effectExtent l="0" t="0" r="1270" b="17145"/>
            <wp:docPr id="4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descr="IMG_256"/>
                    <pic:cNvPicPr>
                      <a:picLocks noChangeAspect="1"/>
                    </pic:cNvPicPr>
                  </pic:nvPicPr>
                  <pic:blipFill>
                    <a:blip r:embed="rId102"/>
                    <a:srcRect b="19656"/>
                    <a:stretch>
                      <a:fillRect/>
                    </a:stretch>
                  </pic:blipFill>
                  <pic:spPr>
                    <a:xfrm>
                      <a:off x="0" y="0"/>
                      <a:ext cx="4170680" cy="2021205"/>
                    </a:xfrm>
                    <a:prstGeom prst="rect">
                      <a:avLst/>
                    </a:prstGeom>
                    <a:noFill/>
                    <a:ln>
                      <a:noFill/>
                    </a:ln>
                  </pic:spPr>
                </pic:pic>
              </a:graphicData>
            </a:graphic>
          </wp:inline>
        </w:drawing>
      </w:r>
    </w:p>
    <w:p>
      <w:pPr>
        <w:widowControl/>
        <w:spacing w:line="360" w:lineRule="auto"/>
        <w:jc w:val="center"/>
        <w:rPr>
          <w:rFonts w:ascii="Times New Roman" w:hAnsi="Times New Roman" w:eastAsia="仿宋_GB2312" w:cs="Times New Roman"/>
          <w:b/>
          <w:bCs/>
          <w:color w:val="auto"/>
        </w:rPr>
      </w:pPr>
      <w:r>
        <w:rPr>
          <w:rFonts w:ascii="Times New Roman" w:hAnsi="Times New Roman" w:eastAsia="仿宋_GB2312" w:cs="Times New Roman"/>
          <w:b/>
          <w:bCs/>
          <w:color w:val="auto"/>
        </w:rPr>
        <w:t>图</w:t>
      </w:r>
      <w:r>
        <w:rPr>
          <w:rFonts w:ascii="Times New Roman" w:hAnsi="Times New Roman" w:eastAsia="仿宋_GB2312" w:cs="Times New Roman"/>
          <w:b/>
          <w:color w:val="auto"/>
        </w:rPr>
        <w:t>5.</w:t>
      </w:r>
      <w:r>
        <w:rPr>
          <w:rFonts w:hint="eastAsia" w:ascii="Times New Roman" w:hAnsi="Times New Roman" w:eastAsia="仿宋_GB2312" w:cs="Times New Roman"/>
          <w:b/>
          <w:color w:val="auto"/>
        </w:rPr>
        <w:t>3-</w:t>
      </w:r>
      <w:r>
        <w:rPr>
          <w:rFonts w:hint="eastAsia" w:ascii="Times New Roman" w:hAnsi="Times New Roman" w:eastAsia="仿宋_GB2312" w:cs="Times New Roman"/>
          <w:b/>
          <w:color w:val="auto"/>
          <w:lang w:val="en-US" w:eastAsia="zh-CN"/>
        </w:rPr>
        <w:t>6</w:t>
      </w:r>
      <w:r>
        <w:rPr>
          <w:rFonts w:hint="eastAsia" w:ascii="Times New Roman" w:hAnsi="Times New Roman" w:eastAsia="仿宋_GB2312" w:cs="Times New Roman"/>
          <w:b/>
          <w:color w:val="auto"/>
        </w:rPr>
        <w:t>：基坑沉沙池</w:t>
      </w:r>
      <w:r>
        <w:rPr>
          <w:rFonts w:ascii="Times New Roman" w:hAnsi="Times New Roman" w:eastAsia="仿宋_GB2312" w:cs="Times New Roman"/>
          <w:b/>
          <w:bCs/>
          <w:color w:val="auto"/>
        </w:rPr>
        <w:t>平面图（单位：mm）</w:t>
      </w:r>
    </w:p>
    <w:p>
      <w:pPr>
        <w:spacing w:line="360" w:lineRule="auto"/>
        <w:ind w:firstLine="480" w:firstLineChars="200"/>
        <w:rPr>
          <w:rFonts w:ascii="Times New Roman" w:hAnsi="Times New Roman" w:eastAsia="仿宋_GB2312" w:cs="Times New Roman"/>
          <w:color w:val="auto"/>
        </w:rPr>
      </w:pPr>
      <w:r>
        <w:rPr>
          <w:rFonts w:hint="eastAsia" w:ascii="Times New Roman" w:hAnsi="Times New Roman" w:eastAsia="仿宋_GB2312" w:cs="Times New Roman"/>
          <w:color w:val="auto"/>
        </w:rPr>
        <w:t>③临时排水沟</w:t>
      </w:r>
    </w:p>
    <w:p>
      <w:pPr>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rPr>
        <w:t>临时</w:t>
      </w:r>
      <w:r>
        <w:rPr>
          <w:rFonts w:hint="eastAsia" w:ascii="Times New Roman" w:hAnsi="Times New Roman" w:eastAsia="仿宋_GB2312" w:cs="Times New Roman"/>
          <w:color w:val="auto"/>
        </w:rPr>
        <w:t>排</w:t>
      </w:r>
      <w:r>
        <w:rPr>
          <w:rFonts w:ascii="Times New Roman" w:hAnsi="Times New Roman" w:eastAsia="仿宋_GB2312" w:cs="Times New Roman"/>
          <w:color w:val="auto"/>
        </w:rPr>
        <w:t>水沟采用土质结构，梯形断面，坡比为1:</w:t>
      </w:r>
      <w:r>
        <w:rPr>
          <w:rFonts w:hint="eastAsia" w:ascii="Times New Roman" w:hAnsi="Times New Roman" w:eastAsia="仿宋_GB2312" w:cs="Times New Roman"/>
          <w:color w:val="auto"/>
        </w:rPr>
        <w:t>1</w:t>
      </w:r>
      <w:r>
        <w:rPr>
          <w:rFonts w:ascii="Times New Roman" w:hAnsi="Times New Roman" w:eastAsia="仿宋_GB2312" w:cs="Times New Roman"/>
          <w:color w:val="auto"/>
        </w:rPr>
        <w:t>，底宽</w:t>
      </w:r>
      <w:r>
        <w:rPr>
          <w:rFonts w:hint="eastAsia" w:ascii="Times New Roman" w:hAnsi="Times New Roman" w:eastAsia="仿宋_GB2312" w:cs="Times New Roman"/>
          <w:color w:val="auto"/>
        </w:rPr>
        <w:t>2</w:t>
      </w:r>
      <w:r>
        <w:rPr>
          <w:rFonts w:ascii="Times New Roman" w:hAnsi="Times New Roman" w:eastAsia="仿宋_GB2312" w:cs="Times New Roman"/>
          <w:color w:val="auto"/>
        </w:rPr>
        <w:t>0cm、深</w:t>
      </w:r>
      <w:r>
        <w:rPr>
          <w:rFonts w:hint="eastAsia" w:ascii="Times New Roman" w:hAnsi="Times New Roman" w:eastAsia="仿宋_GB2312" w:cs="Times New Roman"/>
          <w:color w:val="auto"/>
        </w:rPr>
        <w:t>4</w:t>
      </w:r>
      <w:r>
        <w:rPr>
          <w:rFonts w:ascii="Times New Roman" w:hAnsi="Times New Roman" w:eastAsia="仿宋_GB2312" w:cs="Times New Roman"/>
          <w:color w:val="auto"/>
        </w:rPr>
        <w:t>0cm。土质临时排水沟</w:t>
      </w:r>
      <w:r>
        <w:rPr>
          <w:rFonts w:ascii="Times New Roman" w:hAnsi="Times New Roman" w:eastAsia="仿宋_GB2312" w:cs="Times New Roman"/>
          <w:bCs/>
          <w:color w:val="auto"/>
        </w:rPr>
        <w:t>设计参数及校核验算见</w:t>
      </w:r>
      <w:r>
        <w:rPr>
          <w:rFonts w:ascii="Times New Roman" w:hAnsi="Times New Roman" w:eastAsia="仿宋_GB2312" w:cs="Times New Roman"/>
          <w:color w:val="auto"/>
        </w:rPr>
        <w:t>表5.3-</w:t>
      </w:r>
      <w:r>
        <w:rPr>
          <w:rFonts w:hint="eastAsia" w:ascii="Times New Roman" w:hAnsi="Times New Roman" w:eastAsia="仿宋_GB2312" w:cs="Times New Roman"/>
          <w:color w:val="auto"/>
          <w:lang w:val="en-US" w:eastAsia="zh-CN"/>
        </w:rPr>
        <w:t>9</w:t>
      </w:r>
      <w:r>
        <w:rPr>
          <w:rFonts w:ascii="Times New Roman" w:hAnsi="Times New Roman" w:eastAsia="仿宋_GB2312" w:cs="Times New Roman"/>
          <w:color w:val="auto"/>
        </w:rPr>
        <w:t>，单位工程量见表5.3-1</w:t>
      </w:r>
      <w:r>
        <w:rPr>
          <w:rFonts w:hint="eastAsia" w:ascii="Times New Roman" w:hAnsi="Times New Roman" w:eastAsia="仿宋_GB2312" w:cs="Times New Roman"/>
          <w:color w:val="auto"/>
          <w:lang w:val="en-US" w:eastAsia="zh-CN"/>
        </w:rPr>
        <w:t>0</w:t>
      </w:r>
      <w:r>
        <w:rPr>
          <w:rFonts w:ascii="Times New Roman" w:hAnsi="Times New Roman" w:eastAsia="仿宋_GB2312" w:cs="Times New Roman"/>
          <w:color w:val="auto"/>
        </w:rPr>
        <w:t>，临时排水沟断面设计图5.3-</w:t>
      </w:r>
      <w:r>
        <w:rPr>
          <w:rFonts w:hint="eastAsia" w:ascii="Times New Roman" w:hAnsi="Times New Roman" w:eastAsia="仿宋_GB2312" w:cs="Times New Roman"/>
          <w:color w:val="auto"/>
          <w:lang w:val="en-US" w:eastAsia="zh-CN"/>
        </w:rPr>
        <w:t>7</w:t>
      </w:r>
      <w:r>
        <w:rPr>
          <w:rFonts w:ascii="Times New Roman" w:hAnsi="Times New Roman" w:eastAsia="仿宋_GB2312" w:cs="Times New Roman"/>
          <w:color w:val="auto"/>
        </w:rPr>
        <w:t>所示。</w:t>
      </w:r>
    </w:p>
    <w:p>
      <w:pPr>
        <w:spacing w:line="360" w:lineRule="auto"/>
        <w:jc w:val="center"/>
        <w:rPr>
          <w:rFonts w:ascii="Times New Roman" w:hAnsi="Times New Roman" w:eastAsia="仿宋_GB2312" w:cs="Times New Roman"/>
          <w:b/>
          <w:bCs/>
          <w:color w:val="auto"/>
        </w:rPr>
      </w:pPr>
      <w:r>
        <w:rPr>
          <w:rFonts w:ascii="Times New Roman" w:hAnsi="Times New Roman" w:eastAsia="仿宋_GB2312" w:cs="Times New Roman"/>
          <w:b/>
          <w:bCs/>
          <w:color w:val="auto"/>
        </w:rPr>
        <w:t>表5.3-</w:t>
      </w:r>
      <w:r>
        <w:rPr>
          <w:rFonts w:hint="eastAsia" w:ascii="Times New Roman" w:hAnsi="Times New Roman" w:eastAsia="仿宋_GB2312" w:cs="Times New Roman"/>
          <w:b/>
          <w:bCs/>
          <w:color w:val="auto"/>
          <w:lang w:val="en-US" w:eastAsia="zh-CN"/>
        </w:rPr>
        <w:t>9</w:t>
      </w:r>
      <w:r>
        <w:rPr>
          <w:rFonts w:ascii="Times New Roman" w:hAnsi="Times New Roman" w:eastAsia="仿宋_GB2312" w:cs="Times New Roman"/>
          <w:b/>
          <w:bCs/>
          <w:color w:val="auto"/>
        </w:rPr>
        <w:t>：临时排水沟设计参数及校核验算表</w:t>
      </w:r>
    </w:p>
    <w:tbl>
      <w:tblPr>
        <w:tblStyle w:val="37"/>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583"/>
        <w:gridCol w:w="724"/>
        <w:gridCol w:w="604"/>
        <w:gridCol w:w="844"/>
        <w:gridCol w:w="730"/>
        <w:gridCol w:w="710"/>
        <w:gridCol w:w="784"/>
        <w:gridCol w:w="669"/>
        <w:gridCol w:w="714"/>
        <w:gridCol w:w="974"/>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82" w:hRule="atLeast"/>
          <w:jc w:val="center"/>
        </w:trPr>
        <w:tc>
          <w:tcPr>
            <w:tcW w:w="949" w:type="pct"/>
            <w:vMerge w:val="restart"/>
            <w:tcMar>
              <w:top w:w="0" w:type="dxa"/>
              <w:left w:w="15" w:type="dxa"/>
              <w:bottom w:w="0" w:type="dxa"/>
              <w:right w:w="15" w:type="dxa"/>
            </w:tcMar>
            <w:vAlign w:val="center"/>
          </w:tcPr>
          <w:p>
            <w:pPr>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项目名称</w:t>
            </w:r>
          </w:p>
        </w:tc>
        <w:tc>
          <w:tcPr>
            <w:tcW w:w="1740" w:type="pct"/>
            <w:gridSpan w:val="4"/>
            <w:tcMar>
              <w:top w:w="0" w:type="dxa"/>
              <w:left w:w="15" w:type="dxa"/>
              <w:bottom w:w="0" w:type="dxa"/>
              <w:right w:w="15" w:type="dxa"/>
            </w:tcMar>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汇流计算</w:t>
            </w:r>
          </w:p>
        </w:tc>
        <w:tc>
          <w:tcPr>
            <w:tcW w:w="2309" w:type="pct"/>
            <w:gridSpan w:val="5"/>
            <w:tcMar>
              <w:top w:w="0" w:type="dxa"/>
              <w:left w:w="15" w:type="dxa"/>
              <w:bottom w:w="0" w:type="dxa"/>
              <w:right w:w="15" w:type="dxa"/>
            </w:tcMar>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过流能力验算</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9" w:hRule="atLeast"/>
          <w:jc w:val="center"/>
        </w:trPr>
        <w:tc>
          <w:tcPr>
            <w:tcW w:w="949" w:type="pct"/>
            <w:vMerge w:val="continue"/>
            <w:tcMar>
              <w:top w:w="0" w:type="dxa"/>
              <w:left w:w="15" w:type="dxa"/>
              <w:bottom w:w="0" w:type="dxa"/>
              <w:right w:w="15" w:type="dxa"/>
            </w:tcMar>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p>
        </w:tc>
        <w:tc>
          <w:tcPr>
            <w:tcW w:w="1740" w:type="pct"/>
            <w:gridSpan w:val="4"/>
            <w:tcMar>
              <w:top w:w="0" w:type="dxa"/>
              <w:left w:w="15" w:type="dxa"/>
              <w:bottom w:w="0" w:type="dxa"/>
              <w:right w:w="15" w:type="dxa"/>
            </w:tcMar>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Q</w:t>
            </w:r>
            <w:r>
              <w:rPr>
                <w:rFonts w:ascii="Times New Roman" w:hAnsi="Times New Roman" w:eastAsia="仿宋_GB2312" w:cs="Times New Roman"/>
                <w:color w:val="auto"/>
                <w:sz w:val="21"/>
                <w:szCs w:val="21"/>
                <w:vertAlign w:val="subscript"/>
              </w:rPr>
              <w:t>汇</w:t>
            </w:r>
            <w:r>
              <w:rPr>
                <w:rFonts w:ascii="Times New Roman" w:hAnsi="Times New Roman" w:eastAsia="仿宋_GB2312" w:cs="Times New Roman"/>
                <w:color w:val="auto"/>
                <w:sz w:val="21"/>
                <w:szCs w:val="21"/>
              </w:rPr>
              <w:t>=16.67kIF</w:t>
            </w:r>
          </w:p>
        </w:tc>
        <w:tc>
          <w:tcPr>
            <w:tcW w:w="2309" w:type="pct"/>
            <w:gridSpan w:val="5"/>
            <w:tcMar>
              <w:top w:w="0" w:type="dxa"/>
              <w:left w:w="15" w:type="dxa"/>
              <w:bottom w:w="0" w:type="dxa"/>
              <w:right w:w="15" w:type="dxa"/>
            </w:tcMar>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Q</w:t>
            </w:r>
            <w:r>
              <w:rPr>
                <w:rFonts w:ascii="Times New Roman" w:hAnsi="Times New Roman" w:eastAsia="仿宋_GB2312" w:cs="Times New Roman"/>
                <w:color w:val="auto"/>
                <w:sz w:val="21"/>
                <w:szCs w:val="21"/>
                <w:vertAlign w:val="subscript"/>
              </w:rPr>
              <w:t>验</w:t>
            </w:r>
            <w:r>
              <w:rPr>
                <w:rFonts w:ascii="Times New Roman" w:hAnsi="Times New Roman" w:eastAsia="仿宋_GB2312" w:cs="Times New Roman"/>
                <w:color w:val="auto"/>
                <w:sz w:val="21"/>
                <w:szCs w:val="21"/>
              </w:rPr>
              <w:t>= 1/n·A·R</w:t>
            </w:r>
            <w:r>
              <w:rPr>
                <w:rFonts w:ascii="Times New Roman" w:hAnsi="Times New Roman" w:eastAsia="仿宋_GB2312" w:cs="Times New Roman"/>
                <w:color w:val="auto"/>
                <w:sz w:val="21"/>
                <w:szCs w:val="21"/>
                <w:vertAlign w:val="superscript"/>
              </w:rPr>
              <w:t>2/3</w:t>
            </w:r>
            <w:r>
              <w:rPr>
                <w:rFonts w:ascii="Times New Roman" w:hAnsi="Times New Roman" w:eastAsia="仿宋_GB2312" w:cs="Times New Roman"/>
                <w:color w:val="auto"/>
                <w:sz w:val="21"/>
                <w:szCs w:val="21"/>
              </w:rPr>
              <w:t>·i</w:t>
            </w:r>
            <w:r>
              <w:rPr>
                <w:rFonts w:ascii="Times New Roman" w:hAnsi="Times New Roman" w:eastAsia="仿宋_GB2312" w:cs="Times New Roman"/>
                <w:color w:val="auto"/>
                <w:sz w:val="21"/>
                <w:szCs w:val="21"/>
                <w:vertAlign w:val="superscript"/>
              </w:rPr>
              <w:t>1/2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0" w:type="auto"/>
            <w:vMerge w:val="continue"/>
            <w:vAlign w:val="center"/>
          </w:tcPr>
          <w:p>
            <w:pPr>
              <w:widowControl/>
              <w:spacing w:line="240" w:lineRule="atLeast"/>
              <w:jc w:val="left"/>
              <w:rPr>
                <w:rFonts w:ascii="Times New Roman" w:hAnsi="Times New Roman" w:eastAsia="仿宋_GB2312" w:cs="Times New Roman"/>
                <w:color w:val="auto"/>
                <w:sz w:val="21"/>
                <w:szCs w:val="21"/>
              </w:rPr>
            </w:pPr>
          </w:p>
        </w:tc>
        <w:tc>
          <w:tcPr>
            <w:tcW w:w="434" w:type="pct"/>
            <w:tcMar>
              <w:top w:w="0" w:type="dxa"/>
              <w:left w:w="15" w:type="dxa"/>
              <w:bottom w:w="0" w:type="dxa"/>
              <w:right w:w="15" w:type="dxa"/>
            </w:tcMar>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K</w:t>
            </w:r>
          </w:p>
        </w:tc>
        <w:tc>
          <w:tcPr>
            <w:tcW w:w="362" w:type="pct"/>
            <w:tcMar>
              <w:top w:w="0" w:type="dxa"/>
              <w:left w:w="15" w:type="dxa"/>
              <w:bottom w:w="0" w:type="dxa"/>
              <w:right w:w="15" w:type="dxa"/>
            </w:tcMar>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I</w:t>
            </w:r>
          </w:p>
        </w:tc>
        <w:tc>
          <w:tcPr>
            <w:tcW w:w="506" w:type="pct"/>
            <w:tcMar>
              <w:top w:w="0" w:type="dxa"/>
              <w:left w:w="15" w:type="dxa"/>
              <w:bottom w:w="0" w:type="dxa"/>
              <w:right w:w="15" w:type="dxa"/>
            </w:tcMar>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F</w:t>
            </w:r>
          </w:p>
        </w:tc>
        <w:tc>
          <w:tcPr>
            <w:tcW w:w="437" w:type="pct"/>
            <w:tcMar>
              <w:top w:w="0" w:type="dxa"/>
              <w:left w:w="15" w:type="dxa"/>
              <w:bottom w:w="0" w:type="dxa"/>
              <w:right w:w="15" w:type="dxa"/>
            </w:tcMar>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Q</w:t>
            </w:r>
          </w:p>
        </w:tc>
        <w:tc>
          <w:tcPr>
            <w:tcW w:w="426" w:type="pct"/>
            <w:tcMar>
              <w:top w:w="0" w:type="dxa"/>
              <w:left w:w="15" w:type="dxa"/>
              <w:bottom w:w="0" w:type="dxa"/>
              <w:right w:w="15" w:type="dxa"/>
            </w:tcMar>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i</w:t>
            </w:r>
          </w:p>
        </w:tc>
        <w:tc>
          <w:tcPr>
            <w:tcW w:w="470" w:type="pct"/>
            <w:tcMar>
              <w:top w:w="0" w:type="dxa"/>
              <w:left w:w="15" w:type="dxa"/>
              <w:bottom w:w="0" w:type="dxa"/>
              <w:right w:w="15" w:type="dxa"/>
            </w:tcMar>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n</w:t>
            </w:r>
          </w:p>
        </w:tc>
        <w:tc>
          <w:tcPr>
            <w:tcW w:w="401" w:type="pct"/>
            <w:tcMar>
              <w:top w:w="0" w:type="dxa"/>
              <w:left w:w="15" w:type="dxa"/>
              <w:bottom w:w="0" w:type="dxa"/>
              <w:right w:w="15" w:type="dxa"/>
            </w:tcMar>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b</w:t>
            </w:r>
          </w:p>
        </w:tc>
        <w:tc>
          <w:tcPr>
            <w:tcW w:w="428" w:type="pct"/>
            <w:tcMar>
              <w:top w:w="0" w:type="dxa"/>
              <w:left w:w="15" w:type="dxa"/>
              <w:bottom w:w="0" w:type="dxa"/>
              <w:right w:w="15" w:type="dxa"/>
            </w:tcMar>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w:t>
            </w:r>
          </w:p>
        </w:tc>
        <w:tc>
          <w:tcPr>
            <w:tcW w:w="583" w:type="pct"/>
            <w:tcMar>
              <w:top w:w="0" w:type="dxa"/>
              <w:left w:w="15" w:type="dxa"/>
              <w:bottom w:w="0" w:type="dxa"/>
              <w:right w:w="15" w:type="dxa"/>
            </w:tcMar>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Q</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22" w:hRule="atLeast"/>
          <w:jc w:val="center"/>
        </w:trPr>
        <w:tc>
          <w:tcPr>
            <w:tcW w:w="949" w:type="pct"/>
            <w:tcMar>
              <w:top w:w="0" w:type="dxa"/>
              <w:left w:w="15" w:type="dxa"/>
              <w:bottom w:w="0" w:type="dxa"/>
              <w:right w:w="15" w:type="dxa"/>
            </w:tcMar>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临时排水沟</w:t>
            </w:r>
          </w:p>
        </w:tc>
        <w:tc>
          <w:tcPr>
            <w:tcW w:w="724" w:type="dxa"/>
            <w:tcMar>
              <w:top w:w="0" w:type="dxa"/>
              <w:left w:w="15" w:type="dxa"/>
              <w:bottom w:w="0" w:type="dxa"/>
              <w:right w:w="15" w:type="dxa"/>
            </w:tcMar>
            <w:vAlign w:val="center"/>
          </w:tcPr>
          <w:p>
            <w:pPr>
              <w:spacing w:line="240" w:lineRule="atLeas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0.4</w:t>
            </w:r>
          </w:p>
        </w:tc>
        <w:tc>
          <w:tcPr>
            <w:tcW w:w="604" w:type="dxa"/>
            <w:tcMar>
              <w:top w:w="0" w:type="dxa"/>
              <w:left w:w="15" w:type="dxa"/>
              <w:bottom w:w="0" w:type="dxa"/>
              <w:right w:w="15" w:type="dxa"/>
            </w:tcMar>
            <w:vAlign w:val="center"/>
          </w:tcPr>
          <w:p>
            <w:pPr>
              <w:spacing w:line="240" w:lineRule="atLeast"/>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2.04</w:t>
            </w:r>
          </w:p>
        </w:tc>
        <w:tc>
          <w:tcPr>
            <w:tcW w:w="844" w:type="dxa"/>
            <w:tcMar>
              <w:top w:w="0" w:type="dxa"/>
              <w:left w:w="15" w:type="dxa"/>
              <w:bottom w:w="0" w:type="dxa"/>
              <w:right w:w="15" w:type="dxa"/>
            </w:tcMar>
            <w:vAlign w:val="center"/>
          </w:tcPr>
          <w:p>
            <w:pPr>
              <w:spacing w:line="240" w:lineRule="atLeas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0.0</w:t>
            </w:r>
            <w:r>
              <w:rPr>
                <w:rFonts w:hint="eastAsia" w:ascii="Times New Roman" w:hAnsi="Times New Roman" w:eastAsia="仿宋_GB2312" w:cs="Times New Roman"/>
                <w:color w:val="auto"/>
                <w:kern w:val="0"/>
                <w:sz w:val="21"/>
                <w:szCs w:val="21"/>
              </w:rPr>
              <w:t>036</w:t>
            </w:r>
          </w:p>
        </w:tc>
        <w:tc>
          <w:tcPr>
            <w:tcW w:w="730" w:type="dxa"/>
            <w:tcMar>
              <w:top w:w="0" w:type="dxa"/>
              <w:left w:w="15" w:type="dxa"/>
              <w:bottom w:w="0" w:type="dxa"/>
              <w:right w:w="15" w:type="dxa"/>
            </w:tcMar>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0.</w:t>
            </w:r>
            <w:r>
              <w:rPr>
                <w:rFonts w:hint="eastAsia" w:ascii="Times New Roman" w:hAnsi="Times New Roman" w:eastAsia="仿宋_GB2312" w:cs="Times New Roman"/>
                <w:color w:val="auto"/>
                <w:kern w:val="0"/>
                <w:sz w:val="21"/>
                <w:szCs w:val="21"/>
              </w:rPr>
              <w:t>049</w:t>
            </w:r>
          </w:p>
        </w:tc>
        <w:tc>
          <w:tcPr>
            <w:tcW w:w="710" w:type="dxa"/>
            <w:tcMar>
              <w:top w:w="0" w:type="dxa"/>
              <w:left w:w="15" w:type="dxa"/>
              <w:bottom w:w="0" w:type="dxa"/>
              <w:right w:w="15" w:type="dxa"/>
            </w:tcMar>
            <w:vAlign w:val="center"/>
          </w:tcPr>
          <w:p>
            <w:pPr>
              <w:spacing w:line="240" w:lineRule="atLeas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0.</w:t>
            </w:r>
            <w:r>
              <w:rPr>
                <w:rFonts w:hint="eastAsia" w:ascii="Times New Roman" w:hAnsi="Times New Roman" w:eastAsia="仿宋_GB2312" w:cs="Times New Roman"/>
                <w:color w:val="auto"/>
                <w:kern w:val="0"/>
                <w:sz w:val="21"/>
                <w:szCs w:val="21"/>
              </w:rPr>
              <w:t>004</w:t>
            </w:r>
          </w:p>
        </w:tc>
        <w:tc>
          <w:tcPr>
            <w:tcW w:w="784" w:type="dxa"/>
            <w:tcMar>
              <w:top w:w="0" w:type="dxa"/>
              <w:left w:w="15" w:type="dxa"/>
              <w:bottom w:w="0" w:type="dxa"/>
              <w:right w:w="15" w:type="dxa"/>
            </w:tcMar>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0.0</w:t>
            </w:r>
            <w:r>
              <w:rPr>
                <w:rFonts w:hint="eastAsia" w:ascii="Times New Roman" w:hAnsi="Times New Roman" w:eastAsia="仿宋_GB2312" w:cs="Times New Roman"/>
                <w:color w:val="auto"/>
                <w:kern w:val="0"/>
                <w:sz w:val="21"/>
                <w:szCs w:val="21"/>
              </w:rPr>
              <w:t>5</w:t>
            </w:r>
          </w:p>
        </w:tc>
        <w:tc>
          <w:tcPr>
            <w:tcW w:w="669" w:type="dxa"/>
            <w:tcMar>
              <w:top w:w="0" w:type="dxa"/>
              <w:left w:w="15" w:type="dxa"/>
              <w:bottom w:w="0" w:type="dxa"/>
              <w:right w:w="15" w:type="dxa"/>
            </w:tcMar>
            <w:vAlign w:val="center"/>
          </w:tcPr>
          <w:p>
            <w:pPr>
              <w:spacing w:line="240" w:lineRule="atLeas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0.20</w:t>
            </w:r>
          </w:p>
        </w:tc>
        <w:tc>
          <w:tcPr>
            <w:tcW w:w="714" w:type="dxa"/>
            <w:tcMar>
              <w:top w:w="0" w:type="dxa"/>
              <w:left w:w="15" w:type="dxa"/>
              <w:bottom w:w="0" w:type="dxa"/>
              <w:right w:w="15" w:type="dxa"/>
            </w:tcMar>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0.20</w:t>
            </w:r>
          </w:p>
        </w:tc>
        <w:tc>
          <w:tcPr>
            <w:tcW w:w="974" w:type="dxa"/>
            <w:tcMar>
              <w:top w:w="0" w:type="dxa"/>
              <w:left w:w="15" w:type="dxa"/>
              <w:bottom w:w="0" w:type="dxa"/>
              <w:right w:w="15" w:type="dxa"/>
            </w:tcMar>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0.</w:t>
            </w:r>
            <w:r>
              <w:rPr>
                <w:rFonts w:hint="eastAsia" w:ascii="Times New Roman" w:hAnsi="Times New Roman" w:eastAsia="仿宋_GB2312" w:cs="Times New Roman"/>
                <w:color w:val="auto"/>
                <w:kern w:val="0"/>
                <w:sz w:val="21"/>
                <w:szCs w:val="21"/>
              </w:rPr>
              <w:t>056</w:t>
            </w:r>
          </w:p>
        </w:tc>
      </w:tr>
    </w:tbl>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i/>
          <w:iCs/>
          <w:color w:val="auto"/>
          <w:szCs w:val="24"/>
        </w:rPr>
        <w:t>Q</w:t>
      </w:r>
      <w:r>
        <w:rPr>
          <w:rFonts w:ascii="Times New Roman" w:hAnsi="Times New Roman" w:eastAsia="仿宋_GB2312" w:cs="Times New Roman"/>
          <w:color w:val="auto"/>
          <w:szCs w:val="24"/>
          <w:vertAlign w:val="subscript"/>
        </w:rPr>
        <w:t>验</w:t>
      </w:r>
      <w:r>
        <w:rPr>
          <w:rFonts w:ascii="Times New Roman" w:hAnsi="Times New Roman" w:eastAsia="仿宋_GB2312" w:cs="Times New Roman"/>
          <w:color w:val="auto"/>
          <w:szCs w:val="24"/>
        </w:rPr>
        <w:t>=0.</w:t>
      </w:r>
      <w:r>
        <w:rPr>
          <w:rFonts w:hint="eastAsia" w:ascii="Times New Roman" w:hAnsi="Times New Roman" w:eastAsia="仿宋_GB2312" w:cs="Times New Roman"/>
          <w:color w:val="auto"/>
          <w:szCs w:val="24"/>
        </w:rPr>
        <w:t>056</w:t>
      </w:r>
      <w:r>
        <w:rPr>
          <w:rFonts w:ascii="Times New Roman" w:hAnsi="Times New Roman" w:eastAsia="仿宋_GB2312" w:cs="Times New Roman"/>
          <w:color w:val="auto"/>
          <w:szCs w:val="24"/>
        </w:rPr>
        <w:t>m</w:t>
      </w:r>
      <w:r>
        <w:rPr>
          <w:rFonts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/s&gt;</w:t>
      </w:r>
      <w:r>
        <w:rPr>
          <w:rFonts w:ascii="Times New Roman" w:hAnsi="Times New Roman" w:eastAsia="仿宋_GB2312" w:cs="Times New Roman"/>
          <w:i/>
          <w:iCs/>
          <w:color w:val="auto"/>
          <w:szCs w:val="24"/>
        </w:rPr>
        <w:t>Q</w:t>
      </w:r>
      <w:r>
        <w:rPr>
          <w:rFonts w:ascii="Times New Roman" w:hAnsi="Times New Roman" w:eastAsia="仿宋_GB2312" w:cs="Times New Roman"/>
          <w:color w:val="auto"/>
          <w:szCs w:val="24"/>
          <w:vertAlign w:val="subscript"/>
        </w:rPr>
        <w:t>汇</w:t>
      </w:r>
      <w:r>
        <w:rPr>
          <w:rFonts w:ascii="Times New Roman" w:hAnsi="Times New Roman" w:eastAsia="仿宋_GB2312" w:cs="Times New Roman"/>
          <w:color w:val="auto"/>
          <w:szCs w:val="24"/>
        </w:rPr>
        <w:t>=0.</w:t>
      </w:r>
      <w:r>
        <w:rPr>
          <w:rFonts w:hint="eastAsia" w:ascii="Times New Roman" w:hAnsi="Times New Roman" w:eastAsia="仿宋_GB2312" w:cs="Times New Roman"/>
          <w:color w:val="auto"/>
          <w:szCs w:val="24"/>
        </w:rPr>
        <w:t>049</w:t>
      </w:r>
      <w:r>
        <w:rPr>
          <w:rFonts w:ascii="Times New Roman" w:hAnsi="Times New Roman" w:eastAsia="仿宋_GB2312" w:cs="Times New Roman"/>
          <w:color w:val="auto"/>
          <w:szCs w:val="24"/>
        </w:rPr>
        <w:t>m</w:t>
      </w:r>
      <w:r>
        <w:rPr>
          <w:rFonts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/s，</w:t>
      </w:r>
      <w:r>
        <w:rPr>
          <w:rFonts w:hint="eastAsia" w:ascii="Times New Roman" w:hAnsi="Times New Roman" w:eastAsia="仿宋_GB2312" w:cs="Times New Roman"/>
          <w:color w:val="auto"/>
          <w:szCs w:val="24"/>
        </w:rPr>
        <w:t>排</w:t>
      </w:r>
      <w:r>
        <w:rPr>
          <w:rFonts w:ascii="Times New Roman" w:hAnsi="Times New Roman" w:eastAsia="仿宋_GB2312" w:cs="Times New Roman"/>
          <w:color w:val="auto"/>
          <w:szCs w:val="24"/>
        </w:rPr>
        <w:t>水沟断面符合要求。</w:t>
      </w:r>
    </w:p>
    <w:p>
      <w:pPr>
        <w:spacing w:line="360" w:lineRule="auto"/>
        <w:jc w:val="center"/>
        <w:rPr>
          <w:rFonts w:ascii="Times New Roman" w:hAnsi="Times New Roman" w:eastAsia="仿宋_GB2312" w:cs="Times New Roman"/>
          <w:b/>
          <w:color w:val="auto"/>
        </w:rPr>
      </w:pPr>
      <w:r>
        <w:rPr>
          <w:rFonts w:ascii="Times New Roman" w:hAnsi="Times New Roman" w:eastAsia="仿宋_GB2312" w:cs="Times New Roman"/>
          <w:b/>
          <w:color w:val="auto"/>
        </w:rPr>
        <w:t>表5.3-1</w:t>
      </w:r>
      <w:r>
        <w:rPr>
          <w:rFonts w:hint="eastAsia" w:ascii="Times New Roman" w:hAnsi="Times New Roman" w:eastAsia="仿宋_GB2312" w:cs="Times New Roman"/>
          <w:b/>
          <w:color w:val="auto"/>
          <w:lang w:val="en-US" w:eastAsia="zh-CN"/>
        </w:rPr>
        <w:t>0</w:t>
      </w:r>
      <w:r>
        <w:rPr>
          <w:rFonts w:ascii="Times New Roman" w:hAnsi="Times New Roman" w:eastAsia="仿宋_GB2312" w:cs="Times New Roman"/>
          <w:b/>
          <w:color w:val="auto"/>
        </w:rPr>
        <w:t>：临时排水沟单位工程量表</w:t>
      </w:r>
    </w:p>
    <w:tbl>
      <w:tblPr>
        <w:tblStyle w:val="37"/>
        <w:tblW w:w="8435"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558"/>
        <w:gridCol w:w="989"/>
        <w:gridCol w:w="992"/>
        <w:gridCol w:w="896"/>
        <w:gridCol w:w="851"/>
        <w:gridCol w:w="927"/>
        <w:gridCol w:w="1082"/>
        <w:gridCol w:w="114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09" w:hRule="atLeast"/>
          <w:jc w:val="center"/>
        </w:trPr>
        <w:tc>
          <w:tcPr>
            <w:tcW w:w="1558" w:type="dxa"/>
            <w:vMerge w:val="restart"/>
            <w:tcMar>
              <w:top w:w="0" w:type="dxa"/>
              <w:left w:w="15" w:type="dxa"/>
              <w:bottom w:w="0" w:type="dxa"/>
              <w:right w:w="15" w:type="dxa"/>
            </w:tcMar>
            <w:vAlign w:val="center"/>
          </w:tcPr>
          <w:p>
            <w:pPr>
              <w:widowControl/>
              <w:adjustRightInd w:val="0"/>
              <w:snapToGrid w:val="0"/>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项目名称</w:t>
            </w:r>
          </w:p>
        </w:tc>
        <w:tc>
          <w:tcPr>
            <w:tcW w:w="4655" w:type="dxa"/>
            <w:gridSpan w:val="5"/>
            <w:tcMar>
              <w:top w:w="0" w:type="dxa"/>
              <w:left w:w="15" w:type="dxa"/>
              <w:bottom w:w="0" w:type="dxa"/>
              <w:right w:w="15" w:type="dxa"/>
            </w:tcMar>
            <w:vAlign w:val="center"/>
          </w:tcPr>
          <w:p>
            <w:pPr>
              <w:widowControl/>
              <w:adjustRightInd w:val="0"/>
              <w:snapToGrid w:val="0"/>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断面尺寸</w:t>
            </w:r>
          </w:p>
        </w:tc>
        <w:tc>
          <w:tcPr>
            <w:tcW w:w="2222" w:type="dxa"/>
            <w:gridSpan w:val="2"/>
            <w:tcMar>
              <w:top w:w="0" w:type="dxa"/>
              <w:left w:w="15" w:type="dxa"/>
              <w:bottom w:w="0" w:type="dxa"/>
              <w:right w:w="15" w:type="dxa"/>
            </w:tcMar>
            <w:vAlign w:val="center"/>
          </w:tcPr>
          <w:p>
            <w:pPr>
              <w:widowControl/>
              <w:adjustRightInd w:val="0"/>
              <w:snapToGrid w:val="0"/>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单位工程量</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25" w:hRule="atLeast"/>
          <w:jc w:val="center"/>
        </w:trPr>
        <w:tc>
          <w:tcPr>
            <w:tcW w:w="1558" w:type="dxa"/>
            <w:vMerge w:val="continue"/>
            <w:vAlign w:val="center"/>
          </w:tcPr>
          <w:p>
            <w:pPr>
              <w:widowControl/>
              <w:spacing w:line="240" w:lineRule="atLeast"/>
              <w:jc w:val="center"/>
              <w:rPr>
                <w:rFonts w:ascii="Times New Roman" w:hAnsi="Times New Roman" w:eastAsia="仿宋_GB2312" w:cs="Times New Roman"/>
                <w:b/>
                <w:color w:val="auto"/>
                <w:sz w:val="21"/>
                <w:szCs w:val="21"/>
              </w:rPr>
            </w:pPr>
          </w:p>
        </w:tc>
        <w:tc>
          <w:tcPr>
            <w:tcW w:w="989" w:type="dxa"/>
            <w:tcMar>
              <w:top w:w="0" w:type="dxa"/>
              <w:left w:w="15" w:type="dxa"/>
              <w:bottom w:w="0" w:type="dxa"/>
              <w:right w:w="15" w:type="dxa"/>
            </w:tcMar>
            <w:vAlign w:val="center"/>
          </w:tcPr>
          <w:p>
            <w:pPr>
              <w:adjustRightInd w:val="0"/>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断面形式</w:t>
            </w:r>
          </w:p>
        </w:tc>
        <w:tc>
          <w:tcPr>
            <w:tcW w:w="992" w:type="dxa"/>
            <w:tcMar>
              <w:top w:w="0" w:type="dxa"/>
              <w:left w:w="15" w:type="dxa"/>
              <w:bottom w:w="0" w:type="dxa"/>
              <w:right w:w="15" w:type="dxa"/>
            </w:tcMar>
            <w:vAlign w:val="center"/>
          </w:tcPr>
          <w:p>
            <w:pPr>
              <w:adjustRightInd w:val="0"/>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沟深（h）（m）</w:t>
            </w:r>
          </w:p>
        </w:tc>
        <w:tc>
          <w:tcPr>
            <w:tcW w:w="896" w:type="dxa"/>
            <w:tcMar>
              <w:top w:w="0" w:type="dxa"/>
              <w:left w:w="15" w:type="dxa"/>
              <w:bottom w:w="0" w:type="dxa"/>
              <w:right w:w="15" w:type="dxa"/>
            </w:tcMar>
            <w:vAlign w:val="center"/>
          </w:tcPr>
          <w:p>
            <w:pPr>
              <w:adjustRightInd w:val="0"/>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沟宽（b）（m）</w:t>
            </w:r>
          </w:p>
        </w:tc>
        <w:tc>
          <w:tcPr>
            <w:tcW w:w="851" w:type="dxa"/>
            <w:tcMar>
              <w:top w:w="0" w:type="dxa"/>
              <w:left w:w="15" w:type="dxa"/>
              <w:bottom w:w="0" w:type="dxa"/>
              <w:right w:w="15" w:type="dxa"/>
            </w:tcMar>
            <w:vAlign w:val="center"/>
          </w:tcPr>
          <w:p>
            <w:pPr>
              <w:adjustRightInd w:val="0"/>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坡比</w:t>
            </w:r>
          </w:p>
        </w:tc>
        <w:tc>
          <w:tcPr>
            <w:tcW w:w="927" w:type="dxa"/>
            <w:tcMar>
              <w:top w:w="0" w:type="dxa"/>
              <w:left w:w="15" w:type="dxa"/>
              <w:bottom w:w="0" w:type="dxa"/>
              <w:right w:w="15" w:type="dxa"/>
            </w:tcMar>
            <w:vAlign w:val="center"/>
          </w:tcPr>
          <w:p>
            <w:pPr>
              <w:adjustRightInd w:val="0"/>
              <w:spacing w:line="240" w:lineRule="atLeast"/>
              <w:jc w:val="center"/>
              <w:rPr>
                <w:rFonts w:ascii="Times New Roman" w:hAnsi="Times New Roman" w:eastAsia="仿宋_GB2312" w:cs="Times New Roman"/>
                <w:b/>
                <w:color w:val="auto"/>
                <w:sz w:val="21"/>
                <w:szCs w:val="21"/>
              </w:rPr>
            </w:pPr>
            <w:r>
              <w:rPr>
                <w:rFonts w:ascii="Times New Roman" w:hAnsi="Times New Roman" w:eastAsia="仿宋_GB2312" w:cs="Times New Roman"/>
                <w:b/>
                <w:color w:val="auto"/>
                <w:sz w:val="21"/>
                <w:szCs w:val="21"/>
              </w:rPr>
              <w:t>安全超高</w:t>
            </w:r>
            <w:r>
              <w:rPr>
                <w:rFonts w:hint="eastAsia" w:ascii="Times New Roman" w:hAnsi="Times New Roman" w:eastAsia="仿宋_GB2312" w:cs="Times New Roman"/>
                <w:b/>
                <w:color w:val="auto"/>
                <w:sz w:val="21"/>
                <w:szCs w:val="21"/>
              </w:rPr>
              <w:t>（m）</w:t>
            </w:r>
          </w:p>
        </w:tc>
        <w:tc>
          <w:tcPr>
            <w:tcW w:w="1082" w:type="dxa"/>
            <w:tcMar>
              <w:top w:w="0" w:type="dxa"/>
              <w:left w:w="15" w:type="dxa"/>
              <w:bottom w:w="0" w:type="dxa"/>
              <w:right w:w="15" w:type="dxa"/>
            </w:tcMar>
            <w:vAlign w:val="center"/>
          </w:tcPr>
          <w:p>
            <w:pPr>
              <w:adjustRightInd w:val="0"/>
              <w:spacing w:line="240" w:lineRule="atLeast"/>
              <w:jc w:val="center"/>
              <w:rPr>
                <w:rFonts w:ascii="Times New Roman" w:hAnsi="Times New Roman" w:eastAsia="仿宋_GB2312" w:cs="Times New Roman"/>
                <w:b/>
                <w:color w:val="auto"/>
                <w:sz w:val="21"/>
                <w:szCs w:val="21"/>
              </w:rPr>
            </w:pPr>
            <w:r>
              <w:rPr>
                <w:rFonts w:hint="eastAsia" w:ascii="Times New Roman" w:hAnsi="Times New Roman" w:eastAsia="仿宋_GB2312" w:cs="Times New Roman"/>
                <w:b/>
                <w:color w:val="auto"/>
                <w:sz w:val="21"/>
                <w:szCs w:val="21"/>
              </w:rPr>
              <w:t>土石方</w:t>
            </w:r>
            <w:r>
              <w:rPr>
                <w:rFonts w:ascii="Times New Roman" w:hAnsi="Times New Roman" w:eastAsia="仿宋_GB2312" w:cs="Times New Roman"/>
                <w:b/>
                <w:color w:val="auto"/>
                <w:sz w:val="21"/>
                <w:szCs w:val="21"/>
              </w:rPr>
              <w:t>开挖（m</w:t>
            </w:r>
            <w:r>
              <w:rPr>
                <w:rFonts w:ascii="Times New Roman" w:hAnsi="Times New Roman" w:eastAsia="仿宋_GB2312" w:cs="Times New Roman"/>
                <w:b/>
                <w:color w:val="auto"/>
                <w:sz w:val="21"/>
                <w:szCs w:val="21"/>
                <w:vertAlign w:val="superscript"/>
              </w:rPr>
              <w:t>3</w:t>
            </w:r>
            <w:r>
              <w:rPr>
                <w:rFonts w:ascii="Times New Roman" w:hAnsi="Times New Roman" w:eastAsia="仿宋_GB2312" w:cs="Times New Roman"/>
                <w:b/>
                <w:color w:val="auto"/>
                <w:sz w:val="21"/>
                <w:szCs w:val="21"/>
              </w:rPr>
              <w:t>/m）</w:t>
            </w:r>
          </w:p>
        </w:tc>
        <w:tc>
          <w:tcPr>
            <w:tcW w:w="1140" w:type="dxa"/>
            <w:tcMar>
              <w:top w:w="0" w:type="dxa"/>
              <w:left w:w="15" w:type="dxa"/>
              <w:bottom w:w="0" w:type="dxa"/>
              <w:right w:w="15" w:type="dxa"/>
            </w:tcMar>
            <w:vAlign w:val="center"/>
          </w:tcPr>
          <w:p>
            <w:pPr>
              <w:adjustRightInd w:val="0"/>
              <w:spacing w:line="240" w:lineRule="atLeast"/>
              <w:jc w:val="center"/>
              <w:rPr>
                <w:rFonts w:ascii="Times New Roman" w:hAnsi="Times New Roman" w:eastAsia="仿宋_GB2312" w:cs="Times New Roman"/>
                <w:b/>
                <w:color w:val="auto"/>
                <w:sz w:val="21"/>
                <w:szCs w:val="21"/>
              </w:rPr>
            </w:pPr>
            <w:r>
              <w:rPr>
                <w:rFonts w:hint="eastAsia" w:ascii="Times New Roman" w:hAnsi="Times New Roman" w:eastAsia="仿宋_GB2312" w:cs="Times New Roman"/>
                <w:b/>
                <w:color w:val="auto"/>
                <w:sz w:val="21"/>
                <w:szCs w:val="21"/>
              </w:rPr>
              <w:t>土石方</w:t>
            </w:r>
            <w:r>
              <w:rPr>
                <w:rFonts w:ascii="Times New Roman" w:hAnsi="Times New Roman" w:eastAsia="仿宋_GB2312" w:cs="Times New Roman"/>
                <w:b/>
                <w:color w:val="auto"/>
                <w:sz w:val="21"/>
                <w:szCs w:val="21"/>
              </w:rPr>
              <w:t>回填（m</w:t>
            </w:r>
            <w:r>
              <w:rPr>
                <w:rFonts w:ascii="Times New Roman" w:hAnsi="Times New Roman" w:eastAsia="仿宋_GB2312" w:cs="Times New Roman"/>
                <w:b/>
                <w:color w:val="auto"/>
                <w:sz w:val="21"/>
                <w:szCs w:val="21"/>
                <w:vertAlign w:val="superscript"/>
              </w:rPr>
              <w:t>3</w:t>
            </w:r>
            <w:r>
              <w:rPr>
                <w:rFonts w:ascii="Times New Roman" w:hAnsi="Times New Roman" w:eastAsia="仿宋_GB2312" w:cs="Times New Roman"/>
                <w:b/>
                <w:color w:val="auto"/>
                <w:sz w:val="21"/>
                <w:szCs w:val="21"/>
              </w:rPr>
              <w:t>/m）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67" w:hRule="atLeast"/>
          <w:jc w:val="center"/>
        </w:trPr>
        <w:tc>
          <w:tcPr>
            <w:tcW w:w="1558" w:type="dxa"/>
            <w:tcMar>
              <w:top w:w="0" w:type="dxa"/>
              <w:left w:w="15" w:type="dxa"/>
              <w:bottom w:w="0" w:type="dxa"/>
              <w:right w:w="15" w:type="dxa"/>
            </w:tcMar>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临时排水沟</w:t>
            </w:r>
          </w:p>
        </w:tc>
        <w:tc>
          <w:tcPr>
            <w:tcW w:w="989" w:type="dxa"/>
            <w:tcMar>
              <w:top w:w="0" w:type="dxa"/>
              <w:left w:w="15" w:type="dxa"/>
              <w:bottom w:w="0" w:type="dxa"/>
              <w:right w:w="15" w:type="dxa"/>
            </w:tcMar>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梯形</w:t>
            </w:r>
          </w:p>
        </w:tc>
        <w:tc>
          <w:tcPr>
            <w:tcW w:w="992" w:type="dxa"/>
            <w:tcMar>
              <w:top w:w="0" w:type="dxa"/>
              <w:left w:w="15" w:type="dxa"/>
              <w:bottom w:w="0" w:type="dxa"/>
              <w:right w:w="15" w:type="dxa"/>
            </w:tcMar>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w:t>
            </w:r>
            <w:r>
              <w:rPr>
                <w:rFonts w:hint="eastAsia" w:ascii="Times New Roman" w:hAnsi="Times New Roman" w:eastAsia="仿宋_GB2312" w:cs="Times New Roman"/>
                <w:color w:val="auto"/>
                <w:sz w:val="21"/>
                <w:szCs w:val="21"/>
                <w:lang w:val="en-US" w:eastAsia="zh-CN"/>
              </w:rPr>
              <w:t>4</w:t>
            </w:r>
            <w:r>
              <w:rPr>
                <w:rFonts w:hint="eastAsia" w:ascii="Times New Roman" w:hAnsi="Times New Roman" w:eastAsia="仿宋_GB2312" w:cs="Times New Roman"/>
                <w:color w:val="auto"/>
                <w:sz w:val="21"/>
                <w:szCs w:val="21"/>
              </w:rPr>
              <w:t>0</w:t>
            </w:r>
          </w:p>
        </w:tc>
        <w:tc>
          <w:tcPr>
            <w:tcW w:w="896" w:type="dxa"/>
            <w:tcMar>
              <w:top w:w="0" w:type="dxa"/>
              <w:left w:w="15" w:type="dxa"/>
              <w:bottom w:w="0" w:type="dxa"/>
              <w:right w:w="15" w:type="dxa"/>
            </w:tcMar>
            <w:vAlign w:val="center"/>
          </w:tcPr>
          <w:p>
            <w:pPr>
              <w:widowControl/>
              <w:adjustRightInd w:val="0"/>
              <w:snapToGrid w:val="0"/>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0.20</w:t>
            </w:r>
          </w:p>
        </w:tc>
        <w:tc>
          <w:tcPr>
            <w:tcW w:w="851" w:type="dxa"/>
            <w:tcMar>
              <w:top w:w="0" w:type="dxa"/>
              <w:left w:w="15" w:type="dxa"/>
              <w:bottom w:w="0" w:type="dxa"/>
              <w:right w:w="15" w:type="dxa"/>
            </w:tcMar>
            <w:vAlign w:val="center"/>
          </w:tcPr>
          <w:p>
            <w:pPr>
              <w:adjustRightInd w:val="0"/>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1∶1</w:t>
            </w:r>
          </w:p>
        </w:tc>
        <w:tc>
          <w:tcPr>
            <w:tcW w:w="927" w:type="dxa"/>
            <w:tcMar>
              <w:top w:w="0" w:type="dxa"/>
              <w:left w:w="15" w:type="dxa"/>
              <w:bottom w:w="0" w:type="dxa"/>
              <w:right w:w="15" w:type="dxa"/>
            </w:tcMar>
            <w:vAlign w:val="center"/>
          </w:tcPr>
          <w:p>
            <w:pPr>
              <w:adjustRightInd w:val="0"/>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0.2</w:t>
            </w:r>
          </w:p>
        </w:tc>
        <w:tc>
          <w:tcPr>
            <w:tcW w:w="1082" w:type="dxa"/>
            <w:tcMar>
              <w:top w:w="0" w:type="dxa"/>
              <w:left w:w="15" w:type="dxa"/>
              <w:bottom w:w="0" w:type="dxa"/>
              <w:right w:w="15" w:type="dxa"/>
            </w:tcMar>
            <w:vAlign w:val="center"/>
          </w:tcPr>
          <w:p>
            <w:pPr>
              <w:adjustRightInd w:val="0"/>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0.24</w:t>
            </w:r>
          </w:p>
        </w:tc>
        <w:tc>
          <w:tcPr>
            <w:tcW w:w="1140" w:type="dxa"/>
            <w:tcMar>
              <w:top w:w="0" w:type="dxa"/>
              <w:left w:w="15" w:type="dxa"/>
              <w:bottom w:w="0" w:type="dxa"/>
              <w:right w:w="15" w:type="dxa"/>
            </w:tcMar>
            <w:vAlign w:val="center"/>
          </w:tcPr>
          <w:p>
            <w:pPr>
              <w:adjustRightInd w:val="0"/>
              <w:spacing w:line="240" w:lineRule="atLeas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0.24</w:t>
            </w:r>
          </w:p>
        </w:tc>
      </w:tr>
    </w:tbl>
    <w:p>
      <w:pPr>
        <w:jc w:val="center"/>
        <w:rPr>
          <w:rFonts w:ascii="Times New Roman" w:hAnsi="Times New Roman" w:cs="Times New Roman"/>
          <w:color w:val="auto"/>
          <w:szCs w:val="24"/>
        </w:rPr>
      </w:pPr>
      <w:r>
        <w:rPr>
          <w:rFonts w:ascii="Times New Roman" w:hAnsi="Times New Roman" w:eastAsia="仿宋_GB2312" w:cs="Times New Roman"/>
          <w:color w:val="auto"/>
          <w:sz w:val="21"/>
          <w:szCs w:val="21"/>
        </w:rPr>
        <w:drawing>
          <wp:inline distT="0" distB="0" distL="0" distR="0">
            <wp:extent cx="4012565" cy="1769745"/>
            <wp:effectExtent l="0" t="0" r="635" b="8255"/>
            <wp:docPr id="45" name="图片 13" descr="临时排水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3" descr="临时排水沟"/>
                    <pic:cNvPicPr>
                      <a:picLocks noChangeAspect="1" noChangeArrowheads="1"/>
                    </pic:cNvPicPr>
                  </pic:nvPicPr>
                  <pic:blipFill>
                    <a:blip r:embed="rId103"/>
                    <a:srcRect/>
                    <a:stretch>
                      <a:fillRect/>
                    </a:stretch>
                  </pic:blipFill>
                  <pic:spPr>
                    <a:xfrm>
                      <a:off x="0" y="0"/>
                      <a:ext cx="4012565" cy="1769745"/>
                    </a:xfrm>
                    <a:prstGeom prst="rect">
                      <a:avLst/>
                    </a:prstGeom>
                    <a:noFill/>
                    <a:ln w="9525">
                      <a:noFill/>
                      <a:miter lim="800000"/>
                      <a:headEnd/>
                      <a:tailEnd/>
                    </a:ln>
                  </pic:spPr>
                </pic:pic>
              </a:graphicData>
            </a:graphic>
          </wp:inline>
        </w:drawing>
      </w:r>
    </w:p>
    <w:p>
      <w:pPr>
        <w:jc w:val="center"/>
        <w:rPr>
          <w:rFonts w:ascii="Times New Roman" w:hAnsi="Times New Roman" w:eastAsia="仿宋_GB2312" w:cs="Times New Roman"/>
          <w:b/>
          <w:bCs/>
          <w:color w:val="auto"/>
        </w:rPr>
      </w:pPr>
      <w:r>
        <w:rPr>
          <w:rFonts w:ascii="Times New Roman" w:hAnsi="Times New Roman" w:eastAsia="仿宋_GB2312" w:cs="Times New Roman"/>
          <w:b/>
          <w:bCs/>
          <w:color w:val="auto"/>
        </w:rPr>
        <w:t>图5.3-</w:t>
      </w:r>
      <w:r>
        <w:rPr>
          <w:rFonts w:hint="eastAsia" w:ascii="Times New Roman" w:hAnsi="Times New Roman" w:eastAsia="仿宋_GB2312" w:cs="Times New Roman"/>
          <w:b/>
          <w:bCs/>
          <w:color w:val="auto"/>
          <w:lang w:val="en-US" w:eastAsia="zh-CN"/>
        </w:rPr>
        <w:t>7</w:t>
      </w:r>
      <w:r>
        <w:rPr>
          <w:rFonts w:ascii="Times New Roman" w:hAnsi="Times New Roman" w:eastAsia="仿宋_GB2312" w:cs="Times New Roman"/>
          <w:b/>
          <w:bCs/>
          <w:color w:val="auto"/>
        </w:rPr>
        <w:t>：临时排水沟断面图</w:t>
      </w:r>
    </w:p>
    <w:p>
      <w:pPr>
        <w:spacing w:line="360" w:lineRule="auto"/>
        <w:ind w:firstLine="480" w:firstLineChars="200"/>
        <w:rPr>
          <w:rFonts w:ascii="Times New Roman" w:hAnsi="Times New Roman" w:eastAsia="仿宋_GB2312" w:cs="Times New Roman"/>
          <w:color w:val="auto"/>
        </w:rPr>
      </w:pPr>
      <w:r>
        <w:rPr>
          <w:rFonts w:hint="eastAsia" w:ascii="Times New Roman" w:hAnsi="Times New Roman" w:eastAsia="仿宋_GB2312" w:cs="Times New Roman"/>
          <w:color w:val="auto"/>
        </w:rPr>
        <w:t>④</w:t>
      </w:r>
      <w:r>
        <w:rPr>
          <w:rFonts w:ascii="Times New Roman" w:hAnsi="Times New Roman" w:eastAsia="仿宋_GB2312" w:cs="Times New Roman"/>
          <w:color w:val="auto"/>
        </w:rPr>
        <w:t>临时沉沙池</w:t>
      </w:r>
      <w:r>
        <w:rPr>
          <w:rFonts w:hint="eastAsia" w:ascii="Times New Roman" w:hAnsi="Times New Roman" w:eastAsia="仿宋_GB2312" w:cs="Times New Roman"/>
          <w:color w:val="auto"/>
        </w:rPr>
        <w:t>：</w:t>
      </w:r>
      <w:r>
        <w:rPr>
          <w:rFonts w:hint="eastAsia" w:ascii="Times New Roman" w:hAnsi="Times New Roman" w:eastAsia="仿宋_GB2312" w:cs="Times New Roman"/>
          <w:color w:val="auto"/>
          <w:szCs w:val="24"/>
        </w:rPr>
        <w:t>临时</w:t>
      </w:r>
      <w:r>
        <w:rPr>
          <w:rFonts w:ascii="Times New Roman" w:hAnsi="Times New Roman" w:eastAsia="仿宋_GB2312" w:cs="Times New Roman"/>
          <w:color w:val="auto"/>
          <w:szCs w:val="24"/>
        </w:rPr>
        <w:t>沉沙池池厢横断面采用梯形断面，坡比为</w:t>
      </w:r>
      <w:r>
        <w:rPr>
          <w:rFonts w:hint="eastAsia" w:ascii="Times New Roman" w:hAnsi="Times New Roman" w:eastAsia="仿宋_GB2312" w:cs="Times New Roman"/>
          <w:color w:val="auto"/>
          <w:szCs w:val="24"/>
        </w:rPr>
        <w:t>1:1和1:2</w:t>
      </w:r>
      <w:r>
        <w:rPr>
          <w:rFonts w:ascii="Times New Roman" w:hAnsi="Times New Roman" w:eastAsia="仿宋_GB2312" w:cs="Times New Roman"/>
          <w:color w:val="auto"/>
          <w:szCs w:val="24"/>
        </w:rPr>
        <w:t>。根据池厢工作宽度计算公式和池厢工作长度计算公式，并结合现场实际情况，采用临时沉沙池尺寸为：上顶</w:t>
      </w:r>
      <w:r>
        <w:rPr>
          <w:rFonts w:hint="eastAsia" w:ascii="Times New Roman" w:hAnsi="Times New Roman" w:eastAsia="仿宋_GB2312" w:cs="Times New Roman"/>
          <w:color w:val="auto"/>
          <w:szCs w:val="24"/>
        </w:rPr>
        <w:t>3</w:t>
      </w:r>
      <w:r>
        <w:rPr>
          <w:rFonts w:hint="eastAsia" w:ascii="Times New Roman" w:hAnsi="Times New Roman" w:eastAsia="仿宋_GB2312" w:cs="Times New Roman"/>
          <w:color w:val="auto"/>
          <w:szCs w:val="24"/>
          <w:lang w:val="en-US" w:eastAsia="zh-CN"/>
        </w:rPr>
        <w:t>.0</w:t>
      </w:r>
      <w:r>
        <w:rPr>
          <w:rFonts w:ascii="Times New Roman" w:hAnsi="Times New Roman" w:eastAsia="仿宋_GB2312" w:cs="Times New Roman"/>
          <w:color w:val="auto"/>
          <w:szCs w:val="24"/>
        </w:rPr>
        <w:t>m×1</w:t>
      </w:r>
      <w:r>
        <w:rPr>
          <w:rFonts w:hint="eastAsia" w:ascii="Times New Roman" w:hAnsi="Times New Roman" w:eastAsia="仿宋_GB2312" w:cs="Times New Roman"/>
          <w:color w:val="auto"/>
          <w:szCs w:val="24"/>
          <w:lang w:val="en-US" w:eastAsia="zh-CN"/>
        </w:rPr>
        <w:t>.5</w:t>
      </w:r>
      <w:r>
        <w:rPr>
          <w:rFonts w:ascii="Times New Roman" w:hAnsi="Times New Roman" w:eastAsia="仿宋_GB2312" w:cs="Times New Roman"/>
          <w:color w:val="auto"/>
          <w:szCs w:val="24"/>
        </w:rPr>
        <w:t>m，下底1</w:t>
      </w:r>
      <w:r>
        <w:rPr>
          <w:rFonts w:hint="eastAsia" w:ascii="Times New Roman" w:hAnsi="Times New Roman" w:eastAsia="仿宋_GB2312" w:cs="Times New Roman"/>
          <w:color w:val="auto"/>
          <w:szCs w:val="24"/>
        </w:rPr>
        <w:t>.</w:t>
      </w:r>
      <w:r>
        <w:rPr>
          <w:rFonts w:hint="eastAsia" w:ascii="Times New Roman" w:hAnsi="Times New Roman" w:eastAsia="仿宋_GB2312" w:cs="Times New Roman"/>
          <w:color w:val="auto"/>
          <w:szCs w:val="24"/>
          <w:lang w:val="en-US" w:eastAsia="zh-CN"/>
        </w:rPr>
        <w:t>0</w:t>
      </w:r>
      <w:r>
        <w:rPr>
          <w:rFonts w:ascii="Times New Roman" w:hAnsi="Times New Roman" w:eastAsia="仿宋_GB2312" w:cs="Times New Roman"/>
          <w:color w:val="auto"/>
          <w:szCs w:val="24"/>
        </w:rPr>
        <w:t>m×0.5m，池厢深度1.0m。沉沙池工程量见表5</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3-</w:t>
      </w:r>
      <w:r>
        <w:rPr>
          <w:rFonts w:hint="eastAsia" w:ascii="Times New Roman" w:hAnsi="Times New Roman" w:eastAsia="仿宋_GB2312" w:cs="Times New Roman"/>
          <w:color w:val="auto"/>
          <w:szCs w:val="24"/>
          <w:lang w:val="en-US" w:eastAsia="zh-CN"/>
        </w:rPr>
        <w:t>11</w:t>
      </w:r>
      <w:r>
        <w:rPr>
          <w:rFonts w:ascii="Times New Roman" w:hAnsi="Times New Roman" w:eastAsia="仿宋_GB2312" w:cs="Times New Roman"/>
          <w:color w:val="auto"/>
          <w:szCs w:val="24"/>
        </w:rPr>
        <w:t>，</w:t>
      </w:r>
      <w:r>
        <w:rPr>
          <w:rFonts w:ascii="Times New Roman" w:hAnsi="Times New Roman" w:eastAsia="仿宋_GB2312" w:cs="Times New Roman"/>
          <w:color w:val="auto"/>
        </w:rPr>
        <w:t>临时沉沙池典型设计见图5.3-</w:t>
      </w:r>
      <w:r>
        <w:rPr>
          <w:rFonts w:hint="eastAsia" w:ascii="Times New Roman" w:hAnsi="Times New Roman" w:eastAsia="仿宋_GB2312" w:cs="Times New Roman"/>
          <w:color w:val="auto"/>
          <w:lang w:val="en-US" w:eastAsia="zh-CN"/>
        </w:rPr>
        <w:t>8</w:t>
      </w:r>
      <w:r>
        <w:rPr>
          <w:rFonts w:ascii="Times New Roman" w:hAnsi="Times New Roman" w:eastAsia="仿宋_GB2312" w:cs="Times New Roman"/>
          <w:color w:val="auto"/>
        </w:rPr>
        <w:t>所示。</w:t>
      </w:r>
    </w:p>
    <w:p>
      <w:pPr>
        <w:spacing w:line="360" w:lineRule="auto"/>
        <w:jc w:val="center"/>
        <w:rPr>
          <w:rFonts w:ascii="Times New Roman" w:hAnsi="Times New Roman" w:eastAsia="仿宋_GB2312" w:cs="Times New Roman"/>
          <w:b/>
          <w:color w:val="auto"/>
          <w:szCs w:val="24"/>
        </w:rPr>
      </w:pPr>
      <w:r>
        <w:rPr>
          <w:rFonts w:ascii="Times New Roman" w:hAnsi="Times New Roman" w:eastAsia="仿宋_GB2312" w:cs="Times New Roman"/>
          <w:b/>
          <w:color w:val="auto"/>
          <w:szCs w:val="24"/>
        </w:rPr>
        <w:t>表</w:t>
      </w:r>
      <w:r>
        <w:rPr>
          <w:rFonts w:ascii="Times New Roman" w:hAnsi="Times New Roman" w:eastAsia="仿宋_GB2312" w:cs="Times New Roman"/>
          <w:b/>
          <w:color w:val="auto"/>
        </w:rPr>
        <w:t>5.3-1</w:t>
      </w:r>
      <w:r>
        <w:rPr>
          <w:rFonts w:hint="eastAsia" w:ascii="Times New Roman" w:hAnsi="Times New Roman" w:eastAsia="仿宋_GB2312" w:cs="Times New Roman"/>
          <w:b/>
          <w:color w:val="auto"/>
          <w:lang w:val="en-US" w:eastAsia="zh-CN"/>
        </w:rPr>
        <w:t>1</w:t>
      </w:r>
      <w:r>
        <w:rPr>
          <w:rFonts w:ascii="Times New Roman" w:hAnsi="Times New Roman" w:eastAsia="仿宋_GB2312" w:cs="Times New Roman"/>
          <w:b/>
          <w:color w:val="auto"/>
        </w:rPr>
        <w:t>：</w:t>
      </w:r>
      <w:r>
        <w:rPr>
          <w:rFonts w:ascii="Times New Roman" w:hAnsi="Times New Roman" w:eastAsia="仿宋_GB2312" w:cs="Times New Roman"/>
          <w:b/>
          <w:color w:val="auto"/>
          <w:szCs w:val="24"/>
        </w:rPr>
        <w:t>临时沉沙池单位工程量表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83"/>
        <w:gridCol w:w="707"/>
        <w:gridCol w:w="762"/>
        <w:gridCol w:w="762"/>
        <w:gridCol w:w="762"/>
        <w:gridCol w:w="764"/>
        <w:gridCol w:w="1031"/>
        <w:gridCol w:w="1364"/>
        <w:gridCol w:w="138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77" w:type="pct"/>
            <w:vMerge w:val="restart"/>
            <w:vAlign w:val="center"/>
          </w:tcPr>
          <w:p>
            <w:pPr>
              <w:spacing w:line="240" w:lineRule="atLeast"/>
              <w:jc w:val="center"/>
              <w:rPr>
                <w:rFonts w:hint="eastAsia" w:ascii="Times New Roman" w:hAnsi="Times New Roman" w:eastAsia="仿宋_GB2312" w:cs="Times New Roman"/>
                <w:b/>
                <w:color w:val="auto"/>
                <w:sz w:val="21"/>
                <w:szCs w:val="20"/>
                <w:lang w:val="en-US" w:eastAsia="zh-CN"/>
              </w:rPr>
            </w:pPr>
            <w:r>
              <w:rPr>
                <w:rFonts w:ascii="Times New Roman" w:hAnsi="Times New Roman" w:eastAsia="仿宋_GB2312" w:cs="Times New Roman"/>
                <w:b/>
                <w:color w:val="auto"/>
                <w:sz w:val="21"/>
                <w:szCs w:val="20"/>
              </w:rPr>
              <w:t>项目</w:t>
            </w:r>
            <w:r>
              <w:rPr>
                <w:rFonts w:hint="eastAsia" w:ascii="Times New Roman" w:hAnsi="Times New Roman" w:eastAsia="仿宋_GB2312" w:cs="Times New Roman"/>
                <w:b/>
                <w:color w:val="auto"/>
                <w:sz w:val="21"/>
                <w:szCs w:val="20"/>
                <w:lang w:val="en-US" w:eastAsia="zh-CN"/>
              </w:rPr>
              <w:t>名称</w:t>
            </w:r>
          </w:p>
        </w:tc>
        <w:tc>
          <w:tcPr>
            <w:tcW w:w="2807" w:type="pct"/>
            <w:gridSpan w:val="6"/>
            <w:vAlign w:val="center"/>
          </w:tcPr>
          <w:p>
            <w:pPr>
              <w:spacing w:line="240" w:lineRule="atLeast"/>
              <w:jc w:val="center"/>
              <w:rPr>
                <w:rFonts w:ascii="Times New Roman" w:hAnsi="Times New Roman" w:eastAsia="仿宋_GB2312" w:cs="Times New Roman"/>
                <w:b/>
                <w:color w:val="auto"/>
                <w:sz w:val="21"/>
                <w:szCs w:val="20"/>
              </w:rPr>
            </w:pPr>
            <w:r>
              <w:rPr>
                <w:rFonts w:ascii="Times New Roman" w:hAnsi="Times New Roman" w:eastAsia="仿宋_GB2312" w:cs="Times New Roman"/>
                <w:b/>
                <w:color w:val="auto"/>
                <w:sz w:val="21"/>
                <w:szCs w:val="20"/>
              </w:rPr>
              <w:t>断面尺寸</w:t>
            </w:r>
          </w:p>
        </w:tc>
        <w:tc>
          <w:tcPr>
            <w:tcW w:w="1614" w:type="pct"/>
            <w:gridSpan w:val="2"/>
            <w:vAlign w:val="center"/>
          </w:tcPr>
          <w:p>
            <w:pPr>
              <w:spacing w:line="240" w:lineRule="atLeast"/>
              <w:jc w:val="center"/>
              <w:rPr>
                <w:rFonts w:ascii="Times New Roman" w:hAnsi="Times New Roman" w:eastAsia="仿宋_GB2312" w:cs="Times New Roman"/>
                <w:b/>
                <w:color w:val="auto"/>
                <w:sz w:val="21"/>
                <w:szCs w:val="20"/>
              </w:rPr>
            </w:pPr>
            <w:r>
              <w:rPr>
                <w:rFonts w:ascii="Times New Roman" w:hAnsi="Times New Roman" w:eastAsia="仿宋_GB2312" w:cs="Times New Roman"/>
                <w:b/>
                <w:color w:val="auto"/>
                <w:sz w:val="21"/>
                <w:szCs w:val="20"/>
              </w:rPr>
              <w:t>工程量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77" w:hRule="atLeast"/>
          <w:jc w:val="center"/>
        </w:trPr>
        <w:tc>
          <w:tcPr>
            <w:tcW w:w="577" w:type="pct"/>
            <w:vMerge w:val="continue"/>
            <w:vAlign w:val="center"/>
          </w:tcPr>
          <w:p>
            <w:pPr>
              <w:widowControl/>
              <w:spacing w:line="240" w:lineRule="atLeast"/>
              <w:jc w:val="center"/>
              <w:rPr>
                <w:rFonts w:ascii="Times New Roman" w:hAnsi="Times New Roman" w:eastAsia="仿宋_GB2312" w:cs="Times New Roman"/>
                <w:b/>
                <w:color w:val="auto"/>
                <w:sz w:val="21"/>
                <w:szCs w:val="21"/>
              </w:rPr>
            </w:pPr>
          </w:p>
        </w:tc>
        <w:tc>
          <w:tcPr>
            <w:tcW w:w="415" w:type="pct"/>
            <w:vAlign w:val="center"/>
          </w:tcPr>
          <w:p>
            <w:pPr>
              <w:spacing w:line="240" w:lineRule="atLeast"/>
              <w:jc w:val="center"/>
              <w:rPr>
                <w:rFonts w:ascii="Times New Roman" w:hAnsi="Times New Roman" w:eastAsia="仿宋_GB2312" w:cs="Times New Roman"/>
                <w:b/>
                <w:color w:val="auto"/>
                <w:sz w:val="21"/>
                <w:szCs w:val="20"/>
              </w:rPr>
            </w:pPr>
            <w:r>
              <w:rPr>
                <w:rFonts w:ascii="Times New Roman" w:hAnsi="Times New Roman" w:eastAsia="仿宋_GB2312" w:cs="Times New Roman"/>
                <w:b/>
                <w:color w:val="auto"/>
                <w:sz w:val="21"/>
                <w:szCs w:val="20"/>
              </w:rPr>
              <w:t>池体形式</w:t>
            </w:r>
          </w:p>
        </w:tc>
        <w:tc>
          <w:tcPr>
            <w:tcW w:w="894" w:type="pct"/>
            <w:gridSpan w:val="2"/>
            <w:vAlign w:val="center"/>
          </w:tcPr>
          <w:p>
            <w:pPr>
              <w:spacing w:line="240" w:lineRule="atLeast"/>
              <w:jc w:val="center"/>
              <w:rPr>
                <w:rFonts w:ascii="Times New Roman" w:hAnsi="Times New Roman" w:eastAsia="仿宋_GB2312" w:cs="Times New Roman"/>
                <w:b/>
                <w:color w:val="auto"/>
                <w:sz w:val="21"/>
                <w:szCs w:val="20"/>
              </w:rPr>
            </w:pPr>
            <w:r>
              <w:rPr>
                <w:rFonts w:ascii="Times New Roman" w:hAnsi="Times New Roman" w:eastAsia="仿宋_GB2312" w:cs="Times New Roman"/>
                <w:b/>
                <w:color w:val="auto"/>
                <w:sz w:val="21"/>
                <w:szCs w:val="20"/>
              </w:rPr>
              <w:t>池长（m）</w:t>
            </w:r>
          </w:p>
        </w:tc>
        <w:tc>
          <w:tcPr>
            <w:tcW w:w="895" w:type="pct"/>
            <w:gridSpan w:val="2"/>
            <w:vAlign w:val="center"/>
          </w:tcPr>
          <w:p>
            <w:pPr>
              <w:spacing w:line="240" w:lineRule="atLeast"/>
              <w:jc w:val="center"/>
              <w:rPr>
                <w:rFonts w:ascii="Times New Roman" w:hAnsi="Times New Roman" w:eastAsia="仿宋_GB2312" w:cs="Times New Roman"/>
                <w:b/>
                <w:color w:val="auto"/>
                <w:sz w:val="21"/>
                <w:szCs w:val="20"/>
              </w:rPr>
            </w:pPr>
            <w:r>
              <w:rPr>
                <w:rFonts w:ascii="Times New Roman" w:hAnsi="Times New Roman" w:eastAsia="仿宋_GB2312" w:cs="Times New Roman"/>
                <w:b/>
                <w:color w:val="auto"/>
                <w:sz w:val="21"/>
                <w:szCs w:val="20"/>
              </w:rPr>
              <w:t>池宽（m）</w:t>
            </w:r>
          </w:p>
        </w:tc>
        <w:tc>
          <w:tcPr>
            <w:tcW w:w="602" w:type="pct"/>
            <w:vAlign w:val="center"/>
          </w:tcPr>
          <w:p>
            <w:pPr>
              <w:spacing w:line="240" w:lineRule="atLeast"/>
              <w:jc w:val="center"/>
              <w:rPr>
                <w:rFonts w:ascii="Times New Roman" w:hAnsi="Times New Roman" w:eastAsia="仿宋_GB2312" w:cs="Times New Roman"/>
                <w:b/>
                <w:color w:val="auto"/>
                <w:sz w:val="21"/>
                <w:szCs w:val="20"/>
              </w:rPr>
            </w:pPr>
            <w:r>
              <w:rPr>
                <w:rFonts w:ascii="Times New Roman" w:hAnsi="Times New Roman" w:eastAsia="仿宋_GB2312" w:cs="Times New Roman"/>
                <w:b/>
                <w:color w:val="auto"/>
                <w:sz w:val="21"/>
                <w:szCs w:val="20"/>
              </w:rPr>
              <w:t>池深（m）</w:t>
            </w:r>
          </w:p>
        </w:tc>
        <w:tc>
          <w:tcPr>
            <w:tcW w:w="800" w:type="pct"/>
            <w:vAlign w:val="center"/>
          </w:tcPr>
          <w:p>
            <w:pPr>
              <w:spacing w:line="240" w:lineRule="atLeast"/>
              <w:jc w:val="center"/>
              <w:rPr>
                <w:rFonts w:ascii="Times New Roman" w:hAnsi="Times New Roman" w:eastAsia="仿宋_GB2312" w:cs="Times New Roman"/>
                <w:b/>
                <w:color w:val="auto"/>
                <w:sz w:val="21"/>
                <w:szCs w:val="20"/>
              </w:rPr>
            </w:pPr>
            <w:r>
              <w:rPr>
                <w:rFonts w:hint="eastAsia" w:ascii="Times New Roman" w:hAnsi="Times New Roman" w:eastAsia="仿宋_GB2312" w:cs="Times New Roman"/>
                <w:b/>
                <w:color w:val="auto"/>
                <w:sz w:val="21"/>
                <w:szCs w:val="20"/>
              </w:rPr>
              <w:t>土石方</w:t>
            </w:r>
            <w:r>
              <w:rPr>
                <w:rFonts w:ascii="Times New Roman" w:hAnsi="Times New Roman" w:eastAsia="仿宋_GB2312" w:cs="Times New Roman"/>
                <w:b/>
                <w:color w:val="auto"/>
                <w:sz w:val="21"/>
                <w:szCs w:val="20"/>
              </w:rPr>
              <w:t>开挖（m</w:t>
            </w:r>
            <w:r>
              <w:rPr>
                <w:rFonts w:ascii="Times New Roman" w:hAnsi="Times New Roman" w:eastAsia="仿宋_GB2312" w:cs="Times New Roman"/>
                <w:b/>
                <w:color w:val="auto"/>
                <w:sz w:val="21"/>
                <w:szCs w:val="20"/>
                <w:vertAlign w:val="superscript"/>
              </w:rPr>
              <w:t>3</w:t>
            </w:r>
            <w:r>
              <w:rPr>
                <w:rFonts w:ascii="Times New Roman" w:hAnsi="Times New Roman" w:eastAsia="仿宋_GB2312" w:cs="Times New Roman"/>
                <w:b/>
                <w:color w:val="auto"/>
                <w:sz w:val="21"/>
                <w:szCs w:val="20"/>
              </w:rPr>
              <w:t>/</w:t>
            </w:r>
            <w:r>
              <w:rPr>
                <w:rFonts w:hint="eastAsia" w:ascii="Times New Roman" w:hAnsi="Times New Roman" w:eastAsia="仿宋_GB2312" w:cs="Times New Roman"/>
                <w:b/>
                <w:color w:val="auto"/>
                <w:sz w:val="21"/>
                <w:szCs w:val="20"/>
              </w:rPr>
              <w:t>座</w:t>
            </w:r>
            <w:r>
              <w:rPr>
                <w:rFonts w:ascii="Times New Roman" w:hAnsi="Times New Roman" w:eastAsia="仿宋_GB2312" w:cs="Times New Roman"/>
                <w:b/>
                <w:color w:val="auto"/>
                <w:sz w:val="21"/>
                <w:szCs w:val="20"/>
              </w:rPr>
              <w:t>）</w:t>
            </w:r>
          </w:p>
        </w:tc>
        <w:tc>
          <w:tcPr>
            <w:tcW w:w="814" w:type="pct"/>
            <w:vAlign w:val="center"/>
          </w:tcPr>
          <w:p>
            <w:pPr>
              <w:spacing w:line="240" w:lineRule="atLeast"/>
              <w:jc w:val="center"/>
              <w:rPr>
                <w:rFonts w:ascii="Times New Roman" w:hAnsi="Times New Roman" w:eastAsia="仿宋_GB2312" w:cs="Times New Roman"/>
                <w:b/>
                <w:color w:val="auto"/>
                <w:sz w:val="21"/>
                <w:szCs w:val="20"/>
              </w:rPr>
            </w:pPr>
            <w:r>
              <w:rPr>
                <w:rFonts w:hint="eastAsia" w:ascii="Times New Roman" w:hAnsi="Times New Roman" w:eastAsia="仿宋_GB2312" w:cs="Times New Roman"/>
                <w:b/>
                <w:color w:val="auto"/>
                <w:sz w:val="21"/>
                <w:szCs w:val="20"/>
              </w:rPr>
              <w:t>土石方</w:t>
            </w:r>
            <w:r>
              <w:rPr>
                <w:rFonts w:ascii="Times New Roman" w:hAnsi="Times New Roman" w:eastAsia="仿宋_GB2312" w:cs="Times New Roman"/>
                <w:b/>
                <w:color w:val="auto"/>
                <w:sz w:val="21"/>
                <w:szCs w:val="20"/>
              </w:rPr>
              <w:t>回填（m</w:t>
            </w:r>
            <w:r>
              <w:rPr>
                <w:rFonts w:ascii="Times New Roman" w:hAnsi="Times New Roman" w:eastAsia="仿宋_GB2312" w:cs="Times New Roman"/>
                <w:b/>
                <w:color w:val="auto"/>
                <w:sz w:val="21"/>
                <w:szCs w:val="20"/>
                <w:vertAlign w:val="superscript"/>
              </w:rPr>
              <w:t>3</w:t>
            </w:r>
            <w:r>
              <w:rPr>
                <w:rFonts w:ascii="Times New Roman" w:hAnsi="Times New Roman" w:eastAsia="仿宋_GB2312" w:cs="Times New Roman"/>
                <w:b/>
                <w:color w:val="auto"/>
                <w:sz w:val="21"/>
                <w:szCs w:val="20"/>
              </w:rPr>
              <w:t>/</w:t>
            </w:r>
            <w:r>
              <w:rPr>
                <w:rFonts w:hint="eastAsia" w:ascii="Times New Roman" w:hAnsi="Times New Roman" w:eastAsia="仿宋_GB2312" w:cs="Times New Roman"/>
                <w:b/>
                <w:color w:val="auto"/>
                <w:sz w:val="21"/>
                <w:szCs w:val="20"/>
              </w:rPr>
              <w:t>座</w:t>
            </w:r>
            <w:r>
              <w:rPr>
                <w:rFonts w:ascii="Times New Roman" w:hAnsi="Times New Roman" w:eastAsia="仿宋_GB2312" w:cs="Times New Roman"/>
                <w:b/>
                <w:color w:val="auto"/>
                <w:sz w:val="21"/>
                <w:szCs w:val="20"/>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577" w:type="pct"/>
            <w:vMerge w:val="restart"/>
            <w:vAlign w:val="center"/>
          </w:tcPr>
          <w:p>
            <w:pPr>
              <w:spacing w:line="240" w:lineRule="atLeast"/>
              <w:jc w:val="center"/>
              <w:rPr>
                <w:rFonts w:ascii="Times New Roman" w:hAnsi="Times New Roman" w:eastAsia="仿宋_GB2312" w:cs="Times New Roman"/>
                <w:color w:val="auto"/>
                <w:sz w:val="21"/>
                <w:szCs w:val="20"/>
              </w:rPr>
            </w:pPr>
            <w:r>
              <w:rPr>
                <w:rFonts w:ascii="Times New Roman" w:hAnsi="Times New Roman" w:eastAsia="仿宋_GB2312" w:cs="Times New Roman"/>
                <w:color w:val="auto"/>
                <w:sz w:val="21"/>
                <w:szCs w:val="20"/>
              </w:rPr>
              <w:t>临时沉沙池</w:t>
            </w:r>
          </w:p>
        </w:tc>
        <w:tc>
          <w:tcPr>
            <w:tcW w:w="415" w:type="pct"/>
            <w:vMerge w:val="restart"/>
            <w:vAlign w:val="center"/>
          </w:tcPr>
          <w:p>
            <w:pPr>
              <w:spacing w:line="240" w:lineRule="atLeast"/>
              <w:jc w:val="center"/>
              <w:rPr>
                <w:rFonts w:ascii="Times New Roman" w:hAnsi="Times New Roman" w:eastAsia="仿宋_GB2312" w:cs="Times New Roman"/>
                <w:color w:val="auto"/>
                <w:sz w:val="21"/>
                <w:szCs w:val="20"/>
              </w:rPr>
            </w:pPr>
            <w:r>
              <w:rPr>
                <w:rFonts w:ascii="Times New Roman" w:hAnsi="Times New Roman" w:eastAsia="仿宋_GB2312" w:cs="Times New Roman"/>
                <w:color w:val="auto"/>
                <w:sz w:val="21"/>
                <w:szCs w:val="20"/>
              </w:rPr>
              <w:t>梯形</w:t>
            </w:r>
          </w:p>
        </w:tc>
        <w:tc>
          <w:tcPr>
            <w:tcW w:w="447" w:type="pct"/>
            <w:vAlign w:val="center"/>
          </w:tcPr>
          <w:p>
            <w:pPr>
              <w:spacing w:line="240" w:lineRule="atLeast"/>
              <w:jc w:val="center"/>
              <w:rPr>
                <w:rFonts w:ascii="Times New Roman" w:hAnsi="Times New Roman" w:eastAsia="仿宋_GB2312" w:cs="Times New Roman"/>
                <w:color w:val="auto"/>
                <w:sz w:val="21"/>
                <w:szCs w:val="20"/>
              </w:rPr>
            </w:pPr>
            <w:r>
              <w:rPr>
                <w:rFonts w:ascii="Times New Roman" w:hAnsi="Times New Roman" w:eastAsia="仿宋_GB2312" w:cs="Times New Roman"/>
                <w:color w:val="auto"/>
                <w:sz w:val="21"/>
                <w:szCs w:val="20"/>
              </w:rPr>
              <w:t>顶</w:t>
            </w:r>
          </w:p>
        </w:tc>
        <w:tc>
          <w:tcPr>
            <w:tcW w:w="446" w:type="pct"/>
            <w:vAlign w:val="center"/>
          </w:tcPr>
          <w:p>
            <w:pPr>
              <w:spacing w:line="240" w:lineRule="atLeast"/>
              <w:jc w:val="center"/>
              <w:rPr>
                <w:rFonts w:ascii="Times New Roman" w:hAnsi="Times New Roman" w:eastAsia="仿宋_GB2312" w:cs="Times New Roman"/>
                <w:color w:val="auto"/>
                <w:sz w:val="21"/>
                <w:szCs w:val="20"/>
              </w:rPr>
            </w:pPr>
            <w:r>
              <w:rPr>
                <w:rFonts w:ascii="Times New Roman" w:hAnsi="Times New Roman" w:eastAsia="仿宋_GB2312" w:cs="Times New Roman"/>
                <w:color w:val="auto"/>
                <w:sz w:val="21"/>
                <w:szCs w:val="20"/>
              </w:rPr>
              <w:t>底</w:t>
            </w:r>
          </w:p>
        </w:tc>
        <w:tc>
          <w:tcPr>
            <w:tcW w:w="447" w:type="pct"/>
            <w:vAlign w:val="center"/>
          </w:tcPr>
          <w:p>
            <w:pPr>
              <w:spacing w:line="240" w:lineRule="atLeast"/>
              <w:jc w:val="center"/>
              <w:rPr>
                <w:rFonts w:ascii="Times New Roman" w:hAnsi="Times New Roman" w:eastAsia="仿宋_GB2312" w:cs="Times New Roman"/>
                <w:color w:val="auto"/>
                <w:sz w:val="21"/>
                <w:szCs w:val="20"/>
              </w:rPr>
            </w:pPr>
            <w:r>
              <w:rPr>
                <w:rFonts w:ascii="Times New Roman" w:hAnsi="Times New Roman" w:eastAsia="仿宋_GB2312" w:cs="Times New Roman"/>
                <w:color w:val="auto"/>
                <w:sz w:val="21"/>
                <w:szCs w:val="20"/>
              </w:rPr>
              <w:t>顶</w:t>
            </w:r>
          </w:p>
        </w:tc>
        <w:tc>
          <w:tcPr>
            <w:tcW w:w="447" w:type="pct"/>
            <w:vAlign w:val="center"/>
          </w:tcPr>
          <w:p>
            <w:pPr>
              <w:spacing w:line="240" w:lineRule="atLeast"/>
              <w:jc w:val="center"/>
              <w:rPr>
                <w:rFonts w:ascii="Times New Roman" w:hAnsi="Times New Roman" w:eastAsia="仿宋_GB2312" w:cs="Times New Roman"/>
                <w:color w:val="auto"/>
                <w:sz w:val="21"/>
                <w:szCs w:val="20"/>
              </w:rPr>
            </w:pPr>
            <w:r>
              <w:rPr>
                <w:rFonts w:ascii="Times New Roman" w:hAnsi="Times New Roman" w:eastAsia="仿宋_GB2312" w:cs="Times New Roman"/>
                <w:color w:val="auto"/>
                <w:sz w:val="21"/>
                <w:szCs w:val="20"/>
              </w:rPr>
              <w:t>底</w:t>
            </w:r>
          </w:p>
        </w:tc>
        <w:tc>
          <w:tcPr>
            <w:tcW w:w="602" w:type="pct"/>
            <w:vMerge w:val="restart"/>
            <w:vAlign w:val="center"/>
          </w:tcPr>
          <w:p>
            <w:pPr>
              <w:spacing w:line="240" w:lineRule="atLeast"/>
              <w:jc w:val="center"/>
              <w:rPr>
                <w:rFonts w:ascii="Times New Roman" w:hAnsi="Times New Roman" w:eastAsia="仿宋_GB2312" w:cs="Times New Roman"/>
                <w:color w:val="auto"/>
                <w:sz w:val="21"/>
                <w:szCs w:val="20"/>
              </w:rPr>
            </w:pPr>
            <w:r>
              <w:rPr>
                <w:rFonts w:ascii="Times New Roman" w:hAnsi="Times New Roman" w:eastAsia="仿宋_GB2312" w:cs="Times New Roman"/>
                <w:color w:val="auto"/>
                <w:sz w:val="21"/>
                <w:szCs w:val="20"/>
              </w:rPr>
              <w:t>1.0</w:t>
            </w:r>
          </w:p>
        </w:tc>
        <w:tc>
          <w:tcPr>
            <w:tcW w:w="800" w:type="pct"/>
            <w:vMerge w:val="restart"/>
            <w:vAlign w:val="center"/>
          </w:tcPr>
          <w:p>
            <w:pPr>
              <w:spacing w:line="240" w:lineRule="atLeast"/>
              <w:jc w:val="center"/>
              <w:rPr>
                <w:rFonts w:ascii="Times New Roman" w:hAnsi="Times New Roman" w:eastAsia="仿宋_GB2312" w:cs="Times New Roman"/>
                <w:color w:val="auto"/>
                <w:sz w:val="21"/>
                <w:szCs w:val="20"/>
              </w:rPr>
            </w:pPr>
            <w:r>
              <w:rPr>
                <w:rFonts w:hint="eastAsia" w:ascii="Times New Roman" w:hAnsi="Times New Roman" w:eastAsia="仿宋_GB2312" w:cs="Times New Roman"/>
                <w:color w:val="auto"/>
                <w:sz w:val="21"/>
                <w:szCs w:val="20"/>
              </w:rPr>
              <w:t>2.17</w:t>
            </w:r>
          </w:p>
        </w:tc>
        <w:tc>
          <w:tcPr>
            <w:tcW w:w="814" w:type="pct"/>
            <w:vMerge w:val="restart"/>
            <w:vAlign w:val="center"/>
          </w:tcPr>
          <w:p>
            <w:pPr>
              <w:spacing w:line="240" w:lineRule="atLeast"/>
              <w:jc w:val="center"/>
              <w:rPr>
                <w:rFonts w:ascii="Times New Roman" w:hAnsi="Times New Roman" w:eastAsia="仿宋_GB2312" w:cs="Times New Roman"/>
                <w:color w:val="auto"/>
                <w:sz w:val="21"/>
                <w:szCs w:val="20"/>
              </w:rPr>
            </w:pPr>
            <w:r>
              <w:rPr>
                <w:rFonts w:hint="eastAsia" w:ascii="Times New Roman" w:hAnsi="Times New Roman" w:eastAsia="仿宋_GB2312" w:cs="Times New Roman"/>
                <w:color w:val="auto"/>
                <w:sz w:val="21"/>
                <w:szCs w:val="20"/>
              </w:rPr>
              <w:t>2.17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9" w:hRule="atLeast"/>
          <w:jc w:val="center"/>
        </w:trPr>
        <w:tc>
          <w:tcPr>
            <w:tcW w:w="577" w:type="pct"/>
            <w:vMerge w:val="continue"/>
            <w:vAlign w:val="center"/>
          </w:tcPr>
          <w:p>
            <w:pPr>
              <w:widowControl/>
              <w:spacing w:line="240" w:lineRule="atLeast"/>
              <w:jc w:val="center"/>
              <w:rPr>
                <w:rFonts w:ascii="Times New Roman" w:hAnsi="Times New Roman" w:eastAsia="仿宋_GB2312" w:cs="Times New Roman"/>
                <w:color w:val="auto"/>
                <w:sz w:val="21"/>
                <w:szCs w:val="21"/>
              </w:rPr>
            </w:pPr>
          </w:p>
        </w:tc>
        <w:tc>
          <w:tcPr>
            <w:tcW w:w="415" w:type="pct"/>
            <w:vMerge w:val="continue"/>
            <w:vAlign w:val="center"/>
          </w:tcPr>
          <w:p>
            <w:pPr>
              <w:widowControl/>
              <w:spacing w:line="240" w:lineRule="atLeast"/>
              <w:jc w:val="center"/>
              <w:rPr>
                <w:rFonts w:ascii="Times New Roman" w:hAnsi="Times New Roman" w:eastAsia="仿宋_GB2312" w:cs="Times New Roman"/>
                <w:color w:val="auto"/>
                <w:sz w:val="21"/>
                <w:szCs w:val="21"/>
              </w:rPr>
            </w:pPr>
          </w:p>
        </w:tc>
        <w:tc>
          <w:tcPr>
            <w:tcW w:w="447" w:type="pct"/>
            <w:vAlign w:val="center"/>
          </w:tcPr>
          <w:p>
            <w:pPr>
              <w:spacing w:line="240" w:lineRule="atLeast"/>
              <w:jc w:val="center"/>
              <w:rPr>
                <w:rFonts w:ascii="Times New Roman" w:hAnsi="Times New Roman" w:eastAsia="仿宋_GB2312" w:cs="Times New Roman"/>
                <w:color w:val="auto"/>
                <w:sz w:val="21"/>
                <w:szCs w:val="20"/>
              </w:rPr>
            </w:pPr>
            <w:r>
              <w:rPr>
                <w:rFonts w:hint="eastAsia" w:ascii="Times New Roman" w:hAnsi="Times New Roman" w:eastAsia="仿宋_GB2312" w:cs="Times New Roman"/>
                <w:color w:val="auto"/>
                <w:sz w:val="21"/>
                <w:szCs w:val="20"/>
              </w:rPr>
              <w:t>3</w:t>
            </w:r>
            <w:r>
              <w:rPr>
                <w:rFonts w:ascii="Times New Roman" w:hAnsi="Times New Roman" w:eastAsia="仿宋_GB2312" w:cs="Times New Roman"/>
                <w:color w:val="auto"/>
                <w:sz w:val="21"/>
                <w:szCs w:val="20"/>
              </w:rPr>
              <w:t>.0</w:t>
            </w:r>
          </w:p>
        </w:tc>
        <w:tc>
          <w:tcPr>
            <w:tcW w:w="446" w:type="pct"/>
            <w:vAlign w:val="center"/>
          </w:tcPr>
          <w:p>
            <w:pPr>
              <w:spacing w:line="240" w:lineRule="atLeast"/>
              <w:jc w:val="center"/>
              <w:rPr>
                <w:rFonts w:ascii="Times New Roman" w:hAnsi="Times New Roman" w:eastAsia="仿宋_GB2312" w:cs="Times New Roman"/>
                <w:color w:val="auto"/>
                <w:sz w:val="21"/>
                <w:szCs w:val="20"/>
              </w:rPr>
            </w:pPr>
            <w:r>
              <w:rPr>
                <w:rFonts w:ascii="Times New Roman" w:hAnsi="Times New Roman" w:eastAsia="仿宋_GB2312" w:cs="Times New Roman"/>
                <w:color w:val="auto"/>
                <w:sz w:val="21"/>
                <w:szCs w:val="20"/>
              </w:rPr>
              <w:t>1.0</w:t>
            </w:r>
          </w:p>
        </w:tc>
        <w:tc>
          <w:tcPr>
            <w:tcW w:w="447" w:type="pct"/>
            <w:vAlign w:val="center"/>
          </w:tcPr>
          <w:p>
            <w:pPr>
              <w:spacing w:line="240" w:lineRule="atLeast"/>
              <w:jc w:val="center"/>
              <w:rPr>
                <w:rFonts w:ascii="Times New Roman" w:hAnsi="Times New Roman" w:eastAsia="仿宋_GB2312" w:cs="Times New Roman"/>
                <w:color w:val="auto"/>
                <w:sz w:val="21"/>
                <w:szCs w:val="20"/>
              </w:rPr>
            </w:pPr>
            <w:r>
              <w:rPr>
                <w:rFonts w:hint="eastAsia" w:ascii="Times New Roman" w:hAnsi="Times New Roman" w:eastAsia="仿宋_GB2312" w:cs="Times New Roman"/>
                <w:color w:val="auto"/>
                <w:sz w:val="21"/>
                <w:szCs w:val="20"/>
              </w:rPr>
              <w:t>1.5</w:t>
            </w:r>
          </w:p>
        </w:tc>
        <w:tc>
          <w:tcPr>
            <w:tcW w:w="447" w:type="pct"/>
            <w:vAlign w:val="center"/>
          </w:tcPr>
          <w:p>
            <w:pPr>
              <w:spacing w:line="240" w:lineRule="atLeast"/>
              <w:jc w:val="center"/>
              <w:rPr>
                <w:rFonts w:ascii="Times New Roman" w:hAnsi="Times New Roman" w:eastAsia="仿宋_GB2312" w:cs="Times New Roman"/>
                <w:color w:val="auto"/>
                <w:sz w:val="21"/>
                <w:szCs w:val="20"/>
              </w:rPr>
            </w:pPr>
            <w:r>
              <w:rPr>
                <w:rFonts w:ascii="Times New Roman" w:hAnsi="Times New Roman" w:eastAsia="仿宋_GB2312" w:cs="Times New Roman"/>
                <w:color w:val="auto"/>
                <w:sz w:val="21"/>
                <w:szCs w:val="20"/>
              </w:rPr>
              <w:t>0.5</w:t>
            </w:r>
          </w:p>
        </w:tc>
        <w:tc>
          <w:tcPr>
            <w:tcW w:w="602" w:type="pct"/>
            <w:vMerge w:val="continue"/>
            <w:vAlign w:val="center"/>
          </w:tcPr>
          <w:p>
            <w:pPr>
              <w:widowControl/>
              <w:spacing w:line="240" w:lineRule="atLeast"/>
              <w:jc w:val="center"/>
              <w:rPr>
                <w:rFonts w:ascii="Times New Roman" w:hAnsi="Times New Roman" w:eastAsia="仿宋_GB2312" w:cs="Times New Roman"/>
                <w:color w:val="auto"/>
                <w:sz w:val="21"/>
                <w:szCs w:val="21"/>
              </w:rPr>
            </w:pPr>
          </w:p>
        </w:tc>
        <w:tc>
          <w:tcPr>
            <w:tcW w:w="800" w:type="pct"/>
            <w:vMerge w:val="continue"/>
            <w:vAlign w:val="center"/>
          </w:tcPr>
          <w:p>
            <w:pPr>
              <w:widowControl/>
              <w:spacing w:line="240" w:lineRule="atLeast"/>
              <w:jc w:val="center"/>
              <w:rPr>
                <w:rFonts w:ascii="Times New Roman" w:hAnsi="Times New Roman" w:eastAsia="仿宋_GB2312" w:cs="Times New Roman"/>
                <w:color w:val="auto"/>
                <w:sz w:val="21"/>
                <w:szCs w:val="21"/>
              </w:rPr>
            </w:pPr>
          </w:p>
        </w:tc>
        <w:tc>
          <w:tcPr>
            <w:tcW w:w="814" w:type="pct"/>
            <w:vMerge w:val="continue"/>
            <w:vAlign w:val="center"/>
          </w:tcPr>
          <w:p>
            <w:pPr>
              <w:widowControl/>
              <w:spacing w:line="240" w:lineRule="atLeast"/>
              <w:jc w:val="center"/>
              <w:rPr>
                <w:rFonts w:ascii="Times New Roman" w:hAnsi="Times New Roman" w:eastAsia="仿宋_GB2312" w:cs="Times New Roman"/>
                <w:color w:val="auto"/>
                <w:sz w:val="21"/>
                <w:szCs w:val="21"/>
              </w:rPr>
            </w:pPr>
          </w:p>
        </w:tc>
      </w:tr>
    </w:tbl>
    <w:p>
      <w:pPr>
        <w:widowControl/>
        <w:adjustRightInd w:val="0"/>
        <w:snapToGrid w:val="0"/>
        <w:spacing w:beforeLines="50" w:line="360" w:lineRule="auto"/>
        <w:jc w:val="center"/>
        <w:rPr>
          <w:rFonts w:ascii="Times New Roman" w:hAnsi="Times New Roman" w:cs="Times New Roman"/>
          <w:color w:val="auto"/>
          <w:szCs w:val="24"/>
        </w:rPr>
      </w:pPr>
      <w:r>
        <w:rPr>
          <w:rFonts w:ascii="Times New Roman" w:hAnsi="Times New Roman" w:eastAsia="仿宋_GB2312" w:cs="Times New Roman"/>
          <w:color w:val="auto"/>
          <w:szCs w:val="24"/>
        </w:rPr>
        <w:drawing>
          <wp:inline distT="0" distB="0" distL="0" distR="0">
            <wp:extent cx="4642485" cy="2181225"/>
            <wp:effectExtent l="0" t="0" r="5715" b="3175"/>
            <wp:docPr id="46" name="图片 18" descr="临时沉沙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8" descr="临时沉沙池"/>
                    <pic:cNvPicPr>
                      <a:picLocks noChangeAspect="1" noChangeArrowheads="1"/>
                    </pic:cNvPicPr>
                  </pic:nvPicPr>
                  <pic:blipFill>
                    <a:blip r:embed="rId104"/>
                    <a:srcRect/>
                    <a:stretch>
                      <a:fillRect/>
                    </a:stretch>
                  </pic:blipFill>
                  <pic:spPr>
                    <a:xfrm>
                      <a:off x="0" y="0"/>
                      <a:ext cx="4642485" cy="2181225"/>
                    </a:xfrm>
                    <a:prstGeom prst="rect">
                      <a:avLst/>
                    </a:prstGeom>
                    <a:noFill/>
                    <a:ln w="9525">
                      <a:noFill/>
                      <a:miter lim="800000"/>
                      <a:headEnd/>
                      <a:tailEnd/>
                    </a:ln>
                  </pic:spPr>
                </pic:pic>
              </a:graphicData>
            </a:graphic>
          </wp:inline>
        </w:drawing>
      </w:r>
    </w:p>
    <w:p>
      <w:pPr>
        <w:spacing w:line="360" w:lineRule="auto"/>
        <w:jc w:val="center"/>
        <w:rPr>
          <w:rFonts w:ascii="Times New Roman" w:hAnsi="Times New Roman" w:eastAsia="仿宋_GB2312" w:cs="Times New Roman"/>
          <w:b/>
          <w:color w:val="auto"/>
          <w:spacing w:val="1"/>
          <w:szCs w:val="24"/>
        </w:rPr>
      </w:pPr>
      <w:r>
        <w:rPr>
          <w:rFonts w:ascii="Times New Roman" w:hAnsi="Times New Roman" w:eastAsia="仿宋_GB2312" w:cs="Times New Roman"/>
          <w:b/>
          <w:color w:val="auto"/>
          <w:szCs w:val="24"/>
        </w:rPr>
        <w:t>图5.3-</w:t>
      </w:r>
      <w:r>
        <w:rPr>
          <w:rFonts w:hint="eastAsia" w:ascii="Times New Roman" w:hAnsi="Times New Roman" w:eastAsia="仿宋_GB2312" w:cs="Times New Roman"/>
          <w:b/>
          <w:color w:val="auto"/>
          <w:szCs w:val="24"/>
          <w:lang w:val="en-US" w:eastAsia="zh-CN"/>
        </w:rPr>
        <w:t>8</w:t>
      </w:r>
      <w:r>
        <w:rPr>
          <w:rFonts w:ascii="Times New Roman" w:hAnsi="Times New Roman" w:eastAsia="仿宋_GB2312" w:cs="Times New Roman"/>
          <w:b/>
          <w:color w:val="auto"/>
          <w:szCs w:val="24"/>
        </w:rPr>
        <w:t>：</w:t>
      </w:r>
      <w:r>
        <w:rPr>
          <w:rFonts w:ascii="Times New Roman" w:hAnsi="Times New Roman" w:eastAsia="仿宋_GB2312" w:cs="Times New Roman"/>
          <w:b/>
          <w:color w:val="auto"/>
          <w:spacing w:val="1"/>
          <w:szCs w:val="24"/>
        </w:rPr>
        <w:t>临时沉沙平面图</w:t>
      </w:r>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3</w:t>
      </w:r>
      <w:r>
        <w:rPr>
          <w:rFonts w:ascii="Times New Roman" w:hAnsi="Times New Roman" w:eastAsia="仿宋_GB2312" w:cs="Times New Roman"/>
          <w:color w:val="auto"/>
          <w:szCs w:val="24"/>
        </w:rPr>
        <w:t>）临时拦挡</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①</w:t>
      </w:r>
      <w:r>
        <w:rPr>
          <w:rFonts w:ascii="Times New Roman" w:hAnsi="Times New Roman" w:eastAsia="仿宋_GB2312" w:cs="Times New Roman"/>
          <w:bCs/>
          <w:color w:val="auto"/>
          <w:szCs w:val="24"/>
        </w:rPr>
        <w:t>编织袋拦挡：布置在临时</w:t>
      </w:r>
      <w:r>
        <w:rPr>
          <w:rFonts w:hint="eastAsia" w:ascii="Times New Roman" w:hAnsi="Times New Roman" w:eastAsia="仿宋_GB2312" w:cs="Times New Roman"/>
          <w:bCs/>
          <w:color w:val="auto"/>
          <w:szCs w:val="24"/>
        </w:rPr>
        <w:t>表土</w:t>
      </w:r>
      <w:r>
        <w:rPr>
          <w:rFonts w:ascii="Times New Roman" w:hAnsi="Times New Roman" w:eastAsia="仿宋_GB2312" w:cs="Times New Roman"/>
          <w:bCs/>
          <w:color w:val="auto"/>
          <w:szCs w:val="24"/>
        </w:rPr>
        <w:t>堆场和</w:t>
      </w:r>
      <w:r>
        <w:rPr>
          <w:rFonts w:hint="eastAsia" w:ascii="Times New Roman" w:hAnsi="Times New Roman" w:eastAsia="仿宋_GB2312" w:cs="Times New Roman"/>
          <w:bCs/>
          <w:color w:val="auto"/>
          <w:szCs w:val="24"/>
          <w:lang w:eastAsia="zh-CN"/>
        </w:rPr>
        <w:t>淤泥晾干场</w:t>
      </w:r>
      <w:r>
        <w:rPr>
          <w:rFonts w:ascii="Times New Roman" w:hAnsi="Times New Roman" w:eastAsia="仿宋_GB2312" w:cs="Times New Roman"/>
          <w:bCs/>
          <w:color w:val="auto"/>
          <w:szCs w:val="24"/>
        </w:rPr>
        <w:t>周边</w:t>
      </w:r>
      <w:r>
        <w:rPr>
          <w:rFonts w:hint="eastAsia" w:ascii="Times New Roman" w:hAnsi="Times New Roman" w:eastAsia="仿宋_GB2312" w:cs="Times New Roman"/>
          <w:bCs/>
          <w:color w:val="auto"/>
          <w:szCs w:val="24"/>
        </w:rPr>
        <w:t>，</w:t>
      </w:r>
      <w:r>
        <w:rPr>
          <w:rFonts w:ascii="Times New Roman" w:hAnsi="Times New Roman" w:eastAsia="仿宋_GB2312" w:cs="Times New Roman"/>
          <w:color w:val="auto"/>
          <w:szCs w:val="24"/>
        </w:rPr>
        <w:t>采用装土编织袋堆砌而成，横断面为梯形，尺寸为高×顶宽×底宽=1m×0.5m×2.0m。堆砌时，编织袋应相互咬合、搭接，搭接长度不小于编织袋长度的1/3。</w:t>
      </w:r>
      <w:r>
        <w:rPr>
          <w:rFonts w:ascii="Times New Roman" w:hAnsi="Times New Roman" w:eastAsia="仿宋_GB2312" w:cs="Times New Roman"/>
          <w:bCs/>
          <w:color w:val="auto"/>
          <w:szCs w:val="24"/>
        </w:rPr>
        <w:t>编织袋拦挡</w:t>
      </w:r>
      <w:r>
        <w:rPr>
          <w:rFonts w:ascii="Times New Roman" w:hAnsi="Times New Roman" w:eastAsia="仿宋_GB2312" w:cs="Times New Roman"/>
          <w:color w:val="auto"/>
          <w:szCs w:val="24"/>
        </w:rPr>
        <w:t>见图5</w:t>
      </w:r>
      <w:r>
        <w:rPr>
          <w:rFonts w:hint="eastAsia" w:ascii="Times New Roman" w:hAnsi="Times New Roman" w:eastAsia="仿宋_GB2312" w:cs="Times New Roman"/>
          <w:color w:val="auto"/>
          <w:szCs w:val="24"/>
        </w:rPr>
        <w:t>.3-</w:t>
      </w:r>
      <w:r>
        <w:rPr>
          <w:rFonts w:hint="eastAsia" w:ascii="Times New Roman" w:hAnsi="Times New Roman" w:eastAsia="仿宋_GB2312" w:cs="Times New Roman"/>
          <w:color w:val="auto"/>
          <w:szCs w:val="24"/>
          <w:lang w:val="en-US" w:eastAsia="zh-CN"/>
        </w:rPr>
        <w:t>9</w:t>
      </w:r>
      <w:r>
        <w:rPr>
          <w:rFonts w:ascii="Times New Roman" w:hAnsi="Times New Roman" w:eastAsia="仿宋_GB2312" w:cs="Times New Roman"/>
          <w:color w:val="auto"/>
          <w:szCs w:val="24"/>
        </w:rPr>
        <w:t>。</w:t>
      </w:r>
    </w:p>
    <w:p>
      <w:pPr>
        <w:snapToGrid w:val="0"/>
        <w:spacing w:line="360" w:lineRule="auto"/>
        <w:jc w:val="center"/>
        <w:rPr>
          <w:rFonts w:ascii="Times New Roman" w:hAnsi="Times New Roman" w:eastAsia="仿宋_GB2312" w:cs="Times New Roman"/>
          <w:b/>
          <w:bCs/>
          <w:color w:val="auto"/>
          <w:szCs w:val="24"/>
        </w:rPr>
      </w:pPr>
      <w:r>
        <w:rPr>
          <w:rFonts w:ascii="Times New Roman" w:hAnsi="Times New Roman" w:eastAsia="仿宋_GB2312" w:cs="Times New Roman"/>
          <w:b/>
          <w:bCs/>
          <w:color w:val="auto"/>
          <w:szCs w:val="24"/>
        </w:rPr>
        <w:t>表5</w:t>
      </w:r>
      <w:r>
        <w:rPr>
          <w:rFonts w:hint="eastAsia" w:ascii="Times New Roman" w:hAnsi="Times New Roman" w:eastAsia="仿宋_GB2312" w:cs="Times New Roman"/>
          <w:b/>
          <w:bCs/>
          <w:color w:val="auto"/>
          <w:szCs w:val="24"/>
        </w:rPr>
        <w:t>.</w:t>
      </w:r>
      <w:r>
        <w:rPr>
          <w:rFonts w:ascii="Times New Roman" w:hAnsi="Times New Roman" w:eastAsia="仿宋_GB2312" w:cs="Times New Roman"/>
          <w:b/>
          <w:bCs/>
          <w:color w:val="auto"/>
          <w:szCs w:val="24"/>
        </w:rPr>
        <w:t>3-</w:t>
      </w:r>
      <w:r>
        <w:rPr>
          <w:rFonts w:hint="eastAsia" w:ascii="Times New Roman" w:hAnsi="Times New Roman" w:eastAsia="仿宋_GB2312" w:cs="Times New Roman"/>
          <w:b/>
          <w:bCs/>
          <w:color w:val="auto"/>
          <w:szCs w:val="24"/>
          <w:lang w:val="en-US" w:eastAsia="zh-CN"/>
        </w:rPr>
        <w:t>12</w:t>
      </w:r>
      <w:r>
        <w:rPr>
          <w:rFonts w:ascii="Times New Roman" w:hAnsi="Times New Roman" w:eastAsia="仿宋_GB2312" w:cs="Times New Roman"/>
          <w:b/>
          <w:bCs/>
          <w:color w:val="auto"/>
          <w:szCs w:val="24"/>
        </w:rPr>
        <w:t>：</w:t>
      </w:r>
      <w:r>
        <w:rPr>
          <w:rFonts w:hint="eastAsia" w:ascii="Times New Roman" w:hAnsi="Times New Roman" w:eastAsia="仿宋_GB2312" w:cs="Times New Roman"/>
          <w:b/>
          <w:bCs/>
          <w:color w:val="auto"/>
          <w:szCs w:val="24"/>
        </w:rPr>
        <w:t>编织袋拦挡</w:t>
      </w:r>
      <w:r>
        <w:rPr>
          <w:rFonts w:ascii="Times New Roman" w:hAnsi="Times New Roman" w:eastAsia="仿宋_GB2312" w:cs="Times New Roman"/>
          <w:b/>
          <w:bCs/>
          <w:color w:val="auto"/>
          <w:szCs w:val="24"/>
        </w:rPr>
        <w:t>单位工程量表</w:t>
      </w:r>
    </w:p>
    <w:tbl>
      <w:tblPr>
        <w:tblStyle w:val="37"/>
        <w:tblW w:w="821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96"/>
        <w:gridCol w:w="2871"/>
        <w:gridCol w:w="1598"/>
        <w:gridCol w:w="244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64" w:hRule="atLeast"/>
          <w:jc w:val="center"/>
        </w:trPr>
        <w:tc>
          <w:tcPr>
            <w:tcW w:w="1296" w:type="dxa"/>
            <w:tcBorders>
              <w:top w:val="single" w:color="auto" w:sz="12" w:space="0"/>
              <w:left w:val="single" w:color="auto" w:sz="12" w:space="0"/>
              <w:bottom w:val="single" w:color="auto" w:sz="6" w:space="0"/>
              <w:right w:val="single" w:color="auto" w:sz="6" w:space="0"/>
            </w:tcBorders>
            <w:noWrap/>
            <w:vAlign w:val="center"/>
          </w:tcPr>
          <w:p>
            <w:pPr>
              <w:adjustRightInd w:val="0"/>
              <w:snapToGrid w:val="0"/>
              <w:jc w:val="center"/>
              <w:rPr>
                <w:rFonts w:ascii="Times New Roman" w:hAnsi="Times New Roman" w:eastAsia="仿宋_GB2312" w:cs="Times New Roman"/>
                <w:b/>
                <w:bCs/>
                <w:color w:val="auto"/>
                <w:kern w:val="10"/>
                <w:sz w:val="21"/>
                <w:szCs w:val="21"/>
              </w:rPr>
            </w:pPr>
            <w:r>
              <w:rPr>
                <w:rFonts w:ascii="Times New Roman" w:hAnsi="Times New Roman" w:eastAsia="仿宋_GB2312" w:cs="Times New Roman"/>
                <w:b/>
                <w:bCs/>
                <w:color w:val="auto"/>
                <w:kern w:val="10"/>
                <w:sz w:val="21"/>
                <w:szCs w:val="21"/>
              </w:rPr>
              <w:t>序号</w:t>
            </w:r>
          </w:p>
        </w:tc>
        <w:tc>
          <w:tcPr>
            <w:tcW w:w="2871" w:type="dxa"/>
            <w:tcBorders>
              <w:top w:val="single" w:color="auto" w:sz="12" w:space="0"/>
              <w:left w:val="single" w:color="auto" w:sz="6" w:space="0"/>
              <w:bottom w:val="single" w:color="auto" w:sz="6" w:space="0"/>
              <w:right w:val="single" w:color="auto" w:sz="6" w:space="0"/>
            </w:tcBorders>
            <w:noWrap/>
            <w:vAlign w:val="center"/>
          </w:tcPr>
          <w:p>
            <w:pPr>
              <w:adjustRightInd w:val="0"/>
              <w:snapToGrid w:val="0"/>
              <w:jc w:val="center"/>
              <w:rPr>
                <w:rFonts w:ascii="Times New Roman" w:hAnsi="Times New Roman" w:eastAsia="仿宋_GB2312" w:cs="Times New Roman"/>
                <w:b/>
                <w:bCs/>
                <w:color w:val="auto"/>
                <w:kern w:val="10"/>
                <w:sz w:val="21"/>
                <w:szCs w:val="21"/>
              </w:rPr>
            </w:pPr>
            <w:r>
              <w:rPr>
                <w:rFonts w:hint="eastAsia" w:ascii="Times New Roman" w:hAnsi="Times New Roman" w:eastAsia="仿宋_GB2312" w:cs="Times New Roman"/>
                <w:b/>
                <w:bCs/>
                <w:color w:val="auto"/>
                <w:kern w:val="10"/>
                <w:sz w:val="21"/>
                <w:szCs w:val="21"/>
                <w:lang w:val="en-US" w:eastAsia="zh-CN"/>
              </w:rPr>
              <w:t>措施</w:t>
            </w:r>
            <w:r>
              <w:rPr>
                <w:rFonts w:ascii="Times New Roman" w:hAnsi="Times New Roman" w:eastAsia="仿宋_GB2312" w:cs="Times New Roman"/>
                <w:b/>
                <w:bCs/>
                <w:color w:val="auto"/>
                <w:kern w:val="10"/>
                <w:sz w:val="21"/>
                <w:szCs w:val="21"/>
              </w:rPr>
              <w:t>名称</w:t>
            </w:r>
          </w:p>
        </w:tc>
        <w:tc>
          <w:tcPr>
            <w:tcW w:w="1598" w:type="dxa"/>
            <w:tcBorders>
              <w:top w:val="single" w:color="auto" w:sz="12" w:space="0"/>
              <w:left w:val="single" w:color="auto" w:sz="6" w:space="0"/>
              <w:bottom w:val="single" w:color="auto" w:sz="6" w:space="0"/>
              <w:right w:val="single" w:color="auto" w:sz="6" w:space="0"/>
            </w:tcBorders>
            <w:noWrap/>
            <w:vAlign w:val="center"/>
          </w:tcPr>
          <w:p>
            <w:pPr>
              <w:adjustRightInd w:val="0"/>
              <w:snapToGrid w:val="0"/>
              <w:jc w:val="center"/>
              <w:rPr>
                <w:rFonts w:ascii="Times New Roman" w:hAnsi="Times New Roman" w:eastAsia="仿宋_GB2312" w:cs="Times New Roman"/>
                <w:b/>
                <w:bCs/>
                <w:color w:val="auto"/>
                <w:kern w:val="10"/>
                <w:sz w:val="21"/>
                <w:szCs w:val="21"/>
              </w:rPr>
            </w:pPr>
            <w:r>
              <w:rPr>
                <w:rFonts w:ascii="Times New Roman" w:hAnsi="Times New Roman" w:eastAsia="仿宋_GB2312" w:cs="Times New Roman"/>
                <w:b/>
                <w:bCs/>
                <w:color w:val="auto"/>
                <w:kern w:val="10"/>
                <w:sz w:val="21"/>
                <w:szCs w:val="21"/>
              </w:rPr>
              <w:t>单位</w:t>
            </w:r>
          </w:p>
        </w:tc>
        <w:tc>
          <w:tcPr>
            <w:tcW w:w="2445" w:type="dxa"/>
            <w:tcBorders>
              <w:top w:val="single" w:color="auto" w:sz="12" w:space="0"/>
              <w:left w:val="single" w:color="auto" w:sz="6" w:space="0"/>
              <w:bottom w:val="single" w:color="auto" w:sz="6" w:space="0"/>
              <w:right w:val="single" w:color="auto" w:sz="12" w:space="0"/>
            </w:tcBorders>
            <w:noWrap/>
            <w:vAlign w:val="center"/>
          </w:tcPr>
          <w:p>
            <w:pPr>
              <w:adjustRightInd w:val="0"/>
              <w:snapToGrid w:val="0"/>
              <w:jc w:val="center"/>
              <w:rPr>
                <w:rFonts w:ascii="Times New Roman" w:hAnsi="Times New Roman" w:eastAsia="仿宋_GB2312" w:cs="Times New Roman"/>
                <w:b/>
                <w:bCs/>
                <w:color w:val="auto"/>
                <w:kern w:val="10"/>
                <w:sz w:val="21"/>
                <w:szCs w:val="21"/>
              </w:rPr>
            </w:pPr>
            <w:r>
              <w:rPr>
                <w:rFonts w:ascii="Times New Roman" w:hAnsi="Times New Roman" w:eastAsia="仿宋_GB2312" w:cs="Times New Roman"/>
                <w:b/>
                <w:bCs/>
                <w:color w:val="auto"/>
                <w:kern w:val="10"/>
                <w:sz w:val="21"/>
                <w:szCs w:val="21"/>
              </w:rPr>
              <w:t>数量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64" w:hRule="atLeast"/>
          <w:jc w:val="center"/>
        </w:trPr>
        <w:tc>
          <w:tcPr>
            <w:tcW w:w="1296" w:type="dxa"/>
            <w:tcBorders>
              <w:top w:val="single" w:color="auto" w:sz="6" w:space="0"/>
              <w:left w:val="single" w:color="auto" w:sz="12" w:space="0"/>
              <w:bottom w:val="single" w:color="auto" w:sz="6" w:space="0"/>
              <w:right w:val="single" w:color="auto" w:sz="6" w:space="0"/>
            </w:tcBorders>
            <w:noWrap/>
            <w:vAlign w:val="center"/>
          </w:tcPr>
          <w:p>
            <w:pPr>
              <w:adjustRightInd w:val="0"/>
              <w:snapToGrid w:val="0"/>
              <w:jc w:val="center"/>
              <w:rPr>
                <w:rFonts w:ascii="Times New Roman" w:hAnsi="Times New Roman" w:eastAsia="仿宋_GB2312" w:cs="Times New Roman"/>
                <w:color w:val="auto"/>
                <w:kern w:val="10"/>
                <w:sz w:val="21"/>
                <w:szCs w:val="21"/>
              </w:rPr>
            </w:pPr>
            <w:r>
              <w:rPr>
                <w:rFonts w:ascii="Times New Roman" w:hAnsi="Times New Roman" w:eastAsia="仿宋_GB2312" w:cs="Times New Roman"/>
                <w:color w:val="auto"/>
                <w:kern w:val="10"/>
                <w:sz w:val="21"/>
                <w:szCs w:val="21"/>
              </w:rPr>
              <w:t>1</w:t>
            </w:r>
          </w:p>
        </w:tc>
        <w:tc>
          <w:tcPr>
            <w:tcW w:w="2871" w:type="dxa"/>
            <w:tcBorders>
              <w:top w:val="single" w:color="auto" w:sz="6" w:space="0"/>
              <w:left w:val="single" w:color="auto" w:sz="6" w:space="0"/>
              <w:bottom w:val="single" w:color="auto" w:sz="6" w:space="0"/>
              <w:right w:val="single" w:color="auto" w:sz="6" w:space="0"/>
            </w:tcBorders>
            <w:noWrap/>
            <w:vAlign w:val="center"/>
          </w:tcPr>
          <w:p>
            <w:pPr>
              <w:adjustRightInd w:val="0"/>
              <w:snapToGrid w:val="0"/>
              <w:jc w:val="center"/>
              <w:rPr>
                <w:rFonts w:ascii="Times New Roman" w:hAnsi="Times New Roman" w:eastAsia="仿宋_GB2312" w:cs="Times New Roman"/>
                <w:color w:val="auto"/>
                <w:kern w:val="10"/>
                <w:sz w:val="21"/>
                <w:szCs w:val="21"/>
              </w:rPr>
            </w:pPr>
            <w:r>
              <w:rPr>
                <w:rFonts w:ascii="Times New Roman" w:hAnsi="Times New Roman" w:eastAsia="仿宋_GB2312" w:cs="Times New Roman"/>
                <w:color w:val="auto"/>
                <w:kern w:val="10"/>
                <w:sz w:val="21"/>
                <w:szCs w:val="21"/>
              </w:rPr>
              <w:t>编织袋装土填筑</w:t>
            </w:r>
          </w:p>
        </w:tc>
        <w:tc>
          <w:tcPr>
            <w:tcW w:w="1598" w:type="dxa"/>
            <w:tcBorders>
              <w:top w:val="single" w:color="auto" w:sz="6" w:space="0"/>
              <w:left w:val="single" w:color="auto" w:sz="6" w:space="0"/>
              <w:bottom w:val="single" w:color="auto" w:sz="6" w:space="0"/>
              <w:right w:val="single" w:color="auto" w:sz="6" w:space="0"/>
            </w:tcBorders>
            <w:noWrap/>
            <w:vAlign w:val="center"/>
          </w:tcPr>
          <w:p>
            <w:pPr>
              <w:adjustRightInd w:val="0"/>
              <w:snapToGrid w:val="0"/>
              <w:jc w:val="center"/>
              <w:rPr>
                <w:rFonts w:ascii="Times New Roman" w:hAnsi="Times New Roman" w:eastAsia="仿宋_GB2312" w:cs="Times New Roman"/>
                <w:color w:val="auto"/>
                <w:kern w:val="10"/>
                <w:sz w:val="21"/>
                <w:szCs w:val="21"/>
              </w:rPr>
            </w:pPr>
            <w:r>
              <w:rPr>
                <w:rFonts w:ascii="Times New Roman" w:hAnsi="Times New Roman" w:eastAsia="仿宋_GB2312" w:cs="Times New Roman"/>
                <w:color w:val="auto"/>
                <w:kern w:val="10"/>
                <w:sz w:val="21"/>
                <w:szCs w:val="21"/>
              </w:rPr>
              <w:t>m</w:t>
            </w:r>
            <w:r>
              <w:rPr>
                <w:rFonts w:ascii="Times New Roman" w:hAnsi="Times New Roman" w:eastAsia="仿宋_GB2312" w:cs="Times New Roman"/>
                <w:color w:val="auto"/>
                <w:kern w:val="10"/>
                <w:sz w:val="21"/>
                <w:szCs w:val="21"/>
                <w:vertAlign w:val="superscript"/>
              </w:rPr>
              <w:t>3</w:t>
            </w:r>
            <w:r>
              <w:rPr>
                <w:rFonts w:ascii="Times New Roman" w:hAnsi="Times New Roman" w:eastAsia="仿宋_GB2312" w:cs="Times New Roman"/>
                <w:color w:val="auto"/>
                <w:kern w:val="10"/>
                <w:sz w:val="21"/>
                <w:szCs w:val="21"/>
              </w:rPr>
              <w:t>/m</w:t>
            </w:r>
          </w:p>
        </w:tc>
        <w:tc>
          <w:tcPr>
            <w:tcW w:w="2445" w:type="dxa"/>
            <w:tcBorders>
              <w:top w:val="single" w:color="auto" w:sz="6" w:space="0"/>
              <w:left w:val="single" w:color="auto" w:sz="6" w:space="0"/>
              <w:bottom w:val="single" w:color="auto" w:sz="6" w:space="0"/>
              <w:right w:val="single" w:color="auto" w:sz="12" w:space="0"/>
            </w:tcBorders>
            <w:noWrap/>
            <w:vAlign w:val="center"/>
          </w:tcPr>
          <w:p>
            <w:pPr>
              <w:adjustRightInd w:val="0"/>
              <w:snapToGrid w:val="0"/>
              <w:jc w:val="center"/>
              <w:rPr>
                <w:rFonts w:ascii="Times New Roman" w:hAnsi="Times New Roman" w:eastAsia="仿宋_GB2312" w:cs="Times New Roman"/>
                <w:color w:val="auto"/>
                <w:kern w:val="10"/>
                <w:sz w:val="21"/>
                <w:szCs w:val="21"/>
              </w:rPr>
            </w:pPr>
            <w:r>
              <w:rPr>
                <w:rFonts w:ascii="Times New Roman" w:hAnsi="Times New Roman" w:eastAsia="仿宋_GB2312" w:cs="Times New Roman"/>
                <w:color w:val="auto"/>
                <w:kern w:val="10"/>
                <w:sz w:val="21"/>
                <w:szCs w:val="21"/>
              </w:rPr>
              <w:t>1.25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64" w:hRule="atLeast"/>
          <w:jc w:val="center"/>
        </w:trPr>
        <w:tc>
          <w:tcPr>
            <w:tcW w:w="1296" w:type="dxa"/>
            <w:tcBorders>
              <w:top w:val="single" w:color="auto" w:sz="6" w:space="0"/>
              <w:left w:val="single" w:color="auto" w:sz="12" w:space="0"/>
              <w:bottom w:val="single" w:color="auto" w:sz="12" w:space="0"/>
              <w:right w:val="single" w:color="auto" w:sz="6" w:space="0"/>
            </w:tcBorders>
            <w:noWrap/>
            <w:vAlign w:val="center"/>
          </w:tcPr>
          <w:p>
            <w:pPr>
              <w:adjustRightInd w:val="0"/>
              <w:snapToGrid w:val="0"/>
              <w:jc w:val="center"/>
              <w:rPr>
                <w:rFonts w:ascii="Times New Roman" w:hAnsi="Times New Roman" w:eastAsia="仿宋_GB2312" w:cs="Times New Roman"/>
                <w:color w:val="auto"/>
                <w:kern w:val="10"/>
                <w:sz w:val="21"/>
                <w:szCs w:val="21"/>
              </w:rPr>
            </w:pPr>
            <w:r>
              <w:rPr>
                <w:rFonts w:ascii="Times New Roman" w:hAnsi="Times New Roman" w:eastAsia="仿宋_GB2312" w:cs="Times New Roman"/>
                <w:color w:val="auto"/>
                <w:kern w:val="10"/>
                <w:sz w:val="21"/>
                <w:szCs w:val="21"/>
              </w:rPr>
              <w:t>2</w:t>
            </w:r>
          </w:p>
        </w:tc>
        <w:tc>
          <w:tcPr>
            <w:tcW w:w="2871" w:type="dxa"/>
            <w:tcBorders>
              <w:top w:val="single" w:color="auto" w:sz="6" w:space="0"/>
              <w:left w:val="single" w:color="auto" w:sz="6" w:space="0"/>
              <w:bottom w:val="single" w:color="auto" w:sz="12" w:space="0"/>
              <w:right w:val="single" w:color="auto" w:sz="6" w:space="0"/>
            </w:tcBorders>
            <w:noWrap/>
            <w:vAlign w:val="center"/>
          </w:tcPr>
          <w:p>
            <w:pPr>
              <w:adjustRightInd w:val="0"/>
              <w:snapToGrid w:val="0"/>
              <w:jc w:val="center"/>
              <w:rPr>
                <w:rFonts w:ascii="Times New Roman" w:hAnsi="Times New Roman" w:eastAsia="仿宋_GB2312" w:cs="Times New Roman"/>
                <w:color w:val="auto"/>
                <w:kern w:val="10"/>
                <w:sz w:val="21"/>
                <w:szCs w:val="21"/>
              </w:rPr>
            </w:pPr>
            <w:r>
              <w:rPr>
                <w:rFonts w:ascii="Times New Roman" w:hAnsi="Times New Roman" w:eastAsia="仿宋_GB2312" w:cs="Times New Roman"/>
                <w:color w:val="auto"/>
                <w:kern w:val="10"/>
                <w:sz w:val="21"/>
                <w:szCs w:val="21"/>
              </w:rPr>
              <w:t>编织袋挡墙拆除</w:t>
            </w:r>
          </w:p>
        </w:tc>
        <w:tc>
          <w:tcPr>
            <w:tcW w:w="1598" w:type="dxa"/>
            <w:tcBorders>
              <w:top w:val="single" w:color="auto" w:sz="6" w:space="0"/>
              <w:left w:val="single" w:color="auto" w:sz="6" w:space="0"/>
              <w:bottom w:val="single" w:color="auto" w:sz="12" w:space="0"/>
              <w:right w:val="single" w:color="auto" w:sz="6" w:space="0"/>
            </w:tcBorders>
            <w:noWrap/>
            <w:vAlign w:val="center"/>
          </w:tcPr>
          <w:p>
            <w:pPr>
              <w:adjustRightInd w:val="0"/>
              <w:snapToGrid w:val="0"/>
              <w:jc w:val="center"/>
              <w:rPr>
                <w:rFonts w:ascii="Times New Roman" w:hAnsi="Times New Roman" w:eastAsia="仿宋_GB2312" w:cs="Times New Roman"/>
                <w:color w:val="auto"/>
                <w:kern w:val="10"/>
                <w:sz w:val="21"/>
                <w:szCs w:val="21"/>
              </w:rPr>
            </w:pPr>
            <w:r>
              <w:rPr>
                <w:rFonts w:ascii="Times New Roman" w:hAnsi="Times New Roman" w:eastAsia="仿宋_GB2312" w:cs="Times New Roman"/>
                <w:color w:val="auto"/>
                <w:kern w:val="10"/>
                <w:sz w:val="21"/>
                <w:szCs w:val="21"/>
              </w:rPr>
              <w:t>m</w:t>
            </w:r>
            <w:r>
              <w:rPr>
                <w:rFonts w:ascii="Times New Roman" w:hAnsi="Times New Roman" w:eastAsia="仿宋_GB2312" w:cs="Times New Roman"/>
                <w:color w:val="auto"/>
                <w:kern w:val="10"/>
                <w:sz w:val="21"/>
                <w:szCs w:val="21"/>
                <w:vertAlign w:val="superscript"/>
              </w:rPr>
              <w:t>3</w:t>
            </w:r>
            <w:r>
              <w:rPr>
                <w:rFonts w:ascii="Times New Roman" w:hAnsi="Times New Roman" w:eastAsia="仿宋_GB2312" w:cs="Times New Roman"/>
                <w:color w:val="auto"/>
                <w:kern w:val="10"/>
                <w:sz w:val="21"/>
                <w:szCs w:val="21"/>
              </w:rPr>
              <w:t>/m</w:t>
            </w:r>
          </w:p>
        </w:tc>
        <w:tc>
          <w:tcPr>
            <w:tcW w:w="2445" w:type="dxa"/>
            <w:tcBorders>
              <w:top w:val="single" w:color="auto" w:sz="6" w:space="0"/>
              <w:left w:val="single" w:color="auto" w:sz="6" w:space="0"/>
              <w:bottom w:val="single" w:color="auto" w:sz="12" w:space="0"/>
              <w:right w:val="single" w:color="auto" w:sz="12" w:space="0"/>
            </w:tcBorders>
            <w:noWrap/>
            <w:vAlign w:val="center"/>
          </w:tcPr>
          <w:p>
            <w:pPr>
              <w:adjustRightInd w:val="0"/>
              <w:snapToGrid w:val="0"/>
              <w:jc w:val="center"/>
              <w:rPr>
                <w:rFonts w:ascii="Times New Roman" w:hAnsi="Times New Roman" w:eastAsia="仿宋_GB2312" w:cs="Times New Roman"/>
                <w:color w:val="auto"/>
                <w:kern w:val="10"/>
                <w:sz w:val="21"/>
                <w:szCs w:val="21"/>
              </w:rPr>
            </w:pPr>
            <w:r>
              <w:rPr>
                <w:rFonts w:ascii="Times New Roman" w:hAnsi="Times New Roman" w:eastAsia="仿宋_GB2312" w:cs="Times New Roman"/>
                <w:color w:val="auto"/>
                <w:kern w:val="10"/>
                <w:sz w:val="21"/>
                <w:szCs w:val="21"/>
              </w:rPr>
              <w:t>1.25</w:t>
            </w:r>
          </w:p>
        </w:tc>
      </w:tr>
    </w:tbl>
    <w:p>
      <w:pPr>
        <w:widowControl/>
        <w:snapToGrid w:val="0"/>
        <w:spacing w:line="360" w:lineRule="auto"/>
        <w:ind w:left="1" w:leftChars="-135" w:hanging="325" w:hangingChars="135"/>
        <w:jc w:val="center"/>
        <w:rPr>
          <w:rFonts w:ascii="Times New Roman" w:hAnsi="Times New Roman" w:eastAsia="仿宋_GB2312" w:cs="Times New Roman"/>
          <w:b/>
          <w:bCs/>
          <w:color w:val="auto"/>
          <w:szCs w:val="24"/>
        </w:rPr>
      </w:pPr>
      <w:r>
        <w:rPr>
          <w:rFonts w:ascii="Times New Roman" w:hAnsi="Times New Roman" w:eastAsia="仿宋_GB2312" w:cs="Times New Roman"/>
          <w:b/>
          <w:bCs/>
          <w:color w:val="auto"/>
          <w:szCs w:val="24"/>
        </w:rPr>
        <w:drawing>
          <wp:inline distT="0" distB="0" distL="114300" distR="114300">
            <wp:extent cx="3706495" cy="2073910"/>
            <wp:effectExtent l="0" t="0" r="1905" b="8890"/>
            <wp:docPr id="50" name="图片 39" descr="3a23b2cd444f6df6f3b26392b005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9" descr="3a23b2cd444f6df6f3b26392b005e39"/>
                    <pic:cNvPicPr>
                      <a:picLocks noChangeAspect="1"/>
                    </pic:cNvPicPr>
                  </pic:nvPicPr>
                  <pic:blipFill>
                    <a:blip r:embed="rId105"/>
                    <a:stretch>
                      <a:fillRect/>
                    </a:stretch>
                  </pic:blipFill>
                  <pic:spPr>
                    <a:xfrm>
                      <a:off x="0" y="0"/>
                      <a:ext cx="3706495" cy="2073910"/>
                    </a:xfrm>
                    <a:prstGeom prst="rect">
                      <a:avLst/>
                    </a:prstGeom>
                  </pic:spPr>
                </pic:pic>
              </a:graphicData>
            </a:graphic>
          </wp:inline>
        </w:drawing>
      </w:r>
    </w:p>
    <w:p>
      <w:pPr>
        <w:widowControl/>
        <w:snapToGrid w:val="0"/>
        <w:spacing w:line="360" w:lineRule="auto"/>
        <w:ind w:left="1" w:leftChars="-135" w:hanging="325" w:hangingChars="135"/>
        <w:jc w:val="center"/>
        <w:rPr>
          <w:rFonts w:ascii="Times New Roman" w:hAnsi="Times New Roman" w:eastAsia="仿宋_GB2312" w:cs="Times New Roman"/>
          <w:b/>
          <w:bCs/>
          <w:color w:val="auto"/>
          <w:szCs w:val="24"/>
        </w:rPr>
      </w:pPr>
      <w:r>
        <w:rPr>
          <w:rFonts w:ascii="Times New Roman" w:hAnsi="Times New Roman" w:eastAsia="仿宋_GB2312" w:cs="Times New Roman"/>
          <w:b/>
          <w:bCs/>
          <w:color w:val="auto"/>
          <w:szCs w:val="24"/>
        </w:rPr>
        <w:t>图5</w:t>
      </w:r>
      <w:r>
        <w:rPr>
          <w:rFonts w:hint="eastAsia" w:ascii="Times New Roman" w:hAnsi="Times New Roman" w:eastAsia="仿宋_GB2312" w:cs="Times New Roman"/>
          <w:b/>
          <w:bCs/>
          <w:color w:val="auto"/>
          <w:szCs w:val="24"/>
        </w:rPr>
        <w:t>.</w:t>
      </w:r>
      <w:r>
        <w:rPr>
          <w:rFonts w:ascii="Times New Roman" w:hAnsi="Times New Roman" w:eastAsia="仿宋_GB2312" w:cs="Times New Roman"/>
          <w:b/>
          <w:bCs/>
          <w:color w:val="auto"/>
          <w:szCs w:val="24"/>
        </w:rPr>
        <w:t>3-</w:t>
      </w:r>
      <w:r>
        <w:rPr>
          <w:rFonts w:hint="eastAsia" w:ascii="Times New Roman" w:hAnsi="Times New Roman" w:eastAsia="仿宋_GB2312" w:cs="Times New Roman"/>
          <w:b/>
          <w:bCs/>
          <w:color w:val="auto"/>
          <w:szCs w:val="24"/>
          <w:lang w:val="en-US" w:eastAsia="zh-CN"/>
        </w:rPr>
        <w:t>9</w:t>
      </w:r>
      <w:r>
        <w:rPr>
          <w:rFonts w:ascii="Times New Roman" w:hAnsi="Times New Roman" w:eastAsia="仿宋_GB2312" w:cs="Times New Roman"/>
          <w:b/>
          <w:bCs/>
          <w:color w:val="auto"/>
          <w:szCs w:val="24"/>
        </w:rPr>
        <w:t>：</w:t>
      </w:r>
      <w:r>
        <w:rPr>
          <w:rFonts w:hint="eastAsia" w:ascii="Times New Roman" w:hAnsi="Times New Roman" w:eastAsia="仿宋_GB2312" w:cs="Times New Roman"/>
          <w:b/>
          <w:bCs/>
          <w:color w:val="auto"/>
          <w:szCs w:val="24"/>
        </w:rPr>
        <w:t>编织袋拦挡</w:t>
      </w:r>
      <w:r>
        <w:rPr>
          <w:rFonts w:ascii="Times New Roman" w:hAnsi="Times New Roman" w:eastAsia="仿宋_GB2312" w:cs="Times New Roman"/>
          <w:b/>
          <w:bCs/>
          <w:color w:val="auto"/>
          <w:szCs w:val="24"/>
        </w:rPr>
        <w:t>设计断面图</w:t>
      </w:r>
    </w:p>
    <w:p>
      <w:pPr>
        <w:pStyle w:val="6"/>
        <w:bidi w:val="0"/>
        <w:rPr>
          <w:rFonts w:ascii="Times New Roman" w:hAnsi="Times New Roman" w:cs="Times New Roman"/>
          <w:b/>
          <w:color w:val="auto"/>
          <w:sz w:val="30"/>
          <w:szCs w:val="30"/>
        </w:rPr>
      </w:pPr>
      <w:r>
        <w:rPr>
          <w:rFonts w:ascii="Times New Roman" w:hAnsi="Times New Roman" w:cs="Times New Roman"/>
          <w:b/>
          <w:color w:val="auto"/>
          <w:sz w:val="30"/>
          <w:szCs w:val="30"/>
        </w:rPr>
        <w:t>5.3.</w:t>
      </w:r>
      <w:r>
        <w:rPr>
          <w:rFonts w:hint="eastAsia" w:ascii="Times New Roman" w:hAnsi="Times New Roman" w:cs="Times New Roman"/>
          <w:b/>
          <w:color w:val="auto"/>
          <w:sz w:val="30"/>
          <w:szCs w:val="30"/>
        </w:rPr>
        <w:t>4</w:t>
      </w:r>
      <w:r>
        <w:rPr>
          <w:rFonts w:ascii="Times New Roman" w:hAnsi="Times New Roman" w:eastAsia="仿宋_GB2312" w:cs="Times New Roman"/>
          <w:b/>
          <w:color w:val="auto"/>
          <w:sz w:val="30"/>
          <w:szCs w:val="30"/>
        </w:rPr>
        <w:t>防治措施工程量汇总</w:t>
      </w:r>
      <w:bookmarkEnd w:id="331"/>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根据水土保持措施布局与设计，本工程各防治区水土保持措施工程量详见表5</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3-</w:t>
      </w:r>
      <w:r>
        <w:rPr>
          <w:rFonts w:hint="eastAsia" w:ascii="Times New Roman" w:hAnsi="Times New Roman" w:eastAsia="仿宋_GB2312" w:cs="Times New Roman"/>
          <w:color w:val="auto"/>
          <w:szCs w:val="24"/>
          <w:lang w:val="en-US" w:eastAsia="zh-CN"/>
        </w:rPr>
        <w:t>13</w:t>
      </w:r>
      <w:r>
        <w:rPr>
          <w:rFonts w:ascii="Times New Roman" w:hAnsi="Times New Roman" w:eastAsia="仿宋_GB2312" w:cs="Times New Roman"/>
          <w:color w:val="auto"/>
          <w:szCs w:val="24"/>
        </w:rPr>
        <w:t>。</w:t>
      </w:r>
    </w:p>
    <w:p>
      <w:pPr>
        <w:widowControl/>
        <w:snapToGrid w:val="0"/>
        <w:spacing w:line="360" w:lineRule="auto"/>
        <w:jc w:val="center"/>
        <w:rPr>
          <w:rFonts w:ascii="Times New Roman" w:hAnsi="Times New Roman" w:eastAsia="仿宋_GB2312" w:cs="Times New Roman"/>
          <w:color w:val="auto"/>
          <w:szCs w:val="24"/>
        </w:rPr>
      </w:pPr>
      <w:r>
        <w:rPr>
          <w:rFonts w:ascii="Times New Roman" w:hAnsi="Times New Roman" w:eastAsia="仿宋_GB2312" w:cs="Times New Roman"/>
          <w:b/>
          <w:color w:val="auto"/>
          <w:szCs w:val="24"/>
        </w:rPr>
        <w:t>表5</w:t>
      </w:r>
      <w:r>
        <w:rPr>
          <w:rFonts w:hint="eastAsia" w:ascii="Times New Roman" w:hAnsi="Times New Roman" w:eastAsia="仿宋_GB2312" w:cs="Times New Roman"/>
          <w:b/>
          <w:color w:val="auto"/>
          <w:szCs w:val="24"/>
        </w:rPr>
        <w:t>.</w:t>
      </w:r>
      <w:r>
        <w:rPr>
          <w:rFonts w:ascii="Times New Roman" w:hAnsi="Times New Roman" w:eastAsia="仿宋_GB2312" w:cs="Times New Roman"/>
          <w:b/>
          <w:color w:val="auto"/>
          <w:szCs w:val="24"/>
        </w:rPr>
        <w:t>3-</w:t>
      </w:r>
      <w:r>
        <w:rPr>
          <w:rFonts w:hint="eastAsia" w:ascii="Times New Roman" w:hAnsi="Times New Roman" w:eastAsia="仿宋_GB2312" w:cs="Times New Roman"/>
          <w:b/>
          <w:color w:val="auto"/>
          <w:szCs w:val="24"/>
          <w:lang w:val="en-US" w:eastAsia="zh-CN"/>
        </w:rPr>
        <w:t>13</w:t>
      </w:r>
      <w:r>
        <w:rPr>
          <w:rFonts w:ascii="Times New Roman" w:hAnsi="Times New Roman" w:eastAsia="仿宋_GB2312" w:cs="Times New Roman"/>
          <w:b/>
          <w:color w:val="auto"/>
          <w:szCs w:val="24"/>
        </w:rPr>
        <w:t>：</w:t>
      </w:r>
      <w:r>
        <w:rPr>
          <w:rFonts w:ascii="Times New Roman" w:hAnsi="Times New Roman" w:eastAsia="仿宋_GB2312" w:cs="Times New Roman"/>
          <w:b/>
          <w:bCs/>
          <w:color w:val="auto"/>
          <w:szCs w:val="24"/>
        </w:rPr>
        <w:t>水土保持措施工程量汇总表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27"/>
        <w:gridCol w:w="746"/>
        <w:gridCol w:w="965"/>
        <w:gridCol w:w="1871"/>
        <w:gridCol w:w="912"/>
        <w:gridCol w:w="1147"/>
        <w:gridCol w:w="195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982" w:type="pct"/>
            <w:gridSpan w:val="2"/>
            <w:vAlign w:val="center"/>
          </w:tcPr>
          <w:p>
            <w:pPr>
              <w:widowControl/>
              <w:spacing w:line="240" w:lineRule="atLeast"/>
              <w:jc w:val="center"/>
              <w:rPr>
                <w:rFonts w:cs="Times New Roman"/>
                <w:b/>
                <w:bCs/>
                <w:color w:val="auto"/>
                <w:kern w:val="0"/>
                <w:sz w:val="21"/>
                <w:szCs w:val="21"/>
              </w:rPr>
            </w:pPr>
            <w:bookmarkStart w:id="332" w:name="_Toc26278"/>
            <w:r>
              <w:rPr>
                <w:rFonts w:ascii="Times New Roman" w:hAnsi="Times New Roman" w:eastAsia="仿宋_GB2312" w:cs="Times New Roman"/>
                <w:b/>
                <w:bCs/>
                <w:color w:val="auto"/>
                <w:kern w:val="0"/>
                <w:sz w:val="21"/>
                <w:szCs w:val="21"/>
              </w:rPr>
              <w:t>分区名称</w:t>
            </w:r>
          </w:p>
        </w:tc>
        <w:tc>
          <w:tcPr>
            <w:tcW w:w="566" w:type="pct"/>
            <w:shd w:val="clear" w:color="auto" w:fill="auto"/>
            <w:vAlign w:val="center"/>
          </w:tcPr>
          <w:p>
            <w:pPr>
              <w:widowControl/>
              <w:spacing w:line="240" w:lineRule="atLeast"/>
              <w:jc w:val="center"/>
              <w:rPr>
                <w:rFonts w:cs="Times New Roman"/>
                <w:b/>
                <w:bCs/>
                <w:color w:val="auto"/>
                <w:kern w:val="0"/>
                <w:sz w:val="21"/>
                <w:szCs w:val="21"/>
              </w:rPr>
            </w:pPr>
            <w:r>
              <w:rPr>
                <w:rFonts w:ascii="Times New Roman" w:hAnsi="Times New Roman" w:eastAsia="仿宋_GB2312" w:cs="Times New Roman"/>
                <w:b/>
                <w:bCs/>
                <w:color w:val="auto"/>
                <w:kern w:val="0"/>
                <w:sz w:val="21"/>
                <w:szCs w:val="21"/>
              </w:rPr>
              <w:t>序号</w:t>
            </w:r>
          </w:p>
        </w:tc>
        <w:tc>
          <w:tcPr>
            <w:tcW w:w="1098" w:type="pct"/>
            <w:shd w:val="clear" w:color="auto" w:fill="auto"/>
            <w:vAlign w:val="center"/>
          </w:tcPr>
          <w:p>
            <w:pPr>
              <w:widowControl/>
              <w:spacing w:line="240" w:lineRule="atLeast"/>
              <w:jc w:val="center"/>
              <w:rPr>
                <w:rFonts w:cs="Times New Roman"/>
                <w:b/>
                <w:bCs/>
                <w:color w:val="auto"/>
                <w:kern w:val="0"/>
                <w:sz w:val="21"/>
                <w:szCs w:val="21"/>
              </w:rPr>
            </w:pPr>
            <w:r>
              <w:rPr>
                <w:rFonts w:ascii="Times New Roman" w:hAnsi="Times New Roman" w:eastAsia="仿宋_GB2312" w:cs="Times New Roman"/>
                <w:b/>
                <w:bCs/>
                <w:color w:val="auto"/>
                <w:kern w:val="0"/>
                <w:sz w:val="21"/>
                <w:szCs w:val="21"/>
              </w:rPr>
              <w:t>措施名称</w:t>
            </w:r>
          </w:p>
        </w:tc>
        <w:tc>
          <w:tcPr>
            <w:tcW w:w="535" w:type="pct"/>
            <w:shd w:val="clear" w:color="auto" w:fill="auto"/>
            <w:vAlign w:val="center"/>
          </w:tcPr>
          <w:p>
            <w:pPr>
              <w:widowControl/>
              <w:spacing w:line="240" w:lineRule="atLeast"/>
              <w:jc w:val="center"/>
              <w:rPr>
                <w:rFonts w:cs="Times New Roman"/>
                <w:b/>
                <w:bCs/>
                <w:color w:val="auto"/>
                <w:kern w:val="0"/>
                <w:sz w:val="21"/>
                <w:szCs w:val="21"/>
              </w:rPr>
            </w:pPr>
            <w:r>
              <w:rPr>
                <w:rFonts w:ascii="Times New Roman" w:hAnsi="Times New Roman" w:eastAsia="仿宋_GB2312" w:cs="Times New Roman"/>
                <w:b/>
                <w:bCs/>
                <w:color w:val="auto"/>
                <w:kern w:val="0"/>
                <w:sz w:val="21"/>
                <w:szCs w:val="21"/>
              </w:rPr>
              <w:t>单位</w:t>
            </w:r>
          </w:p>
        </w:tc>
        <w:tc>
          <w:tcPr>
            <w:tcW w:w="673" w:type="pct"/>
            <w:shd w:val="clear" w:color="auto" w:fill="auto"/>
            <w:vAlign w:val="center"/>
          </w:tcPr>
          <w:p>
            <w:pPr>
              <w:widowControl/>
              <w:spacing w:line="240" w:lineRule="atLeast"/>
              <w:jc w:val="center"/>
              <w:rPr>
                <w:rFonts w:cs="Times New Roman"/>
                <w:b/>
                <w:bCs/>
                <w:color w:val="auto"/>
                <w:kern w:val="0"/>
                <w:sz w:val="21"/>
                <w:szCs w:val="21"/>
              </w:rPr>
            </w:pPr>
            <w:r>
              <w:rPr>
                <w:rFonts w:ascii="Times New Roman" w:hAnsi="Times New Roman" w:eastAsia="仿宋_GB2312" w:cs="Times New Roman"/>
                <w:b/>
                <w:bCs/>
                <w:color w:val="auto"/>
                <w:kern w:val="0"/>
                <w:sz w:val="21"/>
                <w:szCs w:val="21"/>
              </w:rPr>
              <w:t>工程量</w:t>
            </w:r>
          </w:p>
        </w:tc>
        <w:tc>
          <w:tcPr>
            <w:tcW w:w="1144" w:type="pct"/>
            <w:shd w:val="clear" w:color="auto" w:fill="auto"/>
            <w:vAlign w:val="center"/>
          </w:tcPr>
          <w:p>
            <w:pPr>
              <w:widowControl/>
              <w:spacing w:line="240" w:lineRule="atLeast"/>
              <w:jc w:val="center"/>
              <w:rPr>
                <w:rFonts w:cs="Times New Roman"/>
                <w:b/>
                <w:bCs/>
                <w:color w:val="auto"/>
                <w:kern w:val="0"/>
                <w:sz w:val="21"/>
                <w:szCs w:val="21"/>
              </w:rPr>
            </w:pPr>
            <w:r>
              <w:rPr>
                <w:rFonts w:ascii="Times New Roman" w:hAnsi="Times New Roman" w:eastAsia="仿宋_GB2312" w:cs="Times New Roman"/>
                <w:b/>
                <w:bCs/>
                <w:color w:val="auto"/>
                <w:kern w:val="0"/>
                <w:sz w:val="21"/>
                <w:szCs w:val="21"/>
              </w:rPr>
              <w:t>主体已列工程量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restart"/>
            <w:vAlign w:val="center"/>
          </w:tcPr>
          <w:p>
            <w:pPr>
              <w:pStyle w:val="184"/>
              <w:rPr>
                <w:rFonts w:cs="Times New Roman"/>
                <w:color w:val="auto"/>
                <w:szCs w:val="21"/>
              </w:rPr>
            </w:pPr>
            <w:r>
              <w:rPr>
                <w:rFonts w:cs="Times New Roman"/>
                <w:color w:val="auto"/>
                <w:kern w:val="0"/>
                <w:szCs w:val="21"/>
              </w:rPr>
              <w:t>公共基础设施区</w:t>
            </w:r>
          </w:p>
        </w:tc>
        <w:tc>
          <w:tcPr>
            <w:tcW w:w="437" w:type="pct"/>
            <w:vMerge w:val="restart"/>
            <w:shd w:val="clear" w:color="auto" w:fill="auto"/>
            <w:vAlign w:val="center"/>
          </w:tcPr>
          <w:p>
            <w:pPr>
              <w:pStyle w:val="184"/>
              <w:rPr>
                <w:rFonts w:cs="Times New Roman"/>
                <w:color w:val="auto"/>
                <w:szCs w:val="21"/>
              </w:rPr>
            </w:pPr>
            <w:r>
              <w:rPr>
                <w:rFonts w:cs="Times New Roman"/>
                <w:color w:val="auto"/>
                <w:szCs w:val="21"/>
              </w:rPr>
              <w:t>道路与交通设施用地区</w:t>
            </w:r>
          </w:p>
        </w:tc>
        <w:tc>
          <w:tcPr>
            <w:tcW w:w="566" w:type="pct"/>
            <w:shd w:val="clear" w:color="auto" w:fill="auto"/>
            <w:vAlign w:val="center"/>
          </w:tcPr>
          <w:p>
            <w:pPr>
              <w:pStyle w:val="184"/>
              <w:rPr>
                <w:rFonts w:cs="Times New Roman"/>
                <w:b/>
                <w:bCs/>
                <w:color w:val="auto"/>
                <w:szCs w:val="21"/>
              </w:rPr>
            </w:pPr>
            <w:r>
              <w:rPr>
                <w:rFonts w:cs="Times New Roman"/>
                <w:b/>
                <w:bCs/>
                <w:color w:val="auto"/>
                <w:szCs w:val="21"/>
              </w:rPr>
              <w:t>一</w:t>
            </w:r>
          </w:p>
        </w:tc>
        <w:tc>
          <w:tcPr>
            <w:tcW w:w="1098" w:type="pct"/>
            <w:shd w:val="clear" w:color="auto" w:fill="auto"/>
            <w:vAlign w:val="center"/>
          </w:tcPr>
          <w:p>
            <w:pPr>
              <w:pStyle w:val="184"/>
              <w:rPr>
                <w:rFonts w:cs="Times New Roman"/>
                <w:b/>
                <w:bCs/>
                <w:color w:val="auto"/>
                <w:szCs w:val="21"/>
              </w:rPr>
            </w:pPr>
            <w:r>
              <w:rPr>
                <w:rFonts w:cs="Times New Roman"/>
                <w:b/>
                <w:bCs/>
                <w:color w:val="auto"/>
                <w:szCs w:val="21"/>
              </w:rPr>
              <w:t>工程措施</w:t>
            </w:r>
          </w:p>
        </w:tc>
        <w:tc>
          <w:tcPr>
            <w:tcW w:w="535" w:type="pct"/>
            <w:shd w:val="clear" w:color="auto" w:fill="auto"/>
            <w:vAlign w:val="center"/>
          </w:tcPr>
          <w:p>
            <w:pPr>
              <w:pStyle w:val="184"/>
              <w:rPr>
                <w:rFonts w:cs="Times New Roman"/>
                <w:color w:val="auto"/>
                <w:szCs w:val="21"/>
              </w:rPr>
            </w:pPr>
          </w:p>
        </w:tc>
        <w:tc>
          <w:tcPr>
            <w:tcW w:w="673" w:type="pct"/>
            <w:shd w:val="clear" w:color="auto" w:fill="auto"/>
            <w:vAlign w:val="center"/>
          </w:tcPr>
          <w:p>
            <w:pPr>
              <w:pStyle w:val="184"/>
              <w:rPr>
                <w:rFonts w:cs="Times New Roman"/>
                <w:color w:val="auto"/>
                <w:szCs w:val="21"/>
              </w:rPr>
            </w:pPr>
          </w:p>
        </w:tc>
        <w:tc>
          <w:tcPr>
            <w:tcW w:w="1144" w:type="pct"/>
            <w:shd w:val="clear" w:color="auto" w:fill="auto"/>
            <w:vAlign w:val="center"/>
          </w:tcPr>
          <w:p>
            <w:pPr>
              <w:pStyle w:val="184"/>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pStyle w:val="184"/>
              <w:rPr>
                <w:rFonts w:cs="Times New Roman"/>
                <w:color w:val="auto"/>
                <w:kern w:val="0"/>
                <w:szCs w:val="21"/>
              </w:rPr>
            </w:pPr>
          </w:p>
        </w:tc>
        <w:tc>
          <w:tcPr>
            <w:tcW w:w="437" w:type="pct"/>
            <w:vMerge w:val="continue"/>
            <w:shd w:val="clear" w:color="auto" w:fill="auto"/>
            <w:vAlign w:val="center"/>
          </w:tcPr>
          <w:p>
            <w:pPr>
              <w:pStyle w:val="184"/>
              <w:rPr>
                <w:rFonts w:cs="Times New Roman"/>
                <w:color w:val="auto"/>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1</w:t>
            </w:r>
          </w:p>
        </w:tc>
        <w:tc>
          <w:tcPr>
            <w:tcW w:w="1098" w:type="pct"/>
            <w:shd w:val="clear" w:color="auto" w:fill="auto"/>
            <w:vAlign w:val="center"/>
          </w:tcPr>
          <w:p>
            <w:pPr>
              <w:pStyle w:val="184"/>
              <w:rPr>
                <w:rFonts w:cs="Times New Roman"/>
                <w:color w:val="auto"/>
                <w:szCs w:val="21"/>
              </w:rPr>
            </w:pPr>
            <w:r>
              <w:rPr>
                <w:rFonts w:cs="Times New Roman"/>
                <w:color w:val="auto"/>
                <w:szCs w:val="21"/>
              </w:rPr>
              <w:t>土地整治工程</w:t>
            </w:r>
          </w:p>
        </w:tc>
        <w:tc>
          <w:tcPr>
            <w:tcW w:w="535" w:type="pct"/>
            <w:shd w:val="clear" w:color="auto" w:fill="auto"/>
            <w:vAlign w:val="center"/>
          </w:tcPr>
          <w:p>
            <w:pPr>
              <w:pStyle w:val="184"/>
              <w:rPr>
                <w:rFonts w:cs="Times New Roman"/>
                <w:color w:val="auto"/>
                <w:szCs w:val="21"/>
              </w:rPr>
            </w:pPr>
          </w:p>
        </w:tc>
        <w:tc>
          <w:tcPr>
            <w:tcW w:w="673" w:type="pct"/>
            <w:shd w:val="clear" w:color="auto" w:fill="auto"/>
            <w:vAlign w:val="center"/>
          </w:tcPr>
          <w:p>
            <w:pPr>
              <w:pStyle w:val="184"/>
              <w:rPr>
                <w:rFonts w:cs="Times New Roman"/>
                <w:color w:val="auto"/>
                <w:szCs w:val="21"/>
              </w:rPr>
            </w:pPr>
          </w:p>
        </w:tc>
        <w:tc>
          <w:tcPr>
            <w:tcW w:w="1144" w:type="pct"/>
            <w:shd w:val="clear" w:color="auto" w:fill="auto"/>
            <w:vAlign w:val="center"/>
          </w:tcPr>
          <w:p>
            <w:pPr>
              <w:pStyle w:val="184"/>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pStyle w:val="184"/>
              <w:rPr>
                <w:rFonts w:cs="Times New Roman"/>
                <w:color w:val="auto"/>
                <w:szCs w:val="21"/>
              </w:rPr>
            </w:pPr>
          </w:p>
        </w:tc>
        <w:tc>
          <w:tcPr>
            <w:tcW w:w="437" w:type="pct"/>
            <w:vMerge w:val="continue"/>
            <w:shd w:val="clear" w:color="auto" w:fill="auto"/>
            <w:vAlign w:val="center"/>
          </w:tcPr>
          <w:p>
            <w:pPr>
              <w:pStyle w:val="184"/>
              <w:rPr>
                <w:rFonts w:cs="Times New Roman"/>
                <w:color w:val="auto"/>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（1）</w:t>
            </w:r>
          </w:p>
        </w:tc>
        <w:tc>
          <w:tcPr>
            <w:tcW w:w="1098" w:type="pct"/>
            <w:shd w:val="clear" w:color="auto" w:fill="auto"/>
            <w:vAlign w:val="center"/>
          </w:tcPr>
          <w:p>
            <w:pPr>
              <w:pStyle w:val="184"/>
              <w:rPr>
                <w:rFonts w:cs="Times New Roman"/>
                <w:color w:val="auto"/>
                <w:szCs w:val="21"/>
              </w:rPr>
            </w:pPr>
            <w:r>
              <w:rPr>
                <w:rFonts w:cs="Times New Roman"/>
                <w:color w:val="auto"/>
                <w:szCs w:val="21"/>
              </w:rPr>
              <w:t>表土剥离</w:t>
            </w:r>
          </w:p>
        </w:tc>
        <w:tc>
          <w:tcPr>
            <w:tcW w:w="535" w:type="pct"/>
            <w:shd w:val="clear" w:color="auto" w:fill="auto"/>
            <w:vAlign w:val="center"/>
          </w:tcPr>
          <w:p>
            <w:pPr>
              <w:pStyle w:val="184"/>
              <w:rPr>
                <w:rFonts w:cs="Times New Roman"/>
                <w:color w:val="auto"/>
                <w:szCs w:val="21"/>
              </w:rPr>
            </w:pPr>
            <w:r>
              <w:rPr>
                <w:rFonts w:hint="eastAsia" w:cs="Times New Roman"/>
                <w:color w:val="auto"/>
                <w:szCs w:val="21"/>
              </w:rPr>
              <w:t>万m</w:t>
            </w:r>
            <w:r>
              <w:rPr>
                <w:rFonts w:hint="eastAsia" w:cs="Times New Roman"/>
                <w:color w:val="auto"/>
                <w:szCs w:val="21"/>
                <w:vertAlign w:val="superscript"/>
              </w:rPr>
              <w:t>3</w:t>
            </w:r>
          </w:p>
        </w:tc>
        <w:tc>
          <w:tcPr>
            <w:tcW w:w="673" w:type="pct"/>
            <w:shd w:val="clear" w:color="auto" w:fill="auto"/>
            <w:vAlign w:val="center"/>
          </w:tcPr>
          <w:p>
            <w:pPr>
              <w:pStyle w:val="184"/>
              <w:rPr>
                <w:rFonts w:cs="Times New Roman"/>
                <w:color w:val="auto"/>
                <w:szCs w:val="21"/>
              </w:rPr>
            </w:pPr>
            <w:r>
              <w:rPr>
                <w:rFonts w:cs="Times New Roman"/>
                <w:color w:val="auto"/>
                <w:szCs w:val="21"/>
              </w:rPr>
              <w:t>0.98</w:t>
            </w:r>
          </w:p>
        </w:tc>
        <w:tc>
          <w:tcPr>
            <w:tcW w:w="1144" w:type="pct"/>
            <w:shd w:val="clear" w:color="auto" w:fill="auto"/>
            <w:vAlign w:val="center"/>
          </w:tcPr>
          <w:p>
            <w:pPr>
              <w:pStyle w:val="184"/>
              <w:rPr>
                <w:rFonts w:cs="Times New Roman"/>
                <w:color w:val="auto"/>
                <w:szCs w:val="21"/>
              </w:rPr>
            </w:pPr>
            <w:r>
              <w:rPr>
                <w:rFonts w:cs="Times New Roman"/>
                <w:color w:val="auto"/>
                <w:szCs w:val="21"/>
              </w:rPr>
              <w:t>0.98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widowControl/>
              <w:spacing w:line="240" w:lineRule="atLeast"/>
              <w:jc w:val="center"/>
              <w:rPr>
                <w:rFonts w:cs="Times New Roman"/>
                <w:color w:val="auto"/>
                <w:kern w:val="0"/>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（2）</w:t>
            </w:r>
          </w:p>
        </w:tc>
        <w:tc>
          <w:tcPr>
            <w:tcW w:w="1098" w:type="pct"/>
            <w:shd w:val="clear" w:color="auto" w:fill="auto"/>
            <w:vAlign w:val="center"/>
          </w:tcPr>
          <w:p>
            <w:pPr>
              <w:pStyle w:val="184"/>
              <w:rPr>
                <w:rFonts w:cs="Times New Roman"/>
                <w:color w:val="auto"/>
                <w:kern w:val="0"/>
                <w:szCs w:val="21"/>
              </w:rPr>
            </w:pPr>
            <w:r>
              <w:rPr>
                <w:rFonts w:cs="Times New Roman"/>
                <w:color w:val="auto"/>
                <w:szCs w:val="21"/>
              </w:rPr>
              <w:t>表土回填</w:t>
            </w:r>
          </w:p>
        </w:tc>
        <w:tc>
          <w:tcPr>
            <w:tcW w:w="535" w:type="pct"/>
            <w:shd w:val="clear" w:color="auto" w:fill="auto"/>
            <w:vAlign w:val="center"/>
          </w:tcPr>
          <w:p>
            <w:pPr>
              <w:pStyle w:val="184"/>
              <w:rPr>
                <w:rFonts w:cs="Times New Roman"/>
                <w:color w:val="auto"/>
                <w:szCs w:val="21"/>
              </w:rPr>
            </w:pPr>
            <w:r>
              <w:rPr>
                <w:rFonts w:hint="eastAsia" w:cs="Times New Roman"/>
                <w:color w:val="auto"/>
                <w:szCs w:val="21"/>
              </w:rPr>
              <w:t>万m</w:t>
            </w:r>
            <w:r>
              <w:rPr>
                <w:rFonts w:hint="eastAsia" w:cs="Times New Roman"/>
                <w:color w:val="auto"/>
                <w:szCs w:val="21"/>
                <w:vertAlign w:val="superscript"/>
              </w:rPr>
              <w:t>3</w:t>
            </w:r>
          </w:p>
        </w:tc>
        <w:tc>
          <w:tcPr>
            <w:tcW w:w="673" w:type="pct"/>
            <w:shd w:val="clear" w:color="auto" w:fill="auto"/>
            <w:vAlign w:val="center"/>
          </w:tcPr>
          <w:p>
            <w:pPr>
              <w:pStyle w:val="184"/>
              <w:rPr>
                <w:rFonts w:cs="Times New Roman"/>
                <w:color w:val="auto"/>
                <w:szCs w:val="21"/>
              </w:rPr>
            </w:pPr>
            <w:r>
              <w:rPr>
                <w:rFonts w:cs="Times New Roman"/>
                <w:color w:val="auto"/>
                <w:szCs w:val="21"/>
              </w:rPr>
              <w:t>0.08</w:t>
            </w:r>
          </w:p>
        </w:tc>
        <w:tc>
          <w:tcPr>
            <w:tcW w:w="1144" w:type="pct"/>
            <w:shd w:val="clear" w:color="auto" w:fill="auto"/>
            <w:vAlign w:val="center"/>
          </w:tcPr>
          <w:p>
            <w:pPr>
              <w:pStyle w:val="184"/>
              <w:rPr>
                <w:rFonts w:cs="Times New Roman"/>
                <w:color w:val="auto"/>
                <w:szCs w:val="21"/>
              </w:rPr>
            </w:pPr>
            <w:r>
              <w:rPr>
                <w:rFonts w:cs="Times New Roman"/>
                <w:color w:val="auto"/>
                <w:szCs w:val="21"/>
              </w:rPr>
              <w:t>0.08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widowControl/>
              <w:spacing w:line="240" w:lineRule="atLeast"/>
              <w:jc w:val="center"/>
              <w:rPr>
                <w:rFonts w:cs="Times New Roman"/>
                <w:color w:val="auto"/>
                <w:kern w:val="0"/>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2</w:t>
            </w:r>
          </w:p>
        </w:tc>
        <w:tc>
          <w:tcPr>
            <w:tcW w:w="1098" w:type="pct"/>
            <w:shd w:val="clear" w:color="auto" w:fill="auto"/>
            <w:vAlign w:val="center"/>
          </w:tcPr>
          <w:p>
            <w:pPr>
              <w:pStyle w:val="184"/>
              <w:rPr>
                <w:rFonts w:cs="Times New Roman"/>
                <w:color w:val="auto"/>
                <w:szCs w:val="21"/>
              </w:rPr>
            </w:pPr>
            <w:r>
              <w:rPr>
                <w:rFonts w:cs="Times New Roman"/>
                <w:color w:val="auto"/>
                <w:szCs w:val="21"/>
              </w:rPr>
              <w:t>排水工程</w:t>
            </w:r>
          </w:p>
        </w:tc>
        <w:tc>
          <w:tcPr>
            <w:tcW w:w="535" w:type="pct"/>
            <w:shd w:val="clear" w:color="auto" w:fill="auto"/>
            <w:vAlign w:val="center"/>
          </w:tcPr>
          <w:p>
            <w:pPr>
              <w:pStyle w:val="184"/>
              <w:rPr>
                <w:rFonts w:cs="Times New Roman"/>
                <w:color w:val="auto"/>
                <w:szCs w:val="21"/>
              </w:rPr>
            </w:pPr>
          </w:p>
        </w:tc>
        <w:tc>
          <w:tcPr>
            <w:tcW w:w="673" w:type="pct"/>
            <w:shd w:val="clear" w:color="auto" w:fill="auto"/>
            <w:vAlign w:val="center"/>
          </w:tcPr>
          <w:p>
            <w:pPr>
              <w:pStyle w:val="184"/>
              <w:rPr>
                <w:rFonts w:cs="Times New Roman"/>
                <w:color w:val="auto"/>
                <w:szCs w:val="21"/>
              </w:rPr>
            </w:pPr>
          </w:p>
        </w:tc>
        <w:tc>
          <w:tcPr>
            <w:tcW w:w="1144" w:type="pct"/>
            <w:shd w:val="clear" w:color="auto" w:fill="auto"/>
            <w:vAlign w:val="center"/>
          </w:tcPr>
          <w:p>
            <w:pPr>
              <w:pStyle w:val="184"/>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widowControl/>
              <w:spacing w:line="240" w:lineRule="atLeast"/>
              <w:jc w:val="center"/>
              <w:rPr>
                <w:rFonts w:cs="Times New Roman"/>
                <w:color w:val="auto"/>
                <w:kern w:val="0"/>
                <w:sz w:val="21"/>
                <w:szCs w:val="21"/>
              </w:rPr>
            </w:pPr>
          </w:p>
        </w:tc>
        <w:tc>
          <w:tcPr>
            <w:tcW w:w="437" w:type="pct"/>
            <w:vMerge w:val="continue"/>
            <w:shd w:val="clear" w:color="auto" w:fill="auto"/>
            <w:vAlign w:val="center"/>
          </w:tcPr>
          <w:p>
            <w:pPr>
              <w:pStyle w:val="184"/>
              <w:rPr>
                <w:rFonts w:cs="Times New Roman"/>
                <w:color w:val="auto"/>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（1）</w:t>
            </w:r>
          </w:p>
        </w:tc>
        <w:tc>
          <w:tcPr>
            <w:tcW w:w="1098" w:type="pct"/>
            <w:shd w:val="clear" w:color="auto" w:fill="auto"/>
            <w:vAlign w:val="center"/>
          </w:tcPr>
          <w:p>
            <w:pPr>
              <w:pStyle w:val="184"/>
              <w:rPr>
                <w:rFonts w:cs="Times New Roman"/>
                <w:color w:val="auto"/>
                <w:szCs w:val="21"/>
              </w:rPr>
            </w:pPr>
            <w:r>
              <w:rPr>
                <w:rFonts w:cs="Times New Roman"/>
                <w:color w:val="auto"/>
                <w:szCs w:val="21"/>
              </w:rPr>
              <w:t>雨水管</w:t>
            </w:r>
          </w:p>
        </w:tc>
        <w:tc>
          <w:tcPr>
            <w:tcW w:w="535" w:type="pct"/>
            <w:shd w:val="clear" w:color="auto" w:fill="auto"/>
            <w:vAlign w:val="center"/>
          </w:tcPr>
          <w:p>
            <w:pPr>
              <w:pStyle w:val="184"/>
              <w:rPr>
                <w:rFonts w:cs="Times New Roman"/>
                <w:color w:val="auto"/>
                <w:szCs w:val="21"/>
              </w:rPr>
            </w:pPr>
            <w:r>
              <w:rPr>
                <w:rFonts w:hint="eastAsia" w:cs="Times New Roman"/>
                <w:color w:val="auto"/>
                <w:szCs w:val="21"/>
              </w:rPr>
              <w:t>m</w:t>
            </w:r>
          </w:p>
        </w:tc>
        <w:tc>
          <w:tcPr>
            <w:tcW w:w="673" w:type="pct"/>
            <w:shd w:val="clear" w:color="000000" w:fill="FFFFFF"/>
            <w:vAlign w:val="center"/>
          </w:tcPr>
          <w:p>
            <w:pPr>
              <w:pStyle w:val="184"/>
              <w:rPr>
                <w:rFonts w:hint="default" w:eastAsia="仿宋_GB2312" w:cs="Times New Roman"/>
                <w:color w:val="auto"/>
                <w:szCs w:val="21"/>
                <w:lang w:val="en-US" w:eastAsia="zh-CN"/>
              </w:rPr>
            </w:pPr>
            <w:r>
              <w:rPr>
                <w:rFonts w:hint="eastAsia" w:cs="Times New Roman"/>
                <w:color w:val="auto"/>
                <w:szCs w:val="21"/>
                <w:lang w:val="en-US" w:eastAsia="zh-CN"/>
              </w:rPr>
              <w:t>2496</w:t>
            </w:r>
          </w:p>
        </w:tc>
        <w:tc>
          <w:tcPr>
            <w:tcW w:w="1144" w:type="pct"/>
            <w:shd w:val="clear" w:color="auto" w:fill="auto"/>
            <w:vAlign w:val="center"/>
          </w:tcPr>
          <w:p>
            <w:pPr>
              <w:pStyle w:val="184"/>
              <w:rPr>
                <w:rFonts w:cs="Times New Roman"/>
                <w:color w:val="auto"/>
                <w:szCs w:val="21"/>
              </w:rPr>
            </w:pPr>
            <w:r>
              <w:rPr>
                <w:rFonts w:hint="eastAsia" w:cs="Times New Roman"/>
                <w:color w:val="auto"/>
                <w:szCs w:val="21"/>
                <w:lang w:val="en-US" w:eastAsia="zh-CN"/>
              </w:rPr>
              <w:t>2496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widowControl/>
              <w:spacing w:line="240" w:lineRule="atLeast"/>
              <w:jc w:val="center"/>
              <w:rPr>
                <w:rFonts w:cs="Times New Roman"/>
                <w:color w:val="auto"/>
                <w:kern w:val="0"/>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（2）</w:t>
            </w:r>
          </w:p>
        </w:tc>
        <w:tc>
          <w:tcPr>
            <w:tcW w:w="1098" w:type="pct"/>
            <w:shd w:val="clear" w:color="auto" w:fill="auto"/>
            <w:vAlign w:val="center"/>
          </w:tcPr>
          <w:p>
            <w:pPr>
              <w:pStyle w:val="184"/>
              <w:rPr>
                <w:rFonts w:cs="Times New Roman"/>
                <w:color w:val="auto"/>
                <w:szCs w:val="21"/>
              </w:rPr>
            </w:pPr>
            <w:r>
              <w:rPr>
                <w:rFonts w:cs="Times New Roman"/>
                <w:color w:val="auto"/>
                <w:szCs w:val="21"/>
              </w:rPr>
              <w:t>雨水口</w:t>
            </w:r>
          </w:p>
        </w:tc>
        <w:tc>
          <w:tcPr>
            <w:tcW w:w="535" w:type="pct"/>
            <w:shd w:val="clear" w:color="auto" w:fill="auto"/>
            <w:vAlign w:val="center"/>
          </w:tcPr>
          <w:p>
            <w:pPr>
              <w:spacing w:line="240" w:lineRule="atLeast"/>
              <w:jc w:val="center"/>
              <w:rPr>
                <w:rFonts w:cs="Times New Roman"/>
                <w:color w:val="auto"/>
                <w:sz w:val="21"/>
                <w:szCs w:val="21"/>
              </w:rPr>
            </w:pPr>
            <w:r>
              <w:rPr>
                <w:rFonts w:hint="eastAsia" w:cs="Times New Roman"/>
                <w:color w:val="auto"/>
                <w:sz w:val="21"/>
                <w:szCs w:val="21"/>
              </w:rPr>
              <w:t>个</w:t>
            </w:r>
          </w:p>
        </w:tc>
        <w:tc>
          <w:tcPr>
            <w:tcW w:w="673" w:type="pct"/>
            <w:shd w:val="clear" w:color="000000" w:fill="FFFFFF"/>
            <w:vAlign w:val="center"/>
          </w:tcPr>
          <w:p>
            <w:pPr>
              <w:pStyle w:val="184"/>
              <w:rPr>
                <w:rFonts w:hint="default" w:eastAsia="仿宋_GB2312" w:cs="Times New Roman"/>
                <w:color w:val="auto"/>
                <w:szCs w:val="21"/>
                <w:lang w:val="en-US" w:eastAsia="zh-CN"/>
              </w:rPr>
            </w:pPr>
            <w:r>
              <w:rPr>
                <w:rFonts w:hint="eastAsia" w:cs="Times New Roman"/>
                <w:color w:val="auto"/>
                <w:szCs w:val="21"/>
                <w:lang w:val="en-US" w:eastAsia="zh-CN"/>
              </w:rPr>
              <w:t>112</w:t>
            </w:r>
          </w:p>
        </w:tc>
        <w:tc>
          <w:tcPr>
            <w:tcW w:w="1144" w:type="pct"/>
            <w:shd w:val="clear" w:color="auto" w:fill="auto"/>
            <w:vAlign w:val="center"/>
          </w:tcPr>
          <w:p>
            <w:pPr>
              <w:pStyle w:val="184"/>
              <w:rPr>
                <w:rFonts w:cs="Times New Roman"/>
                <w:color w:val="auto"/>
                <w:szCs w:val="21"/>
              </w:rPr>
            </w:pPr>
            <w:r>
              <w:rPr>
                <w:rFonts w:hint="eastAsia" w:cs="Times New Roman"/>
                <w:color w:val="auto"/>
                <w:szCs w:val="21"/>
                <w:lang w:val="en-US" w:eastAsia="zh-CN"/>
              </w:rPr>
              <w:t>112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widowControl/>
              <w:spacing w:line="240" w:lineRule="atLeast"/>
              <w:jc w:val="center"/>
              <w:rPr>
                <w:rFonts w:cs="Times New Roman"/>
                <w:color w:val="auto"/>
                <w:kern w:val="0"/>
                <w:sz w:val="21"/>
                <w:szCs w:val="21"/>
              </w:rPr>
            </w:pPr>
          </w:p>
        </w:tc>
        <w:tc>
          <w:tcPr>
            <w:tcW w:w="437" w:type="pct"/>
            <w:vMerge w:val="continue"/>
            <w:shd w:val="clear" w:color="auto" w:fill="auto"/>
            <w:vAlign w:val="center"/>
          </w:tcPr>
          <w:p>
            <w:pPr>
              <w:pStyle w:val="184"/>
              <w:rPr>
                <w:rFonts w:cs="Times New Roman"/>
                <w:color w:val="auto"/>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（3）</w:t>
            </w:r>
          </w:p>
        </w:tc>
        <w:tc>
          <w:tcPr>
            <w:tcW w:w="1098" w:type="pct"/>
            <w:shd w:val="clear" w:color="auto" w:fill="auto"/>
            <w:vAlign w:val="center"/>
          </w:tcPr>
          <w:p>
            <w:pPr>
              <w:pStyle w:val="184"/>
              <w:rPr>
                <w:rFonts w:cs="Times New Roman"/>
                <w:color w:val="auto"/>
                <w:szCs w:val="21"/>
              </w:rPr>
            </w:pPr>
            <w:r>
              <w:rPr>
                <w:rFonts w:cs="Times New Roman"/>
                <w:color w:val="auto"/>
                <w:szCs w:val="21"/>
              </w:rPr>
              <w:t>雨水井</w:t>
            </w:r>
          </w:p>
        </w:tc>
        <w:tc>
          <w:tcPr>
            <w:tcW w:w="535" w:type="pct"/>
            <w:shd w:val="clear" w:color="auto" w:fill="auto"/>
            <w:vAlign w:val="center"/>
          </w:tcPr>
          <w:p>
            <w:pPr>
              <w:spacing w:line="240" w:lineRule="atLeast"/>
              <w:jc w:val="center"/>
              <w:rPr>
                <w:rFonts w:cs="Times New Roman"/>
                <w:color w:val="auto"/>
                <w:sz w:val="21"/>
                <w:szCs w:val="21"/>
              </w:rPr>
            </w:pPr>
            <w:r>
              <w:rPr>
                <w:rFonts w:hint="eastAsia" w:ascii="仿宋_GB2312" w:hAnsi="仿宋_GB2312" w:eastAsia="仿宋_GB2312" w:cs="仿宋_GB2312"/>
                <w:color w:val="auto"/>
                <w:sz w:val="21"/>
                <w:szCs w:val="21"/>
              </w:rPr>
              <w:t>座</w:t>
            </w:r>
          </w:p>
        </w:tc>
        <w:tc>
          <w:tcPr>
            <w:tcW w:w="673" w:type="pct"/>
            <w:shd w:val="clear" w:color="000000" w:fill="FFFFFF"/>
            <w:vAlign w:val="center"/>
          </w:tcPr>
          <w:p>
            <w:pPr>
              <w:pStyle w:val="184"/>
              <w:rPr>
                <w:rFonts w:hint="default" w:eastAsia="仿宋_GB2312" w:cs="Times New Roman"/>
                <w:color w:val="auto"/>
                <w:szCs w:val="21"/>
                <w:lang w:val="en-US" w:eastAsia="zh-CN"/>
              </w:rPr>
            </w:pPr>
            <w:r>
              <w:rPr>
                <w:rFonts w:hint="eastAsia" w:cs="Times New Roman"/>
                <w:color w:val="auto"/>
                <w:szCs w:val="21"/>
                <w:lang w:val="en-US" w:eastAsia="zh-CN"/>
              </w:rPr>
              <w:t>56</w:t>
            </w:r>
          </w:p>
        </w:tc>
        <w:tc>
          <w:tcPr>
            <w:tcW w:w="1144" w:type="pct"/>
            <w:shd w:val="clear" w:color="auto" w:fill="auto"/>
            <w:vAlign w:val="center"/>
          </w:tcPr>
          <w:p>
            <w:pPr>
              <w:pStyle w:val="184"/>
              <w:rPr>
                <w:rFonts w:cs="Times New Roman"/>
                <w:color w:val="auto"/>
                <w:szCs w:val="21"/>
              </w:rPr>
            </w:pPr>
            <w:r>
              <w:rPr>
                <w:rFonts w:hint="eastAsia" w:cs="Times New Roman"/>
                <w:color w:val="auto"/>
                <w:szCs w:val="21"/>
                <w:lang w:val="en-US" w:eastAsia="zh-CN"/>
              </w:rPr>
              <w:t>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widowControl/>
              <w:spacing w:line="240" w:lineRule="atLeast"/>
              <w:jc w:val="center"/>
              <w:rPr>
                <w:rFonts w:cs="Times New Roman"/>
                <w:color w:val="auto"/>
                <w:kern w:val="0"/>
                <w:sz w:val="21"/>
                <w:szCs w:val="21"/>
              </w:rPr>
            </w:pPr>
          </w:p>
        </w:tc>
        <w:tc>
          <w:tcPr>
            <w:tcW w:w="437" w:type="pct"/>
            <w:vMerge w:val="continue"/>
            <w:shd w:val="clear" w:color="auto" w:fill="auto"/>
            <w:vAlign w:val="center"/>
          </w:tcPr>
          <w:p>
            <w:pPr>
              <w:pStyle w:val="184"/>
              <w:rPr>
                <w:rFonts w:cs="Times New Roman"/>
                <w:color w:val="auto"/>
                <w:szCs w:val="21"/>
              </w:rPr>
            </w:pPr>
          </w:p>
        </w:tc>
        <w:tc>
          <w:tcPr>
            <w:tcW w:w="566" w:type="pct"/>
            <w:shd w:val="clear" w:color="auto" w:fill="auto"/>
            <w:vAlign w:val="center"/>
          </w:tcPr>
          <w:p>
            <w:pPr>
              <w:pStyle w:val="184"/>
              <w:rPr>
                <w:rFonts w:hint="eastAsia" w:eastAsia="仿宋_GB2312" w:cs="Times New Roman"/>
                <w:color w:val="auto"/>
                <w:szCs w:val="21"/>
                <w:lang w:eastAsia="zh-CN"/>
              </w:rPr>
            </w:pPr>
            <w:r>
              <w:rPr>
                <w:rFonts w:hint="eastAsia" w:cs="Times New Roman"/>
                <w:color w:val="auto"/>
                <w:szCs w:val="21"/>
                <w:lang w:eastAsia="zh-CN"/>
              </w:rPr>
              <w:t>（</w:t>
            </w:r>
            <w:r>
              <w:rPr>
                <w:rFonts w:hint="eastAsia" w:cs="Times New Roman"/>
                <w:color w:val="auto"/>
                <w:szCs w:val="21"/>
                <w:lang w:val="en-US" w:eastAsia="zh-CN"/>
              </w:rPr>
              <w:t>4</w:t>
            </w:r>
            <w:r>
              <w:rPr>
                <w:rFonts w:hint="eastAsia" w:cs="Times New Roman"/>
                <w:color w:val="auto"/>
                <w:szCs w:val="21"/>
                <w:lang w:eastAsia="zh-CN"/>
              </w:rPr>
              <w:t>）</w:t>
            </w:r>
          </w:p>
        </w:tc>
        <w:tc>
          <w:tcPr>
            <w:tcW w:w="1098" w:type="pct"/>
            <w:shd w:val="clear" w:color="auto" w:fill="auto"/>
            <w:vAlign w:val="center"/>
          </w:tcPr>
          <w:p>
            <w:pPr>
              <w:pStyle w:val="184"/>
              <w:rPr>
                <w:rFonts w:hint="eastAsia" w:eastAsia="仿宋_GB2312" w:cs="Times New Roman"/>
                <w:color w:val="auto"/>
                <w:szCs w:val="21"/>
                <w:lang w:eastAsia="zh-CN"/>
              </w:rPr>
            </w:pPr>
            <w:r>
              <w:rPr>
                <w:rFonts w:hint="eastAsia" w:cs="Times New Roman"/>
                <w:color w:val="auto"/>
                <w:szCs w:val="21"/>
                <w:lang w:eastAsia="zh-CN"/>
              </w:rPr>
              <w:t>雨水箱涵</w:t>
            </w:r>
          </w:p>
        </w:tc>
        <w:tc>
          <w:tcPr>
            <w:tcW w:w="535" w:type="pct"/>
            <w:shd w:val="clear" w:color="auto" w:fill="auto"/>
            <w:vAlign w:val="center"/>
          </w:tcPr>
          <w:p>
            <w:pPr>
              <w:spacing w:line="240" w:lineRule="atLeast"/>
              <w:jc w:val="center"/>
              <w:rPr>
                <w:rFonts w:hint="eastAsia" w:cs="Times New Roman"/>
                <w:color w:val="auto"/>
                <w:sz w:val="21"/>
                <w:szCs w:val="21"/>
              </w:rPr>
            </w:pPr>
            <w:r>
              <w:rPr>
                <w:rFonts w:hint="default" w:ascii="Times New Roman" w:hAnsi="Times New Roman" w:cs="Times New Roman"/>
                <w:color w:val="auto"/>
                <w:szCs w:val="21"/>
              </w:rPr>
              <w:t>m</w:t>
            </w:r>
          </w:p>
        </w:tc>
        <w:tc>
          <w:tcPr>
            <w:tcW w:w="673" w:type="pct"/>
            <w:shd w:val="clear" w:color="000000" w:fill="FFFFFF"/>
            <w:vAlign w:val="center"/>
          </w:tcPr>
          <w:p>
            <w:pPr>
              <w:pStyle w:val="184"/>
              <w:rPr>
                <w:rFonts w:hint="default" w:cs="Times New Roman"/>
                <w:color w:val="auto"/>
                <w:szCs w:val="21"/>
                <w:lang w:val="en-US" w:eastAsia="zh-CN"/>
              </w:rPr>
            </w:pPr>
            <w:r>
              <w:rPr>
                <w:rFonts w:hint="eastAsia" w:cs="Times New Roman"/>
                <w:color w:val="auto"/>
                <w:szCs w:val="21"/>
                <w:lang w:val="en-US" w:eastAsia="zh-CN"/>
              </w:rPr>
              <w:t>1336</w:t>
            </w:r>
          </w:p>
        </w:tc>
        <w:tc>
          <w:tcPr>
            <w:tcW w:w="1144" w:type="pct"/>
            <w:shd w:val="clear" w:color="auto" w:fill="auto"/>
            <w:vAlign w:val="center"/>
          </w:tcPr>
          <w:p>
            <w:pPr>
              <w:pStyle w:val="184"/>
              <w:rPr>
                <w:rFonts w:cs="Times New Roman"/>
                <w:color w:val="auto"/>
                <w:szCs w:val="21"/>
              </w:rPr>
            </w:pPr>
            <w:r>
              <w:rPr>
                <w:rFonts w:hint="eastAsia" w:cs="Times New Roman"/>
                <w:color w:val="auto"/>
                <w:szCs w:val="21"/>
                <w:lang w:val="en-US" w:eastAsia="zh-CN"/>
              </w:rPr>
              <w:t>1336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widowControl/>
              <w:spacing w:line="240" w:lineRule="atLeast"/>
              <w:jc w:val="center"/>
              <w:rPr>
                <w:rFonts w:cs="Times New Roman"/>
                <w:color w:val="auto"/>
                <w:kern w:val="0"/>
                <w:sz w:val="21"/>
                <w:szCs w:val="21"/>
              </w:rPr>
            </w:pPr>
          </w:p>
        </w:tc>
        <w:tc>
          <w:tcPr>
            <w:tcW w:w="437" w:type="pct"/>
            <w:vMerge w:val="continue"/>
            <w:shd w:val="clear" w:color="auto" w:fill="auto"/>
            <w:vAlign w:val="center"/>
          </w:tcPr>
          <w:p>
            <w:pPr>
              <w:pStyle w:val="184"/>
              <w:rPr>
                <w:rFonts w:cs="Times New Roman"/>
                <w:color w:val="auto"/>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3</w:t>
            </w:r>
          </w:p>
        </w:tc>
        <w:tc>
          <w:tcPr>
            <w:tcW w:w="1098" w:type="pct"/>
            <w:shd w:val="clear" w:color="auto" w:fill="auto"/>
            <w:vAlign w:val="center"/>
          </w:tcPr>
          <w:p>
            <w:pPr>
              <w:pStyle w:val="184"/>
              <w:rPr>
                <w:rFonts w:cs="Times New Roman"/>
                <w:color w:val="auto"/>
                <w:szCs w:val="21"/>
              </w:rPr>
            </w:pPr>
            <w:r>
              <w:rPr>
                <w:rFonts w:cs="Times New Roman"/>
                <w:color w:val="auto"/>
                <w:szCs w:val="21"/>
              </w:rPr>
              <w:t>透水铺装工程</w:t>
            </w:r>
          </w:p>
        </w:tc>
        <w:tc>
          <w:tcPr>
            <w:tcW w:w="535" w:type="pct"/>
            <w:shd w:val="clear" w:color="auto" w:fill="auto"/>
            <w:vAlign w:val="center"/>
          </w:tcPr>
          <w:p>
            <w:pPr>
              <w:pStyle w:val="184"/>
              <w:jc w:val="both"/>
              <w:rPr>
                <w:rFonts w:cs="Times New Roman"/>
                <w:color w:val="auto"/>
                <w:szCs w:val="21"/>
              </w:rPr>
            </w:pPr>
          </w:p>
        </w:tc>
        <w:tc>
          <w:tcPr>
            <w:tcW w:w="673" w:type="pct"/>
            <w:shd w:val="clear" w:color="000000" w:fill="FFFFFF"/>
            <w:vAlign w:val="center"/>
          </w:tcPr>
          <w:p>
            <w:pPr>
              <w:pStyle w:val="184"/>
              <w:rPr>
                <w:rFonts w:cs="Times New Roman"/>
                <w:color w:val="auto"/>
                <w:szCs w:val="21"/>
              </w:rPr>
            </w:pPr>
          </w:p>
        </w:tc>
        <w:tc>
          <w:tcPr>
            <w:tcW w:w="1144" w:type="pct"/>
            <w:shd w:val="clear" w:color="auto" w:fill="auto"/>
            <w:vAlign w:val="center"/>
          </w:tcPr>
          <w:p>
            <w:pPr>
              <w:pStyle w:val="184"/>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widowControl/>
              <w:spacing w:line="240" w:lineRule="atLeast"/>
              <w:jc w:val="center"/>
              <w:rPr>
                <w:rFonts w:cs="Times New Roman"/>
                <w:color w:val="auto"/>
                <w:kern w:val="0"/>
                <w:sz w:val="21"/>
                <w:szCs w:val="21"/>
              </w:rPr>
            </w:pPr>
          </w:p>
        </w:tc>
        <w:tc>
          <w:tcPr>
            <w:tcW w:w="437" w:type="pct"/>
            <w:vMerge w:val="continue"/>
            <w:shd w:val="clear" w:color="auto" w:fill="auto"/>
            <w:vAlign w:val="center"/>
          </w:tcPr>
          <w:p>
            <w:pPr>
              <w:pStyle w:val="184"/>
              <w:rPr>
                <w:rFonts w:cs="Times New Roman"/>
                <w:color w:val="auto"/>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（1）</w:t>
            </w:r>
          </w:p>
        </w:tc>
        <w:tc>
          <w:tcPr>
            <w:tcW w:w="1098" w:type="pct"/>
            <w:shd w:val="clear" w:color="auto" w:fill="auto"/>
            <w:vAlign w:val="center"/>
          </w:tcPr>
          <w:p>
            <w:pPr>
              <w:pStyle w:val="184"/>
              <w:rPr>
                <w:rFonts w:cs="Times New Roman"/>
                <w:color w:val="auto"/>
                <w:kern w:val="0"/>
                <w:szCs w:val="21"/>
              </w:rPr>
            </w:pPr>
            <w:r>
              <w:rPr>
                <w:rFonts w:cs="Times New Roman"/>
                <w:color w:val="auto"/>
                <w:szCs w:val="21"/>
              </w:rPr>
              <w:t>透水铺装</w:t>
            </w:r>
          </w:p>
        </w:tc>
        <w:tc>
          <w:tcPr>
            <w:tcW w:w="535" w:type="pct"/>
            <w:shd w:val="clear" w:color="auto" w:fill="auto"/>
            <w:vAlign w:val="center"/>
          </w:tcPr>
          <w:p>
            <w:pPr>
              <w:pStyle w:val="184"/>
              <w:rPr>
                <w:rFonts w:cs="Times New Roman"/>
                <w:color w:val="auto"/>
                <w:szCs w:val="21"/>
              </w:rPr>
            </w:pPr>
            <w:r>
              <w:rPr>
                <w:rFonts w:hint="eastAsia" w:cs="Times New Roman"/>
                <w:color w:val="auto"/>
                <w:szCs w:val="21"/>
              </w:rPr>
              <w:t>hm</w:t>
            </w:r>
            <w:r>
              <w:rPr>
                <w:rFonts w:hint="eastAsia" w:cs="Times New Roman"/>
                <w:color w:val="auto"/>
                <w:szCs w:val="21"/>
                <w:vertAlign w:val="superscript"/>
              </w:rPr>
              <w:t>2</w:t>
            </w:r>
          </w:p>
        </w:tc>
        <w:tc>
          <w:tcPr>
            <w:tcW w:w="673" w:type="pct"/>
            <w:shd w:val="clear" w:color="auto" w:fill="auto"/>
            <w:vAlign w:val="center"/>
          </w:tcPr>
          <w:p>
            <w:pPr>
              <w:pStyle w:val="184"/>
              <w:rPr>
                <w:rFonts w:cs="Times New Roman"/>
                <w:color w:val="auto"/>
                <w:szCs w:val="21"/>
              </w:rPr>
            </w:pPr>
            <w:r>
              <w:rPr>
                <w:rFonts w:hint="eastAsia" w:cs="Times New Roman"/>
                <w:color w:val="auto"/>
                <w:szCs w:val="21"/>
                <w:lang w:val="en-US" w:eastAsia="zh-CN"/>
              </w:rPr>
              <w:t>3</w:t>
            </w:r>
            <w:r>
              <w:rPr>
                <w:rFonts w:cs="Times New Roman"/>
                <w:color w:val="auto"/>
                <w:szCs w:val="21"/>
              </w:rPr>
              <w:t>.83</w:t>
            </w:r>
          </w:p>
        </w:tc>
        <w:tc>
          <w:tcPr>
            <w:tcW w:w="1144" w:type="pct"/>
            <w:shd w:val="clear" w:color="auto" w:fill="auto"/>
            <w:vAlign w:val="center"/>
          </w:tcPr>
          <w:p>
            <w:pPr>
              <w:pStyle w:val="184"/>
              <w:rPr>
                <w:rFonts w:cs="Times New Roman"/>
                <w:color w:val="auto"/>
                <w:szCs w:val="21"/>
              </w:rPr>
            </w:pPr>
            <w:r>
              <w:rPr>
                <w:rFonts w:hint="eastAsia" w:cs="Times New Roman"/>
                <w:color w:val="auto"/>
                <w:szCs w:val="21"/>
                <w:lang w:val="en-US" w:eastAsia="zh-CN"/>
              </w:rPr>
              <w:t>3</w:t>
            </w:r>
            <w:r>
              <w:rPr>
                <w:rFonts w:cs="Times New Roman"/>
                <w:color w:val="auto"/>
                <w:szCs w:val="21"/>
              </w:rPr>
              <w:t>.83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widowControl/>
              <w:spacing w:line="240" w:lineRule="atLeast"/>
              <w:jc w:val="center"/>
              <w:rPr>
                <w:rFonts w:cs="Times New Roman"/>
                <w:color w:val="auto"/>
                <w:kern w:val="0"/>
                <w:sz w:val="21"/>
                <w:szCs w:val="21"/>
              </w:rPr>
            </w:pPr>
          </w:p>
        </w:tc>
        <w:tc>
          <w:tcPr>
            <w:tcW w:w="437" w:type="pct"/>
            <w:vMerge w:val="continue"/>
            <w:shd w:val="clear" w:color="auto" w:fill="auto"/>
            <w:vAlign w:val="center"/>
          </w:tcPr>
          <w:p>
            <w:pPr>
              <w:pStyle w:val="184"/>
              <w:rPr>
                <w:rFonts w:cs="Times New Roman"/>
                <w:color w:val="auto"/>
                <w:szCs w:val="21"/>
              </w:rPr>
            </w:pPr>
          </w:p>
        </w:tc>
        <w:tc>
          <w:tcPr>
            <w:tcW w:w="566" w:type="pct"/>
            <w:shd w:val="clear" w:color="auto" w:fill="auto"/>
            <w:vAlign w:val="center"/>
          </w:tcPr>
          <w:p>
            <w:pPr>
              <w:pStyle w:val="184"/>
              <w:rPr>
                <w:rFonts w:cs="Times New Roman"/>
                <w:color w:val="auto"/>
                <w:szCs w:val="21"/>
              </w:rPr>
            </w:pPr>
            <w:r>
              <w:rPr>
                <w:rFonts w:cs="Times New Roman"/>
                <w:color w:val="auto"/>
                <w:szCs w:val="21"/>
              </w:rPr>
              <w:t>4</w:t>
            </w:r>
          </w:p>
        </w:tc>
        <w:tc>
          <w:tcPr>
            <w:tcW w:w="1098" w:type="pct"/>
            <w:shd w:val="clear" w:color="auto" w:fill="auto"/>
            <w:vAlign w:val="center"/>
          </w:tcPr>
          <w:p>
            <w:pPr>
              <w:pStyle w:val="184"/>
              <w:rPr>
                <w:rFonts w:cs="Times New Roman"/>
                <w:color w:val="auto"/>
                <w:szCs w:val="21"/>
              </w:rPr>
            </w:pPr>
            <w:r>
              <w:rPr>
                <w:rFonts w:cs="Times New Roman"/>
                <w:color w:val="auto"/>
                <w:szCs w:val="21"/>
              </w:rPr>
              <w:t>护坡工程</w:t>
            </w:r>
          </w:p>
        </w:tc>
        <w:tc>
          <w:tcPr>
            <w:tcW w:w="535" w:type="pct"/>
            <w:shd w:val="clear" w:color="auto" w:fill="auto"/>
            <w:vAlign w:val="center"/>
          </w:tcPr>
          <w:p>
            <w:pPr>
              <w:pStyle w:val="184"/>
              <w:rPr>
                <w:rFonts w:cs="Times New Roman"/>
                <w:color w:val="auto"/>
                <w:szCs w:val="21"/>
              </w:rPr>
            </w:pPr>
          </w:p>
        </w:tc>
        <w:tc>
          <w:tcPr>
            <w:tcW w:w="673" w:type="pct"/>
            <w:shd w:val="clear" w:color="auto" w:fill="auto"/>
            <w:vAlign w:val="center"/>
          </w:tcPr>
          <w:p>
            <w:pPr>
              <w:pStyle w:val="184"/>
              <w:rPr>
                <w:rFonts w:cs="Times New Roman"/>
                <w:color w:val="auto"/>
                <w:szCs w:val="21"/>
              </w:rPr>
            </w:pPr>
          </w:p>
        </w:tc>
        <w:tc>
          <w:tcPr>
            <w:tcW w:w="1144" w:type="pct"/>
            <w:shd w:val="clear" w:color="auto" w:fill="auto"/>
            <w:vAlign w:val="center"/>
          </w:tcPr>
          <w:p>
            <w:pPr>
              <w:pStyle w:val="184"/>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widowControl/>
              <w:spacing w:line="240" w:lineRule="atLeast"/>
              <w:jc w:val="center"/>
              <w:rPr>
                <w:rFonts w:cs="Times New Roman"/>
                <w:color w:val="auto"/>
                <w:kern w:val="0"/>
                <w:sz w:val="21"/>
                <w:szCs w:val="21"/>
              </w:rPr>
            </w:pPr>
          </w:p>
        </w:tc>
        <w:tc>
          <w:tcPr>
            <w:tcW w:w="437" w:type="pct"/>
            <w:vMerge w:val="continue"/>
            <w:shd w:val="clear" w:color="auto" w:fill="auto"/>
            <w:vAlign w:val="center"/>
          </w:tcPr>
          <w:p>
            <w:pPr>
              <w:pStyle w:val="184"/>
              <w:rPr>
                <w:rFonts w:cs="Times New Roman"/>
                <w:color w:val="auto"/>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（1）</w:t>
            </w:r>
          </w:p>
        </w:tc>
        <w:tc>
          <w:tcPr>
            <w:tcW w:w="1098" w:type="pct"/>
            <w:shd w:val="clear" w:color="auto" w:fill="auto"/>
            <w:vAlign w:val="center"/>
          </w:tcPr>
          <w:p>
            <w:pPr>
              <w:pStyle w:val="184"/>
              <w:rPr>
                <w:rFonts w:cs="Times New Roman"/>
                <w:color w:val="auto"/>
                <w:szCs w:val="21"/>
              </w:rPr>
            </w:pPr>
            <w:r>
              <w:rPr>
                <w:rFonts w:cs="Times New Roman"/>
                <w:color w:val="auto"/>
                <w:szCs w:val="21"/>
              </w:rPr>
              <w:t>铺植草皮护坡</w:t>
            </w:r>
            <w:r>
              <w:rPr>
                <w:rFonts w:hint="eastAsia" w:ascii="仿宋_GB2312" w:cs="Times New Roman"/>
                <w:color w:val="auto"/>
                <w:szCs w:val="21"/>
              </w:rPr>
              <w:t>◆</w:t>
            </w:r>
          </w:p>
        </w:tc>
        <w:tc>
          <w:tcPr>
            <w:tcW w:w="535" w:type="pct"/>
            <w:shd w:val="clear" w:color="auto" w:fill="auto"/>
            <w:vAlign w:val="center"/>
          </w:tcPr>
          <w:p>
            <w:pPr>
              <w:pStyle w:val="184"/>
              <w:rPr>
                <w:rFonts w:cs="Times New Roman"/>
                <w:color w:val="auto"/>
                <w:szCs w:val="21"/>
              </w:rPr>
            </w:pPr>
            <w:r>
              <w:rPr>
                <w:rFonts w:hint="eastAsia" w:cs="Times New Roman"/>
                <w:color w:val="auto"/>
                <w:szCs w:val="21"/>
              </w:rPr>
              <w:t>hm</w:t>
            </w:r>
            <w:r>
              <w:rPr>
                <w:rFonts w:hint="eastAsia" w:cs="Times New Roman"/>
                <w:color w:val="auto"/>
                <w:szCs w:val="21"/>
                <w:vertAlign w:val="superscript"/>
              </w:rPr>
              <w:t>2</w:t>
            </w:r>
          </w:p>
        </w:tc>
        <w:tc>
          <w:tcPr>
            <w:tcW w:w="673" w:type="pct"/>
            <w:shd w:val="clear" w:color="auto" w:fill="auto"/>
            <w:vAlign w:val="center"/>
          </w:tcPr>
          <w:p>
            <w:pPr>
              <w:pStyle w:val="184"/>
              <w:rPr>
                <w:rFonts w:cs="Times New Roman"/>
                <w:color w:val="auto"/>
                <w:szCs w:val="21"/>
              </w:rPr>
            </w:pPr>
            <w:r>
              <w:rPr>
                <w:rFonts w:cs="Times New Roman"/>
                <w:color w:val="auto"/>
                <w:szCs w:val="21"/>
              </w:rPr>
              <w:t>2.10</w:t>
            </w:r>
          </w:p>
        </w:tc>
        <w:tc>
          <w:tcPr>
            <w:tcW w:w="1144" w:type="pct"/>
            <w:shd w:val="clear" w:color="auto" w:fill="auto"/>
            <w:vAlign w:val="center"/>
          </w:tcPr>
          <w:p>
            <w:pPr>
              <w:pStyle w:val="184"/>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pStyle w:val="184"/>
              <w:rPr>
                <w:rFonts w:cs="Times New Roman"/>
                <w:color w:val="auto"/>
                <w:szCs w:val="21"/>
              </w:rPr>
            </w:pPr>
          </w:p>
        </w:tc>
        <w:tc>
          <w:tcPr>
            <w:tcW w:w="437" w:type="pct"/>
            <w:vMerge w:val="continue"/>
            <w:shd w:val="clear" w:color="auto" w:fill="auto"/>
            <w:vAlign w:val="center"/>
          </w:tcPr>
          <w:p>
            <w:pPr>
              <w:pStyle w:val="184"/>
              <w:rPr>
                <w:rFonts w:cs="Times New Roman"/>
                <w:color w:val="auto"/>
                <w:szCs w:val="21"/>
              </w:rPr>
            </w:pPr>
          </w:p>
        </w:tc>
        <w:tc>
          <w:tcPr>
            <w:tcW w:w="566" w:type="pct"/>
            <w:shd w:val="clear" w:color="auto" w:fill="auto"/>
            <w:vAlign w:val="center"/>
          </w:tcPr>
          <w:p>
            <w:pPr>
              <w:pStyle w:val="184"/>
              <w:rPr>
                <w:rFonts w:cs="Times New Roman"/>
                <w:b/>
                <w:bCs/>
                <w:color w:val="auto"/>
                <w:szCs w:val="21"/>
              </w:rPr>
            </w:pPr>
            <w:r>
              <w:rPr>
                <w:rFonts w:cs="Times New Roman"/>
                <w:b/>
                <w:bCs/>
                <w:color w:val="auto"/>
                <w:szCs w:val="21"/>
              </w:rPr>
              <w:t>二</w:t>
            </w:r>
          </w:p>
        </w:tc>
        <w:tc>
          <w:tcPr>
            <w:tcW w:w="1098" w:type="pct"/>
            <w:shd w:val="clear" w:color="auto" w:fill="auto"/>
            <w:vAlign w:val="center"/>
          </w:tcPr>
          <w:p>
            <w:pPr>
              <w:pStyle w:val="184"/>
              <w:rPr>
                <w:rFonts w:cs="Times New Roman"/>
                <w:b/>
                <w:bCs/>
                <w:color w:val="auto"/>
                <w:szCs w:val="21"/>
              </w:rPr>
            </w:pPr>
            <w:r>
              <w:rPr>
                <w:rFonts w:cs="Times New Roman"/>
                <w:b/>
                <w:bCs/>
                <w:color w:val="auto"/>
                <w:szCs w:val="21"/>
              </w:rPr>
              <w:t>植物措施</w:t>
            </w:r>
          </w:p>
        </w:tc>
        <w:tc>
          <w:tcPr>
            <w:tcW w:w="535" w:type="pct"/>
            <w:shd w:val="clear" w:color="auto" w:fill="auto"/>
            <w:vAlign w:val="center"/>
          </w:tcPr>
          <w:p>
            <w:pPr>
              <w:pStyle w:val="184"/>
              <w:rPr>
                <w:rFonts w:cs="Times New Roman"/>
                <w:color w:val="auto"/>
                <w:szCs w:val="21"/>
              </w:rPr>
            </w:pPr>
          </w:p>
        </w:tc>
        <w:tc>
          <w:tcPr>
            <w:tcW w:w="673" w:type="pct"/>
            <w:shd w:val="clear" w:color="auto" w:fill="auto"/>
            <w:vAlign w:val="center"/>
          </w:tcPr>
          <w:p>
            <w:pPr>
              <w:pStyle w:val="184"/>
              <w:rPr>
                <w:rFonts w:cs="Times New Roman"/>
                <w:color w:val="auto"/>
                <w:szCs w:val="21"/>
              </w:rPr>
            </w:pPr>
          </w:p>
        </w:tc>
        <w:tc>
          <w:tcPr>
            <w:tcW w:w="1144" w:type="pct"/>
            <w:shd w:val="clear" w:color="auto" w:fill="auto"/>
            <w:vAlign w:val="center"/>
          </w:tcPr>
          <w:p>
            <w:pPr>
              <w:pStyle w:val="184"/>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pStyle w:val="184"/>
              <w:rPr>
                <w:rFonts w:cs="Times New Roman"/>
                <w:color w:val="auto"/>
                <w:szCs w:val="21"/>
              </w:rPr>
            </w:pPr>
          </w:p>
        </w:tc>
        <w:tc>
          <w:tcPr>
            <w:tcW w:w="437" w:type="pct"/>
            <w:vMerge w:val="continue"/>
            <w:shd w:val="clear" w:color="auto" w:fill="auto"/>
            <w:vAlign w:val="center"/>
          </w:tcPr>
          <w:p>
            <w:pPr>
              <w:pStyle w:val="184"/>
              <w:rPr>
                <w:rFonts w:cs="Times New Roman"/>
                <w:color w:val="auto"/>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1</w:t>
            </w:r>
          </w:p>
        </w:tc>
        <w:tc>
          <w:tcPr>
            <w:tcW w:w="1098" w:type="pct"/>
            <w:shd w:val="clear" w:color="auto" w:fill="auto"/>
            <w:vAlign w:val="center"/>
          </w:tcPr>
          <w:p>
            <w:pPr>
              <w:pStyle w:val="184"/>
              <w:rPr>
                <w:rFonts w:cs="Times New Roman"/>
                <w:color w:val="auto"/>
                <w:szCs w:val="21"/>
              </w:rPr>
            </w:pPr>
            <w:r>
              <w:rPr>
                <w:rFonts w:cs="Times New Roman"/>
                <w:color w:val="auto"/>
                <w:szCs w:val="21"/>
              </w:rPr>
              <w:t>绿化工程</w:t>
            </w:r>
          </w:p>
        </w:tc>
        <w:tc>
          <w:tcPr>
            <w:tcW w:w="535" w:type="pct"/>
            <w:shd w:val="clear" w:color="auto" w:fill="auto"/>
            <w:vAlign w:val="center"/>
          </w:tcPr>
          <w:p>
            <w:pPr>
              <w:pStyle w:val="184"/>
              <w:rPr>
                <w:rFonts w:cs="Times New Roman"/>
                <w:color w:val="auto"/>
                <w:szCs w:val="21"/>
              </w:rPr>
            </w:pPr>
          </w:p>
        </w:tc>
        <w:tc>
          <w:tcPr>
            <w:tcW w:w="673" w:type="pct"/>
            <w:shd w:val="clear" w:color="auto" w:fill="auto"/>
            <w:vAlign w:val="center"/>
          </w:tcPr>
          <w:p>
            <w:pPr>
              <w:pStyle w:val="184"/>
              <w:rPr>
                <w:rFonts w:cs="Times New Roman"/>
                <w:color w:val="auto"/>
                <w:szCs w:val="21"/>
              </w:rPr>
            </w:pPr>
          </w:p>
        </w:tc>
        <w:tc>
          <w:tcPr>
            <w:tcW w:w="1144" w:type="pct"/>
            <w:shd w:val="clear" w:color="auto" w:fill="auto"/>
            <w:vAlign w:val="center"/>
          </w:tcPr>
          <w:p>
            <w:pPr>
              <w:pStyle w:val="184"/>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pStyle w:val="184"/>
              <w:rPr>
                <w:rFonts w:cs="Times New Roman"/>
                <w:color w:val="auto"/>
                <w:szCs w:val="21"/>
              </w:rPr>
            </w:pPr>
          </w:p>
        </w:tc>
        <w:tc>
          <w:tcPr>
            <w:tcW w:w="437" w:type="pct"/>
            <w:vMerge w:val="continue"/>
            <w:shd w:val="clear" w:color="auto" w:fill="auto"/>
            <w:vAlign w:val="center"/>
          </w:tcPr>
          <w:p>
            <w:pPr>
              <w:pStyle w:val="184"/>
              <w:rPr>
                <w:rFonts w:cs="Times New Roman"/>
                <w:color w:val="auto"/>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（1）</w:t>
            </w:r>
          </w:p>
        </w:tc>
        <w:tc>
          <w:tcPr>
            <w:tcW w:w="1098" w:type="pct"/>
            <w:shd w:val="clear" w:color="auto" w:fill="auto"/>
            <w:vAlign w:val="center"/>
          </w:tcPr>
          <w:p>
            <w:pPr>
              <w:pStyle w:val="184"/>
              <w:rPr>
                <w:rFonts w:cs="Times New Roman"/>
                <w:color w:val="auto"/>
                <w:szCs w:val="21"/>
              </w:rPr>
            </w:pPr>
            <w:r>
              <w:rPr>
                <w:rFonts w:hint="eastAsia" w:cs="Times New Roman"/>
                <w:color w:val="auto"/>
                <w:szCs w:val="21"/>
              </w:rPr>
              <w:t>道路绿化</w:t>
            </w:r>
          </w:p>
        </w:tc>
        <w:tc>
          <w:tcPr>
            <w:tcW w:w="535" w:type="pct"/>
            <w:shd w:val="clear" w:color="auto" w:fill="auto"/>
            <w:vAlign w:val="center"/>
          </w:tcPr>
          <w:p>
            <w:pPr>
              <w:pStyle w:val="184"/>
              <w:rPr>
                <w:rFonts w:cs="Times New Roman"/>
                <w:color w:val="auto"/>
                <w:szCs w:val="21"/>
              </w:rPr>
            </w:pPr>
            <w:r>
              <w:rPr>
                <w:rFonts w:hint="eastAsia" w:cs="Times New Roman"/>
                <w:color w:val="auto"/>
                <w:szCs w:val="21"/>
              </w:rPr>
              <w:t>hm</w:t>
            </w:r>
            <w:r>
              <w:rPr>
                <w:rFonts w:hint="eastAsia" w:cs="Times New Roman"/>
                <w:color w:val="auto"/>
                <w:szCs w:val="21"/>
                <w:vertAlign w:val="superscript"/>
              </w:rPr>
              <w:t>2</w:t>
            </w:r>
          </w:p>
        </w:tc>
        <w:tc>
          <w:tcPr>
            <w:tcW w:w="673" w:type="pct"/>
            <w:shd w:val="clear" w:color="auto" w:fill="auto"/>
            <w:vAlign w:val="center"/>
          </w:tcPr>
          <w:p>
            <w:pPr>
              <w:pStyle w:val="184"/>
              <w:rPr>
                <w:rFonts w:hint="default" w:eastAsia="仿宋_GB2312" w:cs="Times New Roman"/>
                <w:color w:val="auto"/>
                <w:szCs w:val="21"/>
                <w:lang w:val="en-US" w:eastAsia="zh-CN"/>
              </w:rPr>
            </w:pPr>
            <w:r>
              <w:rPr>
                <w:rFonts w:cs="Times New Roman"/>
                <w:color w:val="auto"/>
                <w:szCs w:val="21"/>
              </w:rPr>
              <w:t>0.</w:t>
            </w:r>
            <w:r>
              <w:rPr>
                <w:rFonts w:hint="eastAsia" w:cs="Times New Roman"/>
                <w:color w:val="auto"/>
                <w:szCs w:val="21"/>
                <w:lang w:val="en-US" w:eastAsia="zh-CN"/>
              </w:rPr>
              <w:t>46</w:t>
            </w:r>
          </w:p>
        </w:tc>
        <w:tc>
          <w:tcPr>
            <w:tcW w:w="1144" w:type="pct"/>
            <w:shd w:val="clear" w:color="auto" w:fill="auto"/>
            <w:vAlign w:val="center"/>
          </w:tcPr>
          <w:p>
            <w:pPr>
              <w:pStyle w:val="184"/>
              <w:rPr>
                <w:rFonts w:hint="default" w:eastAsia="仿宋_GB2312" w:cs="Times New Roman"/>
                <w:color w:val="auto"/>
                <w:szCs w:val="21"/>
                <w:lang w:val="en-US" w:eastAsia="zh-CN"/>
              </w:rPr>
            </w:pPr>
            <w:r>
              <w:rPr>
                <w:rFonts w:cs="Times New Roman"/>
                <w:color w:val="auto"/>
                <w:szCs w:val="21"/>
              </w:rPr>
              <w:t>0.</w:t>
            </w:r>
            <w:r>
              <w:rPr>
                <w:rFonts w:hint="eastAsia" w:cs="Times New Roman"/>
                <w:color w:val="auto"/>
                <w:szCs w:val="21"/>
                <w:lang w:val="en-US" w:eastAsia="zh-CN"/>
              </w:rPr>
              <w:t>46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pStyle w:val="184"/>
              <w:rPr>
                <w:rFonts w:cs="Times New Roman"/>
                <w:color w:val="auto"/>
                <w:szCs w:val="21"/>
              </w:rPr>
            </w:pPr>
          </w:p>
        </w:tc>
        <w:tc>
          <w:tcPr>
            <w:tcW w:w="437" w:type="pct"/>
            <w:vMerge w:val="continue"/>
            <w:shd w:val="clear" w:color="auto" w:fill="auto"/>
            <w:vAlign w:val="center"/>
          </w:tcPr>
          <w:p>
            <w:pPr>
              <w:pStyle w:val="184"/>
              <w:rPr>
                <w:rFonts w:cs="Times New Roman"/>
                <w:color w:val="auto"/>
                <w:szCs w:val="21"/>
              </w:rPr>
            </w:pPr>
          </w:p>
        </w:tc>
        <w:tc>
          <w:tcPr>
            <w:tcW w:w="566" w:type="pct"/>
            <w:shd w:val="clear" w:color="auto" w:fill="auto"/>
            <w:vAlign w:val="center"/>
          </w:tcPr>
          <w:p>
            <w:pPr>
              <w:pStyle w:val="184"/>
              <w:rPr>
                <w:rFonts w:cs="Times New Roman"/>
                <w:b/>
                <w:bCs/>
                <w:color w:val="auto"/>
                <w:szCs w:val="21"/>
              </w:rPr>
            </w:pPr>
            <w:r>
              <w:rPr>
                <w:rFonts w:cs="Times New Roman"/>
                <w:b/>
                <w:bCs/>
                <w:color w:val="auto"/>
                <w:szCs w:val="21"/>
              </w:rPr>
              <w:t>三</w:t>
            </w:r>
          </w:p>
        </w:tc>
        <w:tc>
          <w:tcPr>
            <w:tcW w:w="1098" w:type="pct"/>
            <w:shd w:val="clear" w:color="auto" w:fill="auto"/>
            <w:vAlign w:val="center"/>
          </w:tcPr>
          <w:p>
            <w:pPr>
              <w:pStyle w:val="184"/>
              <w:rPr>
                <w:rFonts w:cs="Times New Roman"/>
                <w:b/>
                <w:bCs/>
                <w:color w:val="auto"/>
                <w:szCs w:val="21"/>
              </w:rPr>
            </w:pPr>
            <w:r>
              <w:rPr>
                <w:rFonts w:cs="Times New Roman"/>
                <w:b/>
                <w:bCs/>
                <w:color w:val="auto"/>
                <w:szCs w:val="21"/>
              </w:rPr>
              <w:t>临时措施</w:t>
            </w:r>
          </w:p>
        </w:tc>
        <w:tc>
          <w:tcPr>
            <w:tcW w:w="535" w:type="pct"/>
            <w:shd w:val="clear" w:color="auto" w:fill="auto"/>
            <w:vAlign w:val="center"/>
          </w:tcPr>
          <w:p>
            <w:pPr>
              <w:pStyle w:val="184"/>
              <w:rPr>
                <w:rFonts w:cs="Times New Roman"/>
                <w:color w:val="auto"/>
                <w:szCs w:val="21"/>
              </w:rPr>
            </w:pPr>
          </w:p>
        </w:tc>
        <w:tc>
          <w:tcPr>
            <w:tcW w:w="673" w:type="pct"/>
            <w:shd w:val="clear" w:color="auto" w:fill="auto"/>
            <w:vAlign w:val="center"/>
          </w:tcPr>
          <w:p>
            <w:pPr>
              <w:pStyle w:val="184"/>
              <w:rPr>
                <w:rFonts w:cs="Times New Roman"/>
                <w:color w:val="auto"/>
                <w:szCs w:val="21"/>
              </w:rPr>
            </w:pPr>
          </w:p>
        </w:tc>
        <w:tc>
          <w:tcPr>
            <w:tcW w:w="1144" w:type="pct"/>
            <w:shd w:val="clear" w:color="auto" w:fill="auto"/>
            <w:vAlign w:val="center"/>
          </w:tcPr>
          <w:p>
            <w:pPr>
              <w:pStyle w:val="184"/>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pStyle w:val="184"/>
              <w:rPr>
                <w:rFonts w:cs="Times New Roman"/>
                <w:color w:val="auto"/>
                <w:szCs w:val="21"/>
              </w:rPr>
            </w:pPr>
          </w:p>
        </w:tc>
        <w:tc>
          <w:tcPr>
            <w:tcW w:w="437" w:type="pct"/>
            <w:vMerge w:val="continue"/>
            <w:shd w:val="clear" w:color="auto" w:fill="auto"/>
            <w:vAlign w:val="center"/>
          </w:tcPr>
          <w:p>
            <w:pPr>
              <w:pStyle w:val="184"/>
              <w:rPr>
                <w:rFonts w:cs="Times New Roman"/>
                <w:color w:val="auto"/>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1</w:t>
            </w:r>
          </w:p>
        </w:tc>
        <w:tc>
          <w:tcPr>
            <w:tcW w:w="1098" w:type="pct"/>
            <w:shd w:val="clear" w:color="auto" w:fill="auto"/>
            <w:vAlign w:val="center"/>
          </w:tcPr>
          <w:p>
            <w:pPr>
              <w:pStyle w:val="184"/>
              <w:rPr>
                <w:rFonts w:cs="Times New Roman"/>
                <w:color w:val="auto"/>
                <w:szCs w:val="21"/>
              </w:rPr>
            </w:pPr>
            <w:r>
              <w:rPr>
                <w:rFonts w:cs="Times New Roman"/>
                <w:color w:val="auto"/>
                <w:szCs w:val="21"/>
              </w:rPr>
              <w:t>临时防护工程</w:t>
            </w:r>
          </w:p>
        </w:tc>
        <w:tc>
          <w:tcPr>
            <w:tcW w:w="535" w:type="pct"/>
            <w:shd w:val="clear" w:color="auto" w:fill="auto"/>
            <w:vAlign w:val="center"/>
          </w:tcPr>
          <w:p>
            <w:pPr>
              <w:pStyle w:val="184"/>
              <w:rPr>
                <w:rFonts w:cs="Times New Roman"/>
                <w:color w:val="auto"/>
                <w:szCs w:val="21"/>
              </w:rPr>
            </w:pPr>
          </w:p>
        </w:tc>
        <w:tc>
          <w:tcPr>
            <w:tcW w:w="673" w:type="pct"/>
            <w:shd w:val="clear" w:color="auto" w:fill="auto"/>
            <w:vAlign w:val="center"/>
          </w:tcPr>
          <w:p>
            <w:pPr>
              <w:pStyle w:val="184"/>
              <w:rPr>
                <w:rFonts w:cs="Times New Roman"/>
                <w:color w:val="auto"/>
                <w:szCs w:val="21"/>
              </w:rPr>
            </w:pPr>
          </w:p>
        </w:tc>
        <w:tc>
          <w:tcPr>
            <w:tcW w:w="1144" w:type="pct"/>
            <w:shd w:val="clear" w:color="auto" w:fill="auto"/>
            <w:vAlign w:val="center"/>
          </w:tcPr>
          <w:p>
            <w:pPr>
              <w:pStyle w:val="184"/>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pStyle w:val="184"/>
              <w:rPr>
                <w:rFonts w:cs="Times New Roman"/>
                <w:color w:val="auto"/>
                <w:szCs w:val="21"/>
              </w:rPr>
            </w:pPr>
          </w:p>
        </w:tc>
        <w:tc>
          <w:tcPr>
            <w:tcW w:w="437" w:type="pct"/>
            <w:vMerge w:val="continue"/>
            <w:shd w:val="clear" w:color="auto" w:fill="auto"/>
            <w:vAlign w:val="center"/>
          </w:tcPr>
          <w:p>
            <w:pPr>
              <w:pStyle w:val="184"/>
              <w:rPr>
                <w:rFonts w:cs="Times New Roman"/>
                <w:color w:val="auto"/>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（1）</w:t>
            </w:r>
          </w:p>
        </w:tc>
        <w:tc>
          <w:tcPr>
            <w:tcW w:w="1098" w:type="pct"/>
            <w:shd w:val="clear" w:color="auto" w:fill="auto"/>
            <w:vAlign w:val="center"/>
          </w:tcPr>
          <w:p>
            <w:pPr>
              <w:pStyle w:val="184"/>
              <w:rPr>
                <w:rFonts w:ascii="仿宋_GB2312" w:cs="Times New Roman"/>
                <w:color w:val="auto"/>
                <w:szCs w:val="21"/>
              </w:rPr>
            </w:pPr>
            <w:r>
              <w:rPr>
                <w:rFonts w:hint="eastAsia" w:ascii="仿宋_GB2312" w:cs="Times New Roman"/>
                <w:color w:val="auto"/>
                <w:szCs w:val="21"/>
              </w:rPr>
              <w:t>基坑排水沟◆</w:t>
            </w:r>
          </w:p>
        </w:tc>
        <w:tc>
          <w:tcPr>
            <w:tcW w:w="535" w:type="pct"/>
            <w:shd w:val="clear" w:color="auto" w:fill="auto"/>
            <w:vAlign w:val="center"/>
          </w:tcPr>
          <w:p>
            <w:pPr>
              <w:pStyle w:val="184"/>
              <w:rPr>
                <w:rFonts w:cs="Times New Roman"/>
                <w:color w:val="auto"/>
                <w:szCs w:val="21"/>
              </w:rPr>
            </w:pPr>
            <w:r>
              <w:rPr>
                <w:rFonts w:hint="eastAsia" w:cs="Times New Roman"/>
                <w:color w:val="auto"/>
                <w:szCs w:val="21"/>
              </w:rPr>
              <w:t>m</w:t>
            </w:r>
          </w:p>
        </w:tc>
        <w:tc>
          <w:tcPr>
            <w:tcW w:w="673" w:type="pct"/>
            <w:shd w:val="clear" w:color="auto" w:fill="auto"/>
            <w:vAlign w:val="center"/>
          </w:tcPr>
          <w:p>
            <w:pPr>
              <w:pStyle w:val="184"/>
              <w:rPr>
                <w:rFonts w:cs="Times New Roman"/>
                <w:color w:val="auto"/>
                <w:szCs w:val="21"/>
              </w:rPr>
            </w:pPr>
            <w:r>
              <w:rPr>
                <w:rFonts w:cs="Times New Roman"/>
                <w:color w:val="auto"/>
                <w:szCs w:val="21"/>
              </w:rPr>
              <w:t>1</w:t>
            </w:r>
            <w:r>
              <w:rPr>
                <w:rFonts w:hint="eastAsia" w:cs="Times New Roman"/>
                <w:color w:val="auto"/>
                <w:szCs w:val="21"/>
                <w:lang w:val="en-US" w:eastAsia="zh-CN"/>
              </w:rPr>
              <w:t>1</w:t>
            </w:r>
            <w:r>
              <w:rPr>
                <w:rFonts w:cs="Times New Roman"/>
                <w:color w:val="auto"/>
                <w:szCs w:val="21"/>
              </w:rPr>
              <w:t>50</w:t>
            </w:r>
          </w:p>
        </w:tc>
        <w:tc>
          <w:tcPr>
            <w:tcW w:w="1144" w:type="pct"/>
            <w:shd w:val="clear" w:color="auto" w:fill="auto"/>
            <w:vAlign w:val="center"/>
          </w:tcPr>
          <w:p>
            <w:pPr>
              <w:pStyle w:val="184"/>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pStyle w:val="184"/>
              <w:rPr>
                <w:rFonts w:cs="Times New Roman"/>
                <w:color w:val="auto"/>
                <w:szCs w:val="21"/>
              </w:rPr>
            </w:pPr>
          </w:p>
        </w:tc>
        <w:tc>
          <w:tcPr>
            <w:tcW w:w="437" w:type="pct"/>
            <w:vMerge w:val="continue"/>
            <w:shd w:val="clear" w:color="auto" w:fill="auto"/>
            <w:vAlign w:val="center"/>
          </w:tcPr>
          <w:p>
            <w:pPr>
              <w:pStyle w:val="184"/>
              <w:rPr>
                <w:rFonts w:cs="Times New Roman"/>
                <w:color w:val="auto"/>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（2）</w:t>
            </w:r>
          </w:p>
        </w:tc>
        <w:tc>
          <w:tcPr>
            <w:tcW w:w="1098" w:type="pct"/>
            <w:shd w:val="clear" w:color="auto" w:fill="auto"/>
            <w:vAlign w:val="center"/>
          </w:tcPr>
          <w:p>
            <w:pPr>
              <w:pStyle w:val="184"/>
              <w:rPr>
                <w:rFonts w:ascii="仿宋_GB2312" w:cs="Times New Roman"/>
                <w:color w:val="auto"/>
                <w:szCs w:val="21"/>
              </w:rPr>
            </w:pPr>
            <w:r>
              <w:rPr>
                <w:rFonts w:hint="eastAsia" w:ascii="仿宋_GB2312" w:cs="Times New Roman"/>
                <w:color w:val="auto"/>
                <w:szCs w:val="21"/>
              </w:rPr>
              <w:t>基坑沉沙池◆</w:t>
            </w:r>
          </w:p>
        </w:tc>
        <w:tc>
          <w:tcPr>
            <w:tcW w:w="535" w:type="pct"/>
            <w:shd w:val="clear" w:color="auto" w:fill="auto"/>
            <w:vAlign w:val="center"/>
          </w:tcPr>
          <w:p>
            <w:pPr>
              <w:pStyle w:val="184"/>
              <w:rPr>
                <w:rFonts w:cs="Times New Roman"/>
                <w:color w:val="auto"/>
                <w:szCs w:val="21"/>
              </w:rPr>
            </w:pPr>
            <w:r>
              <w:rPr>
                <w:rFonts w:cs="Times New Roman"/>
                <w:color w:val="auto"/>
                <w:szCs w:val="21"/>
              </w:rPr>
              <w:t>座</w:t>
            </w:r>
          </w:p>
        </w:tc>
        <w:tc>
          <w:tcPr>
            <w:tcW w:w="673" w:type="pct"/>
            <w:shd w:val="clear" w:color="auto" w:fill="auto"/>
            <w:vAlign w:val="center"/>
          </w:tcPr>
          <w:p>
            <w:pPr>
              <w:pStyle w:val="184"/>
              <w:rPr>
                <w:rFonts w:cs="Times New Roman"/>
                <w:color w:val="auto"/>
                <w:szCs w:val="21"/>
              </w:rPr>
            </w:pPr>
            <w:r>
              <w:rPr>
                <w:rFonts w:cs="Times New Roman"/>
                <w:color w:val="auto"/>
                <w:szCs w:val="21"/>
              </w:rPr>
              <w:t>9</w:t>
            </w:r>
          </w:p>
        </w:tc>
        <w:tc>
          <w:tcPr>
            <w:tcW w:w="1144" w:type="pct"/>
            <w:shd w:val="clear" w:color="auto" w:fill="auto"/>
            <w:vAlign w:val="center"/>
          </w:tcPr>
          <w:p>
            <w:pPr>
              <w:pStyle w:val="184"/>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pStyle w:val="184"/>
              <w:rPr>
                <w:rFonts w:cs="Times New Roman"/>
                <w:color w:val="auto"/>
                <w:szCs w:val="21"/>
              </w:rPr>
            </w:pPr>
          </w:p>
        </w:tc>
        <w:tc>
          <w:tcPr>
            <w:tcW w:w="437" w:type="pct"/>
            <w:vMerge w:val="continue"/>
            <w:shd w:val="clear" w:color="auto" w:fill="auto"/>
            <w:vAlign w:val="center"/>
          </w:tcPr>
          <w:p>
            <w:pPr>
              <w:pStyle w:val="184"/>
              <w:rPr>
                <w:rFonts w:cs="Times New Roman"/>
                <w:color w:val="auto"/>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（3）</w:t>
            </w:r>
          </w:p>
        </w:tc>
        <w:tc>
          <w:tcPr>
            <w:tcW w:w="1098" w:type="pct"/>
            <w:shd w:val="clear" w:color="auto" w:fill="auto"/>
            <w:vAlign w:val="center"/>
          </w:tcPr>
          <w:p>
            <w:pPr>
              <w:pStyle w:val="184"/>
              <w:rPr>
                <w:rFonts w:ascii="仿宋_GB2312" w:cs="Times New Roman"/>
                <w:color w:val="auto"/>
                <w:szCs w:val="21"/>
              </w:rPr>
            </w:pPr>
            <w:r>
              <w:rPr>
                <w:rFonts w:hint="eastAsia" w:ascii="仿宋_GB2312" w:cs="Times New Roman"/>
                <w:color w:val="auto"/>
                <w:szCs w:val="21"/>
              </w:rPr>
              <w:t>临时排水沟◆</w:t>
            </w:r>
          </w:p>
        </w:tc>
        <w:tc>
          <w:tcPr>
            <w:tcW w:w="535" w:type="pct"/>
            <w:shd w:val="clear" w:color="auto" w:fill="auto"/>
            <w:vAlign w:val="center"/>
          </w:tcPr>
          <w:p>
            <w:pPr>
              <w:pStyle w:val="184"/>
              <w:rPr>
                <w:rFonts w:cs="Times New Roman"/>
                <w:color w:val="auto"/>
                <w:szCs w:val="21"/>
              </w:rPr>
            </w:pPr>
            <w:r>
              <w:rPr>
                <w:rFonts w:cs="Times New Roman"/>
                <w:color w:val="auto"/>
                <w:szCs w:val="21"/>
              </w:rPr>
              <w:t>m</w:t>
            </w:r>
          </w:p>
        </w:tc>
        <w:tc>
          <w:tcPr>
            <w:tcW w:w="673" w:type="pct"/>
            <w:shd w:val="clear" w:color="auto" w:fill="auto"/>
            <w:vAlign w:val="center"/>
          </w:tcPr>
          <w:p>
            <w:pPr>
              <w:pStyle w:val="184"/>
              <w:rPr>
                <w:rFonts w:cs="Times New Roman"/>
                <w:color w:val="auto"/>
                <w:szCs w:val="21"/>
              </w:rPr>
            </w:pPr>
            <w:r>
              <w:rPr>
                <w:rFonts w:cs="Times New Roman"/>
                <w:color w:val="auto"/>
                <w:szCs w:val="21"/>
              </w:rPr>
              <w:t>7420</w:t>
            </w:r>
          </w:p>
        </w:tc>
        <w:tc>
          <w:tcPr>
            <w:tcW w:w="1144" w:type="pct"/>
            <w:shd w:val="clear" w:color="auto" w:fill="auto"/>
            <w:vAlign w:val="center"/>
          </w:tcPr>
          <w:p>
            <w:pPr>
              <w:pStyle w:val="184"/>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pStyle w:val="184"/>
              <w:rPr>
                <w:rFonts w:cs="Times New Roman"/>
                <w:color w:val="auto"/>
                <w:szCs w:val="21"/>
              </w:rPr>
            </w:pPr>
          </w:p>
        </w:tc>
        <w:tc>
          <w:tcPr>
            <w:tcW w:w="437" w:type="pct"/>
            <w:vMerge w:val="continue"/>
            <w:shd w:val="clear" w:color="auto" w:fill="auto"/>
            <w:vAlign w:val="center"/>
          </w:tcPr>
          <w:p>
            <w:pPr>
              <w:pStyle w:val="184"/>
              <w:rPr>
                <w:rFonts w:cs="Times New Roman"/>
                <w:color w:val="auto"/>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（4）</w:t>
            </w:r>
          </w:p>
        </w:tc>
        <w:tc>
          <w:tcPr>
            <w:tcW w:w="1098" w:type="pct"/>
            <w:shd w:val="clear" w:color="auto" w:fill="auto"/>
            <w:vAlign w:val="center"/>
          </w:tcPr>
          <w:p>
            <w:pPr>
              <w:pStyle w:val="184"/>
              <w:rPr>
                <w:rFonts w:ascii="仿宋_GB2312" w:cs="Times New Roman"/>
                <w:color w:val="auto"/>
                <w:szCs w:val="21"/>
              </w:rPr>
            </w:pPr>
            <w:r>
              <w:rPr>
                <w:rFonts w:hint="eastAsia" w:ascii="仿宋_GB2312" w:cs="Times New Roman"/>
                <w:color w:val="auto"/>
                <w:szCs w:val="21"/>
              </w:rPr>
              <w:t>临时沉沙池◆</w:t>
            </w:r>
          </w:p>
        </w:tc>
        <w:tc>
          <w:tcPr>
            <w:tcW w:w="535" w:type="pct"/>
            <w:shd w:val="clear" w:color="auto" w:fill="auto"/>
            <w:vAlign w:val="center"/>
          </w:tcPr>
          <w:p>
            <w:pPr>
              <w:pStyle w:val="184"/>
              <w:rPr>
                <w:rFonts w:cs="Times New Roman"/>
                <w:color w:val="auto"/>
                <w:szCs w:val="21"/>
              </w:rPr>
            </w:pPr>
            <w:r>
              <w:rPr>
                <w:rFonts w:cs="Times New Roman"/>
                <w:color w:val="auto"/>
                <w:szCs w:val="21"/>
              </w:rPr>
              <w:t>座</w:t>
            </w:r>
          </w:p>
        </w:tc>
        <w:tc>
          <w:tcPr>
            <w:tcW w:w="673" w:type="pct"/>
            <w:shd w:val="clear" w:color="auto" w:fill="auto"/>
            <w:vAlign w:val="center"/>
          </w:tcPr>
          <w:p>
            <w:pPr>
              <w:pStyle w:val="184"/>
              <w:rPr>
                <w:rFonts w:cs="Times New Roman"/>
                <w:color w:val="auto"/>
                <w:szCs w:val="21"/>
              </w:rPr>
            </w:pPr>
            <w:r>
              <w:rPr>
                <w:rFonts w:cs="Times New Roman"/>
                <w:color w:val="auto"/>
                <w:szCs w:val="21"/>
              </w:rPr>
              <w:t>49</w:t>
            </w:r>
          </w:p>
        </w:tc>
        <w:tc>
          <w:tcPr>
            <w:tcW w:w="1144" w:type="pct"/>
            <w:shd w:val="clear" w:color="auto" w:fill="auto"/>
            <w:vAlign w:val="center"/>
          </w:tcPr>
          <w:p>
            <w:pPr>
              <w:pStyle w:val="184"/>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pStyle w:val="184"/>
              <w:rPr>
                <w:rFonts w:cs="Times New Roman"/>
                <w:color w:val="auto"/>
                <w:szCs w:val="21"/>
              </w:rPr>
            </w:pPr>
          </w:p>
        </w:tc>
        <w:tc>
          <w:tcPr>
            <w:tcW w:w="437" w:type="pct"/>
            <w:vMerge w:val="continue"/>
            <w:shd w:val="clear" w:color="auto" w:fill="auto"/>
            <w:vAlign w:val="center"/>
          </w:tcPr>
          <w:p>
            <w:pPr>
              <w:pStyle w:val="184"/>
              <w:rPr>
                <w:rFonts w:cs="Times New Roman"/>
                <w:color w:val="auto"/>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（5）</w:t>
            </w:r>
          </w:p>
        </w:tc>
        <w:tc>
          <w:tcPr>
            <w:tcW w:w="1098" w:type="pct"/>
            <w:shd w:val="clear" w:color="auto" w:fill="auto"/>
            <w:vAlign w:val="center"/>
          </w:tcPr>
          <w:p>
            <w:pPr>
              <w:pStyle w:val="184"/>
              <w:rPr>
                <w:rFonts w:ascii="仿宋_GB2312" w:cs="Times New Roman"/>
                <w:color w:val="auto"/>
                <w:szCs w:val="21"/>
              </w:rPr>
            </w:pPr>
            <w:r>
              <w:rPr>
                <w:rFonts w:hint="eastAsia" w:ascii="仿宋_GB2312" w:cs="Times New Roman"/>
                <w:color w:val="auto"/>
                <w:szCs w:val="21"/>
              </w:rPr>
              <w:t>苫布覆盖◆</w:t>
            </w:r>
          </w:p>
        </w:tc>
        <w:tc>
          <w:tcPr>
            <w:tcW w:w="535" w:type="pct"/>
            <w:shd w:val="clear" w:color="auto" w:fill="auto"/>
            <w:vAlign w:val="center"/>
          </w:tcPr>
          <w:p>
            <w:pPr>
              <w:pStyle w:val="184"/>
              <w:rPr>
                <w:rFonts w:cs="Times New Roman"/>
                <w:color w:val="auto"/>
                <w:szCs w:val="21"/>
              </w:rPr>
            </w:pPr>
            <w:r>
              <w:rPr>
                <w:rFonts w:cs="Times New Roman"/>
                <w:color w:val="auto"/>
                <w:szCs w:val="21"/>
              </w:rPr>
              <w:t>hm</w:t>
            </w:r>
            <w:r>
              <w:rPr>
                <w:rFonts w:cs="Times New Roman"/>
                <w:color w:val="auto"/>
                <w:szCs w:val="21"/>
                <w:vertAlign w:val="superscript"/>
              </w:rPr>
              <w:t>2</w:t>
            </w:r>
          </w:p>
        </w:tc>
        <w:tc>
          <w:tcPr>
            <w:tcW w:w="673" w:type="pct"/>
            <w:shd w:val="clear" w:color="auto" w:fill="auto"/>
            <w:vAlign w:val="center"/>
          </w:tcPr>
          <w:p>
            <w:pPr>
              <w:pStyle w:val="184"/>
              <w:rPr>
                <w:rFonts w:cs="Times New Roman"/>
                <w:color w:val="auto"/>
                <w:szCs w:val="21"/>
              </w:rPr>
            </w:pPr>
            <w:r>
              <w:rPr>
                <w:rFonts w:cs="Times New Roman"/>
                <w:color w:val="auto"/>
                <w:szCs w:val="21"/>
              </w:rPr>
              <w:t>2.10</w:t>
            </w:r>
          </w:p>
        </w:tc>
        <w:tc>
          <w:tcPr>
            <w:tcW w:w="1144" w:type="pct"/>
            <w:shd w:val="clear" w:color="auto" w:fill="auto"/>
            <w:vAlign w:val="center"/>
          </w:tcPr>
          <w:p>
            <w:pPr>
              <w:pStyle w:val="184"/>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widowControl/>
              <w:spacing w:line="240" w:lineRule="atLeast"/>
              <w:jc w:val="center"/>
              <w:rPr>
                <w:rFonts w:cs="Times New Roman"/>
                <w:color w:val="auto"/>
                <w:kern w:val="0"/>
                <w:sz w:val="21"/>
                <w:szCs w:val="21"/>
              </w:rPr>
            </w:pPr>
          </w:p>
        </w:tc>
        <w:tc>
          <w:tcPr>
            <w:tcW w:w="437" w:type="pct"/>
            <w:vMerge w:val="restart"/>
            <w:shd w:val="clear" w:color="auto" w:fill="auto"/>
            <w:vAlign w:val="center"/>
          </w:tcPr>
          <w:p>
            <w:pPr>
              <w:spacing w:line="240" w:lineRule="atLeast"/>
              <w:rPr>
                <w:rFonts w:cs="Times New Roman"/>
                <w:color w:val="auto"/>
                <w:sz w:val="21"/>
                <w:szCs w:val="21"/>
              </w:rPr>
            </w:pPr>
            <w:r>
              <w:rPr>
                <w:rFonts w:ascii="Times New Roman" w:hAnsi="Times New Roman" w:eastAsia="仿宋_GB2312" w:cs="Times New Roman"/>
                <w:color w:val="auto"/>
                <w:sz w:val="21"/>
                <w:szCs w:val="21"/>
              </w:rPr>
              <w:t>公共设施用地区</w:t>
            </w:r>
          </w:p>
        </w:tc>
        <w:tc>
          <w:tcPr>
            <w:tcW w:w="566" w:type="pct"/>
            <w:shd w:val="clear" w:color="auto" w:fill="auto"/>
            <w:vAlign w:val="center"/>
          </w:tcPr>
          <w:p>
            <w:pPr>
              <w:spacing w:line="240" w:lineRule="atLeast"/>
              <w:jc w:val="center"/>
              <w:rPr>
                <w:rFonts w:cs="Times New Roman"/>
                <w:b/>
                <w:bCs/>
                <w:color w:val="auto"/>
                <w:sz w:val="21"/>
                <w:szCs w:val="21"/>
              </w:rPr>
            </w:pPr>
            <w:r>
              <w:rPr>
                <w:rFonts w:ascii="Times New Roman" w:hAnsi="Times New Roman" w:eastAsia="仿宋_GB2312" w:cs="Times New Roman"/>
                <w:b/>
                <w:bCs/>
                <w:color w:val="auto"/>
                <w:sz w:val="21"/>
                <w:szCs w:val="21"/>
              </w:rPr>
              <w:t>一</w:t>
            </w:r>
          </w:p>
        </w:tc>
        <w:tc>
          <w:tcPr>
            <w:tcW w:w="1098" w:type="pct"/>
            <w:shd w:val="clear" w:color="auto" w:fill="auto"/>
            <w:vAlign w:val="center"/>
          </w:tcPr>
          <w:p>
            <w:pPr>
              <w:spacing w:line="240" w:lineRule="atLeast"/>
              <w:jc w:val="center"/>
              <w:rPr>
                <w:rFonts w:cs="Times New Roman"/>
                <w:b/>
                <w:bCs/>
                <w:color w:val="auto"/>
                <w:sz w:val="21"/>
                <w:szCs w:val="21"/>
              </w:rPr>
            </w:pPr>
            <w:r>
              <w:rPr>
                <w:rFonts w:ascii="Times New Roman" w:hAnsi="Times New Roman" w:eastAsia="仿宋_GB2312" w:cs="Times New Roman"/>
                <w:b/>
                <w:bCs/>
                <w:color w:val="auto"/>
                <w:sz w:val="21"/>
                <w:szCs w:val="21"/>
              </w:rPr>
              <w:t>工程措施</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widowControl/>
              <w:spacing w:line="240" w:lineRule="atLeast"/>
              <w:jc w:val="center"/>
              <w:rPr>
                <w:rFonts w:cs="Times New Roman"/>
                <w:color w:val="auto"/>
                <w:kern w:val="0"/>
                <w:sz w:val="21"/>
                <w:szCs w:val="21"/>
              </w:rPr>
            </w:pPr>
          </w:p>
        </w:tc>
        <w:tc>
          <w:tcPr>
            <w:tcW w:w="437" w:type="pct"/>
            <w:vMerge w:val="continue"/>
            <w:shd w:val="clear" w:color="auto" w:fill="auto"/>
            <w:vAlign w:val="center"/>
          </w:tcPr>
          <w:p>
            <w:pPr>
              <w:spacing w:line="240" w:lineRule="atLeast"/>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1</w:t>
            </w:r>
          </w:p>
        </w:tc>
        <w:tc>
          <w:tcPr>
            <w:tcW w:w="1098" w:type="pct"/>
            <w:shd w:val="clear" w:color="auto" w:fill="auto"/>
            <w:vAlign w:val="center"/>
          </w:tcPr>
          <w:p>
            <w:pPr>
              <w:pStyle w:val="184"/>
              <w:rPr>
                <w:rFonts w:cs="Times New Roman"/>
                <w:color w:val="auto"/>
                <w:szCs w:val="21"/>
              </w:rPr>
            </w:pPr>
            <w:r>
              <w:rPr>
                <w:rFonts w:cs="Times New Roman"/>
                <w:color w:val="auto"/>
                <w:szCs w:val="21"/>
              </w:rPr>
              <w:t>土地整治工程</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widowControl/>
              <w:spacing w:line="240" w:lineRule="atLeast"/>
              <w:jc w:val="center"/>
              <w:rPr>
                <w:rFonts w:cs="Times New Roman"/>
                <w:color w:val="auto"/>
                <w:kern w:val="0"/>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（1）</w:t>
            </w:r>
          </w:p>
        </w:tc>
        <w:tc>
          <w:tcPr>
            <w:tcW w:w="1098" w:type="pct"/>
            <w:shd w:val="clear" w:color="auto" w:fill="auto"/>
            <w:vAlign w:val="center"/>
          </w:tcPr>
          <w:p>
            <w:pPr>
              <w:spacing w:line="240" w:lineRule="atLeast"/>
              <w:jc w:val="center"/>
              <w:rPr>
                <w:rFonts w:cs="Times New Roman"/>
                <w:color w:val="auto"/>
                <w:sz w:val="21"/>
                <w:szCs w:val="21"/>
              </w:rPr>
            </w:pPr>
            <w:r>
              <w:rPr>
                <w:rFonts w:ascii="Times New Roman" w:hAnsi="Times New Roman" w:eastAsia="仿宋_GB2312" w:cs="Times New Roman"/>
                <w:color w:val="auto"/>
                <w:sz w:val="21"/>
                <w:szCs w:val="21"/>
              </w:rPr>
              <w:t>表土剥离</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万m</w:t>
            </w:r>
            <w:r>
              <w:rPr>
                <w:rFonts w:ascii="Times New Roman" w:hAnsi="Times New Roman" w:eastAsia="仿宋_GB2312" w:cs="Times New Roman"/>
                <w:color w:val="auto"/>
                <w:sz w:val="21"/>
                <w:szCs w:val="21"/>
                <w:vertAlign w:val="superscript"/>
              </w:rPr>
              <w:t>3</w:t>
            </w: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1.86</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1.86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widowControl/>
              <w:spacing w:line="240" w:lineRule="atLeast"/>
              <w:jc w:val="center"/>
              <w:rPr>
                <w:rFonts w:cs="Times New Roman"/>
                <w:color w:val="auto"/>
                <w:kern w:val="0"/>
                <w:sz w:val="21"/>
                <w:szCs w:val="21"/>
              </w:rPr>
            </w:pPr>
          </w:p>
        </w:tc>
        <w:tc>
          <w:tcPr>
            <w:tcW w:w="437" w:type="pct"/>
            <w:vMerge w:val="continue"/>
            <w:shd w:val="clear" w:color="auto" w:fill="auto"/>
            <w:vAlign w:val="center"/>
          </w:tcPr>
          <w:p>
            <w:pPr>
              <w:pStyle w:val="184"/>
              <w:rPr>
                <w:rFonts w:cs="Times New Roman"/>
                <w:color w:val="auto"/>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（2）</w:t>
            </w:r>
          </w:p>
        </w:tc>
        <w:tc>
          <w:tcPr>
            <w:tcW w:w="1098" w:type="pct"/>
            <w:shd w:val="clear" w:color="auto" w:fill="auto"/>
            <w:vAlign w:val="center"/>
          </w:tcPr>
          <w:p>
            <w:pPr>
              <w:spacing w:line="240" w:lineRule="atLeast"/>
              <w:jc w:val="center"/>
              <w:rPr>
                <w:rFonts w:cs="Times New Roman"/>
                <w:color w:val="auto"/>
                <w:sz w:val="21"/>
                <w:szCs w:val="21"/>
              </w:rPr>
            </w:pPr>
            <w:r>
              <w:rPr>
                <w:rFonts w:ascii="Times New Roman" w:hAnsi="Times New Roman" w:eastAsia="仿宋_GB2312" w:cs="Times New Roman"/>
                <w:color w:val="auto"/>
                <w:sz w:val="21"/>
                <w:szCs w:val="21"/>
              </w:rPr>
              <w:t>场地平整</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12.87</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12.87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spacing w:line="240" w:lineRule="atLeast"/>
              <w:jc w:val="center"/>
              <w:rPr>
                <w:rFonts w:cs="Times New Roman"/>
                <w:b/>
                <w:bCs/>
                <w:color w:val="auto"/>
                <w:sz w:val="21"/>
                <w:szCs w:val="21"/>
              </w:rPr>
            </w:pPr>
            <w:r>
              <w:rPr>
                <w:rFonts w:ascii="Times New Roman" w:hAnsi="Times New Roman" w:eastAsia="仿宋_GB2312" w:cs="Times New Roman"/>
                <w:b/>
                <w:bCs/>
                <w:color w:val="auto"/>
                <w:sz w:val="21"/>
                <w:szCs w:val="21"/>
              </w:rPr>
              <w:t>二</w:t>
            </w:r>
          </w:p>
        </w:tc>
        <w:tc>
          <w:tcPr>
            <w:tcW w:w="1098" w:type="pct"/>
            <w:shd w:val="clear" w:color="auto" w:fill="auto"/>
            <w:vAlign w:val="center"/>
          </w:tcPr>
          <w:p>
            <w:pPr>
              <w:spacing w:line="240" w:lineRule="atLeast"/>
              <w:jc w:val="center"/>
              <w:rPr>
                <w:rFonts w:cs="Times New Roman"/>
                <w:b/>
                <w:bCs/>
                <w:color w:val="auto"/>
                <w:sz w:val="21"/>
                <w:szCs w:val="21"/>
              </w:rPr>
            </w:pPr>
            <w:r>
              <w:rPr>
                <w:rFonts w:ascii="Times New Roman" w:hAnsi="Times New Roman" w:eastAsia="仿宋_GB2312" w:cs="Times New Roman"/>
                <w:b/>
                <w:bCs/>
                <w:color w:val="auto"/>
                <w:sz w:val="21"/>
                <w:szCs w:val="21"/>
              </w:rPr>
              <w:t>植物措施</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spacing w:line="240" w:lineRule="atLeast"/>
              <w:jc w:val="center"/>
              <w:rPr>
                <w:rFonts w:cs="Times New Roman"/>
                <w:color w:val="auto"/>
                <w:sz w:val="21"/>
                <w:szCs w:val="21"/>
              </w:rPr>
            </w:pPr>
            <w:r>
              <w:rPr>
                <w:rFonts w:hint="eastAsia" w:ascii="Times New Roman" w:hAnsi="Times New Roman" w:eastAsia="仿宋_GB2312" w:cs="Times New Roman"/>
                <w:color w:val="auto"/>
                <w:sz w:val="21"/>
                <w:szCs w:val="21"/>
              </w:rPr>
              <w:t>1</w:t>
            </w:r>
          </w:p>
        </w:tc>
        <w:tc>
          <w:tcPr>
            <w:tcW w:w="1098" w:type="pct"/>
            <w:shd w:val="clear" w:color="auto" w:fill="auto"/>
            <w:vAlign w:val="center"/>
          </w:tcPr>
          <w:p>
            <w:pPr>
              <w:spacing w:line="240" w:lineRule="atLeast"/>
              <w:jc w:val="center"/>
              <w:rPr>
                <w:rFonts w:cs="Times New Roman"/>
                <w:color w:val="auto"/>
                <w:sz w:val="21"/>
                <w:szCs w:val="21"/>
              </w:rPr>
            </w:pPr>
            <w:r>
              <w:rPr>
                <w:rFonts w:ascii="Times New Roman" w:hAnsi="Times New Roman" w:eastAsia="仿宋_GB2312" w:cs="Times New Roman"/>
                <w:color w:val="auto"/>
                <w:sz w:val="21"/>
                <w:szCs w:val="21"/>
              </w:rPr>
              <w:t>绿化</w:t>
            </w:r>
            <w:r>
              <w:rPr>
                <w:rFonts w:hint="eastAsia" w:cs="Times New Roman"/>
                <w:color w:val="auto"/>
                <w:sz w:val="21"/>
                <w:szCs w:val="21"/>
              </w:rPr>
              <w:t>工程</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spacing w:line="240" w:lineRule="atLeast"/>
              <w:jc w:val="center"/>
              <w:rPr>
                <w:rFonts w:cs="Times New Roman"/>
                <w:color w:val="auto"/>
                <w:sz w:val="21"/>
                <w:szCs w:val="21"/>
              </w:rPr>
            </w:pPr>
            <w:r>
              <w:rPr>
                <w:rFonts w:hint="eastAsia" w:cs="Times New Roman"/>
                <w:color w:val="auto"/>
                <w:sz w:val="21"/>
                <w:szCs w:val="21"/>
              </w:rPr>
              <w:t>（1）</w:t>
            </w:r>
          </w:p>
        </w:tc>
        <w:tc>
          <w:tcPr>
            <w:tcW w:w="1098" w:type="pct"/>
            <w:shd w:val="clear" w:color="auto" w:fill="auto"/>
            <w:vAlign w:val="center"/>
          </w:tcPr>
          <w:p>
            <w:pPr>
              <w:spacing w:line="240" w:lineRule="atLeast"/>
              <w:jc w:val="center"/>
              <w:rPr>
                <w:rFonts w:cs="Times New Roman"/>
                <w:color w:val="auto"/>
                <w:sz w:val="21"/>
                <w:szCs w:val="21"/>
              </w:rPr>
            </w:pPr>
            <w:r>
              <w:rPr>
                <w:rFonts w:ascii="Times New Roman" w:hAnsi="Times New Roman" w:eastAsia="仿宋_GB2312" w:cs="Times New Roman"/>
                <w:color w:val="auto"/>
                <w:sz w:val="21"/>
                <w:szCs w:val="21"/>
              </w:rPr>
              <w:t>撒播草籽</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12.87</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12.87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spacing w:line="240" w:lineRule="atLeast"/>
              <w:jc w:val="center"/>
              <w:rPr>
                <w:rFonts w:cs="Times New Roman"/>
                <w:b/>
                <w:bCs/>
                <w:color w:val="auto"/>
                <w:sz w:val="21"/>
                <w:szCs w:val="21"/>
              </w:rPr>
            </w:pPr>
            <w:r>
              <w:rPr>
                <w:rFonts w:ascii="Times New Roman" w:hAnsi="Times New Roman" w:eastAsia="仿宋_GB2312" w:cs="Times New Roman"/>
                <w:b/>
                <w:bCs/>
                <w:color w:val="auto"/>
                <w:sz w:val="21"/>
                <w:szCs w:val="21"/>
              </w:rPr>
              <w:t>三</w:t>
            </w:r>
          </w:p>
        </w:tc>
        <w:tc>
          <w:tcPr>
            <w:tcW w:w="1098" w:type="pct"/>
            <w:shd w:val="clear" w:color="auto" w:fill="auto"/>
            <w:vAlign w:val="center"/>
          </w:tcPr>
          <w:p>
            <w:pPr>
              <w:spacing w:line="240" w:lineRule="atLeast"/>
              <w:jc w:val="center"/>
              <w:rPr>
                <w:rFonts w:cs="Times New Roman"/>
                <w:b/>
                <w:bCs/>
                <w:color w:val="auto"/>
                <w:sz w:val="21"/>
                <w:szCs w:val="21"/>
              </w:rPr>
            </w:pPr>
            <w:r>
              <w:rPr>
                <w:rFonts w:ascii="Times New Roman" w:hAnsi="Times New Roman" w:eastAsia="仿宋_GB2312" w:cs="Times New Roman"/>
                <w:b/>
                <w:bCs/>
                <w:color w:val="auto"/>
                <w:sz w:val="21"/>
                <w:szCs w:val="21"/>
              </w:rPr>
              <w:t>临时措施</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spacing w:line="240" w:lineRule="atLeast"/>
              <w:jc w:val="center"/>
              <w:rPr>
                <w:rFonts w:cs="Times New Roman"/>
                <w:color w:val="auto"/>
                <w:sz w:val="21"/>
                <w:szCs w:val="21"/>
              </w:rPr>
            </w:pPr>
            <w:r>
              <w:rPr>
                <w:rFonts w:hint="eastAsia" w:ascii="Times New Roman" w:hAnsi="Times New Roman" w:eastAsia="仿宋_GB2312" w:cs="Times New Roman"/>
                <w:color w:val="auto"/>
                <w:sz w:val="21"/>
                <w:szCs w:val="21"/>
              </w:rPr>
              <w:t>1</w:t>
            </w:r>
          </w:p>
        </w:tc>
        <w:tc>
          <w:tcPr>
            <w:tcW w:w="1098" w:type="pct"/>
            <w:shd w:val="clear" w:color="auto" w:fill="auto"/>
            <w:vAlign w:val="center"/>
          </w:tcPr>
          <w:p>
            <w:pPr>
              <w:spacing w:line="240" w:lineRule="atLeast"/>
              <w:jc w:val="center"/>
              <w:rPr>
                <w:rFonts w:cs="Times New Roman"/>
                <w:color w:val="auto"/>
                <w:sz w:val="21"/>
                <w:szCs w:val="21"/>
              </w:rPr>
            </w:pPr>
            <w:r>
              <w:rPr>
                <w:rFonts w:ascii="Times New Roman" w:hAnsi="Times New Roman" w:eastAsia="仿宋_GB2312" w:cs="Times New Roman"/>
                <w:color w:val="auto"/>
                <w:sz w:val="21"/>
                <w:szCs w:val="21"/>
              </w:rPr>
              <w:t>临时防护工程</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（1）</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临时排水沟◆</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1698</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（2）</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临时沉沙池◆</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座</w:t>
            </w: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11</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（3）</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苫布覆盖◆</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12.87</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widowControl/>
              <w:spacing w:line="240" w:lineRule="atLeast"/>
              <w:jc w:val="center"/>
              <w:rPr>
                <w:rFonts w:cs="Times New Roman"/>
                <w:color w:val="auto"/>
                <w:kern w:val="0"/>
                <w:sz w:val="21"/>
                <w:szCs w:val="21"/>
              </w:rPr>
            </w:pPr>
          </w:p>
        </w:tc>
        <w:tc>
          <w:tcPr>
            <w:tcW w:w="437" w:type="pct"/>
            <w:vMerge w:val="restart"/>
            <w:shd w:val="clear" w:color="auto" w:fill="auto"/>
            <w:vAlign w:val="center"/>
          </w:tcPr>
          <w:p>
            <w:pPr>
              <w:spacing w:line="240" w:lineRule="atLeast"/>
              <w:rPr>
                <w:rFonts w:cs="Times New Roman"/>
                <w:color w:val="auto"/>
                <w:sz w:val="21"/>
                <w:szCs w:val="21"/>
              </w:rPr>
            </w:pPr>
            <w:r>
              <w:rPr>
                <w:rFonts w:ascii="Times New Roman" w:hAnsi="Times New Roman" w:eastAsia="仿宋_GB2312" w:cs="Times New Roman"/>
                <w:color w:val="auto"/>
                <w:sz w:val="21"/>
                <w:szCs w:val="21"/>
              </w:rPr>
              <w:t>绿地区</w:t>
            </w:r>
          </w:p>
        </w:tc>
        <w:tc>
          <w:tcPr>
            <w:tcW w:w="566" w:type="pct"/>
            <w:shd w:val="clear" w:color="auto" w:fill="auto"/>
            <w:vAlign w:val="center"/>
          </w:tcPr>
          <w:p>
            <w:pPr>
              <w:pStyle w:val="184"/>
              <w:rPr>
                <w:rFonts w:cs="Times New Roman"/>
                <w:b/>
                <w:bCs/>
                <w:color w:val="auto"/>
                <w:szCs w:val="21"/>
              </w:rPr>
            </w:pPr>
            <w:r>
              <w:rPr>
                <w:rFonts w:cs="Times New Roman"/>
                <w:b/>
                <w:bCs/>
                <w:color w:val="auto"/>
                <w:szCs w:val="21"/>
              </w:rPr>
              <w:t>一</w:t>
            </w:r>
          </w:p>
        </w:tc>
        <w:tc>
          <w:tcPr>
            <w:tcW w:w="1098" w:type="pct"/>
            <w:shd w:val="clear" w:color="auto" w:fill="auto"/>
            <w:vAlign w:val="center"/>
          </w:tcPr>
          <w:p>
            <w:pPr>
              <w:pStyle w:val="184"/>
              <w:rPr>
                <w:rFonts w:ascii="仿宋_GB2312" w:cs="Times New Roman"/>
                <w:b/>
                <w:bCs/>
                <w:color w:val="auto"/>
                <w:szCs w:val="21"/>
              </w:rPr>
            </w:pPr>
            <w:r>
              <w:rPr>
                <w:rFonts w:hint="eastAsia" w:ascii="仿宋_GB2312" w:cs="Times New Roman"/>
                <w:b/>
                <w:bCs/>
                <w:color w:val="auto"/>
                <w:szCs w:val="21"/>
              </w:rPr>
              <w:t>工程措施</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widowControl/>
              <w:spacing w:line="240" w:lineRule="atLeast"/>
              <w:jc w:val="center"/>
              <w:rPr>
                <w:rFonts w:cs="Times New Roman"/>
                <w:color w:val="auto"/>
                <w:kern w:val="0"/>
                <w:sz w:val="21"/>
                <w:szCs w:val="21"/>
              </w:rPr>
            </w:pPr>
          </w:p>
        </w:tc>
        <w:tc>
          <w:tcPr>
            <w:tcW w:w="437" w:type="pct"/>
            <w:vMerge w:val="continue"/>
            <w:shd w:val="clear" w:color="auto" w:fill="auto"/>
            <w:vAlign w:val="center"/>
          </w:tcPr>
          <w:p>
            <w:pPr>
              <w:pStyle w:val="184"/>
              <w:rPr>
                <w:rFonts w:cs="Times New Roman"/>
                <w:color w:val="auto"/>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1</w:t>
            </w:r>
          </w:p>
        </w:tc>
        <w:tc>
          <w:tcPr>
            <w:tcW w:w="1098" w:type="pct"/>
            <w:shd w:val="clear" w:color="auto" w:fill="auto"/>
            <w:vAlign w:val="center"/>
          </w:tcPr>
          <w:p>
            <w:pPr>
              <w:pStyle w:val="184"/>
              <w:rPr>
                <w:rFonts w:ascii="仿宋_GB2312" w:cs="Times New Roman"/>
                <w:color w:val="auto"/>
                <w:szCs w:val="21"/>
              </w:rPr>
            </w:pPr>
            <w:r>
              <w:rPr>
                <w:rFonts w:hint="eastAsia" w:ascii="仿宋_GB2312" w:cs="Times New Roman"/>
                <w:color w:val="auto"/>
                <w:szCs w:val="21"/>
              </w:rPr>
              <w:t>土地整治工程</w:t>
            </w:r>
          </w:p>
        </w:tc>
        <w:tc>
          <w:tcPr>
            <w:tcW w:w="535" w:type="pct"/>
            <w:shd w:val="clear" w:color="auto" w:fill="auto"/>
            <w:vAlign w:val="center"/>
          </w:tcPr>
          <w:p>
            <w:pPr>
              <w:spacing w:line="240" w:lineRule="atLeast"/>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widowControl/>
              <w:spacing w:line="240" w:lineRule="atLeast"/>
              <w:jc w:val="center"/>
              <w:rPr>
                <w:rFonts w:cs="Times New Roman"/>
                <w:color w:val="auto"/>
                <w:kern w:val="0"/>
                <w:sz w:val="21"/>
                <w:szCs w:val="21"/>
              </w:rPr>
            </w:pPr>
          </w:p>
        </w:tc>
        <w:tc>
          <w:tcPr>
            <w:tcW w:w="437" w:type="pct"/>
            <w:vMerge w:val="continue"/>
            <w:shd w:val="clear" w:color="auto" w:fill="auto"/>
            <w:vAlign w:val="center"/>
          </w:tcPr>
          <w:p>
            <w:pPr>
              <w:pStyle w:val="184"/>
              <w:rPr>
                <w:rFonts w:cs="Times New Roman"/>
                <w:color w:val="auto"/>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（1）</w:t>
            </w:r>
          </w:p>
        </w:tc>
        <w:tc>
          <w:tcPr>
            <w:tcW w:w="1098" w:type="pct"/>
            <w:shd w:val="clear" w:color="auto" w:fill="auto"/>
            <w:vAlign w:val="center"/>
          </w:tcPr>
          <w:p>
            <w:pPr>
              <w:pStyle w:val="184"/>
              <w:rPr>
                <w:rFonts w:ascii="仿宋_GB2312" w:cs="Times New Roman"/>
                <w:color w:val="auto"/>
                <w:szCs w:val="21"/>
              </w:rPr>
            </w:pPr>
            <w:r>
              <w:rPr>
                <w:rFonts w:hint="eastAsia" w:ascii="仿宋_GB2312" w:cs="Times New Roman"/>
                <w:color w:val="auto"/>
                <w:szCs w:val="21"/>
              </w:rPr>
              <w:t>表土剥离</w:t>
            </w:r>
          </w:p>
        </w:tc>
        <w:tc>
          <w:tcPr>
            <w:tcW w:w="535" w:type="pct"/>
            <w:shd w:val="clear" w:color="auto" w:fill="auto"/>
            <w:vAlign w:val="center"/>
          </w:tcPr>
          <w:p>
            <w:pPr>
              <w:spacing w:line="240" w:lineRule="atLeast"/>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万m</w:t>
            </w:r>
            <w:r>
              <w:rPr>
                <w:rFonts w:ascii="Times New Roman" w:hAnsi="Times New Roman" w:eastAsia="仿宋_GB2312" w:cs="Times New Roman"/>
                <w:color w:val="auto"/>
                <w:sz w:val="21"/>
                <w:szCs w:val="21"/>
                <w:vertAlign w:val="superscript"/>
              </w:rPr>
              <w:t>3</w:t>
            </w: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1.79</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1.79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widowControl/>
              <w:spacing w:line="240" w:lineRule="atLeast"/>
              <w:jc w:val="center"/>
              <w:rPr>
                <w:rFonts w:cs="Times New Roman"/>
                <w:color w:val="auto"/>
                <w:kern w:val="0"/>
                <w:sz w:val="21"/>
                <w:szCs w:val="21"/>
              </w:rPr>
            </w:pPr>
          </w:p>
        </w:tc>
        <w:tc>
          <w:tcPr>
            <w:tcW w:w="437" w:type="pct"/>
            <w:vMerge w:val="continue"/>
            <w:shd w:val="clear" w:color="auto" w:fill="auto"/>
            <w:vAlign w:val="center"/>
          </w:tcPr>
          <w:p>
            <w:pPr>
              <w:pStyle w:val="184"/>
              <w:rPr>
                <w:rFonts w:cs="Times New Roman"/>
                <w:color w:val="auto"/>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（2）</w:t>
            </w:r>
          </w:p>
        </w:tc>
        <w:tc>
          <w:tcPr>
            <w:tcW w:w="1098" w:type="pct"/>
            <w:shd w:val="clear" w:color="auto" w:fill="auto"/>
            <w:vAlign w:val="center"/>
          </w:tcPr>
          <w:p>
            <w:pPr>
              <w:pStyle w:val="184"/>
              <w:rPr>
                <w:rFonts w:ascii="仿宋_GB2312" w:cs="Times New Roman"/>
                <w:color w:val="auto"/>
                <w:szCs w:val="21"/>
              </w:rPr>
            </w:pPr>
            <w:r>
              <w:rPr>
                <w:rFonts w:hint="eastAsia" w:ascii="仿宋_GB2312" w:cs="Times New Roman"/>
                <w:color w:val="auto"/>
                <w:szCs w:val="21"/>
              </w:rPr>
              <w:t>场地平整</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18.81</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18.81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（3）</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表土回填</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万m</w:t>
            </w:r>
            <w:r>
              <w:rPr>
                <w:rFonts w:ascii="Times New Roman" w:hAnsi="Times New Roman" w:eastAsia="仿宋_GB2312" w:cs="Times New Roman"/>
                <w:color w:val="auto"/>
                <w:sz w:val="21"/>
                <w:szCs w:val="21"/>
                <w:vertAlign w:val="superscript"/>
              </w:rPr>
              <w:t>3</w:t>
            </w:r>
          </w:p>
        </w:tc>
        <w:tc>
          <w:tcPr>
            <w:tcW w:w="673" w:type="pct"/>
            <w:shd w:val="clear" w:color="000000" w:fill="FFFFFF"/>
            <w:vAlign w:val="center"/>
          </w:tcPr>
          <w:p>
            <w:pPr>
              <w:spacing w:line="240" w:lineRule="atLeast"/>
              <w:jc w:val="center"/>
              <w:rPr>
                <w:rFonts w:hint="eastAsia" w:ascii="Times New Roman" w:hAnsi="Times New Roman" w:eastAsia="宋体" w:cs="Times New Roman"/>
                <w:color w:val="auto"/>
                <w:sz w:val="21"/>
                <w:szCs w:val="21"/>
                <w:lang w:val="en-US" w:eastAsia="zh-CN"/>
              </w:rPr>
            </w:pPr>
            <w:r>
              <w:rPr>
                <w:rFonts w:ascii="Times New Roman" w:hAnsi="Times New Roman" w:cs="Times New Roman"/>
                <w:color w:val="auto"/>
                <w:sz w:val="21"/>
                <w:szCs w:val="21"/>
              </w:rPr>
              <w:t>4.8</w:t>
            </w:r>
            <w:r>
              <w:rPr>
                <w:rFonts w:hint="eastAsia" w:ascii="Times New Roman" w:hAnsi="Times New Roman" w:cs="Times New Roman"/>
                <w:color w:val="auto"/>
                <w:sz w:val="21"/>
                <w:szCs w:val="21"/>
                <w:lang w:val="en-US" w:eastAsia="zh-CN"/>
              </w:rPr>
              <w:t>3</w:t>
            </w:r>
          </w:p>
        </w:tc>
        <w:tc>
          <w:tcPr>
            <w:tcW w:w="1144" w:type="pct"/>
            <w:shd w:val="clear" w:color="auto" w:fill="auto"/>
            <w:vAlign w:val="center"/>
          </w:tcPr>
          <w:p>
            <w:pPr>
              <w:spacing w:line="240" w:lineRule="atLeast"/>
              <w:jc w:val="center"/>
              <w:rPr>
                <w:rFonts w:hint="eastAsia" w:ascii="Times New Roman" w:hAnsi="Times New Roman" w:eastAsia="宋体" w:cs="Times New Roman"/>
                <w:color w:val="auto"/>
                <w:sz w:val="21"/>
                <w:szCs w:val="21"/>
                <w:lang w:val="en-US" w:eastAsia="zh-CN"/>
              </w:rPr>
            </w:pPr>
            <w:r>
              <w:rPr>
                <w:rFonts w:ascii="Times New Roman" w:hAnsi="Times New Roman" w:cs="Times New Roman"/>
                <w:color w:val="auto"/>
                <w:sz w:val="21"/>
                <w:szCs w:val="21"/>
              </w:rPr>
              <w:t>4.8</w:t>
            </w:r>
            <w:r>
              <w:rPr>
                <w:rFonts w:hint="eastAsia" w:ascii="Times New Roman" w:hAnsi="Times New Roman" w:cs="Times New Roman"/>
                <w:color w:val="auto"/>
                <w:sz w:val="21"/>
                <w:szCs w:val="21"/>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2</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排水工程</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spacing w:line="240" w:lineRule="atLeast"/>
              <w:jc w:val="center"/>
              <w:rPr>
                <w:rFonts w:ascii="Times New Roman" w:hAnsi="Times New Roman" w:cs="Times New Roman"/>
                <w:color w:val="auto"/>
                <w:sz w:val="21"/>
                <w:szCs w:val="21"/>
              </w:rPr>
            </w:pPr>
            <w:r>
              <w:rPr>
                <w:rFonts w:ascii="Times New Roman" w:cs="Times New Roman"/>
                <w:color w:val="auto"/>
                <w:sz w:val="21"/>
                <w:szCs w:val="21"/>
              </w:rPr>
              <w:t>（</w:t>
            </w:r>
            <w:r>
              <w:rPr>
                <w:rFonts w:ascii="Times New Roman" w:hAnsi="Times New Roman" w:cs="Times New Roman"/>
                <w:color w:val="auto"/>
                <w:sz w:val="21"/>
                <w:szCs w:val="21"/>
              </w:rPr>
              <w:t>1</w:t>
            </w:r>
            <w:r>
              <w:rPr>
                <w:rFonts w:ascii="Times New Roman" w:cs="Times New Roman"/>
                <w:color w:val="auto"/>
                <w:sz w:val="21"/>
                <w:szCs w:val="21"/>
              </w:rPr>
              <w:t>）</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植草沟◆</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955</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cs="Times New Roman"/>
                <w:color w:val="auto"/>
                <w:szCs w:val="21"/>
              </w:rPr>
              <w:t>3</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eastAsia="仿宋_GB2312" w:cs="Times New Roman"/>
                <w:color w:val="auto"/>
                <w:sz w:val="21"/>
                <w:szCs w:val="21"/>
              </w:rPr>
              <w:t>透水铺装</w:t>
            </w:r>
            <w:r>
              <w:rPr>
                <w:rFonts w:hint="eastAsia" w:ascii="仿宋_GB2312" w:hAnsi="Times New Roman" w:eastAsia="仿宋_GB2312" w:cs="Times New Roman"/>
                <w:color w:val="auto"/>
                <w:sz w:val="21"/>
                <w:szCs w:val="21"/>
              </w:rPr>
              <w:t>工程</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spacing w:line="240" w:lineRule="atLeast"/>
              <w:jc w:val="center"/>
              <w:rPr>
                <w:rFonts w:ascii="Times New Roman" w:hAnsi="Times New Roman" w:cs="Times New Roman"/>
                <w:color w:val="auto"/>
                <w:sz w:val="21"/>
                <w:szCs w:val="21"/>
              </w:rPr>
            </w:pPr>
            <w:r>
              <w:rPr>
                <w:rFonts w:ascii="Times New Roman" w:cs="Times New Roman"/>
                <w:color w:val="auto"/>
                <w:sz w:val="21"/>
                <w:szCs w:val="21"/>
              </w:rPr>
              <w:t>（</w:t>
            </w:r>
            <w:r>
              <w:rPr>
                <w:rFonts w:ascii="Times New Roman" w:hAnsi="Times New Roman" w:cs="Times New Roman"/>
                <w:color w:val="auto"/>
                <w:sz w:val="21"/>
                <w:szCs w:val="21"/>
              </w:rPr>
              <w:t>1</w:t>
            </w:r>
            <w:r>
              <w:rPr>
                <w:rFonts w:ascii="Times New Roman" w:cs="Times New Roman"/>
                <w:color w:val="auto"/>
                <w:sz w:val="21"/>
                <w:szCs w:val="21"/>
              </w:rPr>
              <w:t>）</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eastAsia="仿宋_GB2312" w:cs="Times New Roman"/>
                <w:color w:val="auto"/>
                <w:sz w:val="21"/>
                <w:szCs w:val="21"/>
              </w:rPr>
              <w:t>透水铺装</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1.20</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spacing w:line="240" w:lineRule="atLeast"/>
              <w:jc w:val="center"/>
              <w:rPr>
                <w:rFonts w:cs="Times New Roman"/>
                <w:b/>
                <w:bCs/>
                <w:color w:val="auto"/>
                <w:sz w:val="21"/>
                <w:szCs w:val="21"/>
              </w:rPr>
            </w:pPr>
            <w:r>
              <w:rPr>
                <w:rFonts w:ascii="Times New Roman" w:hAnsi="Times New Roman" w:eastAsia="仿宋_GB2312" w:cs="Times New Roman"/>
                <w:b/>
                <w:bCs/>
                <w:color w:val="auto"/>
                <w:sz w:val="21"/>
                <w:szCs w:val="21"/>
              </w:rPr>
              <w:t>二</w:t>
            </w:r>
          </w:p>
        </w:tc>
        <w:tc>
          <w:tcPr>
            <w:tcW w:w="1098" w:type="pct"/>
            <w:shd w:val="clear" w:color="auto" w:fill="auto"/>
            <w:vAlign w:val="center"/>
          </w:tcPr>
          <w:p>
            <w:pPr>
              <w:spacing w:line="240" w:lineRule="atLeast"/>
              <w:jc w:val="center"/>
              <w:rPr>
                <w:rFonts w:ascii="仿宋_GB2312" w:eastAsia="仿宋_GB2312" w:cs="Times New Roman"/>
                <w:b/>
                <w:bCs/>
                <w:color w:val="auto"/>
                <w:sz w:val="21"/>
                <w:szCs w:val="21"/>
              </w:rPr>
            </w:pPr>
            <w:r>
              <w:rPr>
                <w:rFonts w:hint="eastAsia" w:ascii="仿宋_GB2312" w:hAnsi="Times New Roman" w:eastAsia="仿宋_GB2312" w:cs="Times New Roman"/>
                <w:b/>
                <w:bCs/>
                <w:color w:val="auto"/>
                <w:sz w:val="21"/>
                <w:szCs w:val="21"/>
              </w:rPr>
              <w:t>植物措施</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spacing w:line="240" w:lineRule="atLeast"/>
              <w:jc w:val="center"/>
              <w:rPr>
                <w:rFonts w:cs="Times New Roman"/>
                <w:color w:val="auto"/>
                <w:sz w:val="21"/>
                <w:szCs w:val="21"/>
              </w:rPr>
            </w:pPr>
            <w:r>
              <w:rPr>
                <w:rFonts w:hint="eastAsia" w:ascii="Times New Roman" w:hAnsi="Times New Roman" w:eastAsia="仿宋_GB2312" w:cs="Times New Roman"/>
                <w:color w:val="auto"/>
                <w:sz w:val="21"/>
                <w:szCs w:val="21"/>
              </w:rPr>
              <w:t>1</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绿化工程</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spacing w:line="240" w:lineRule="atLeast"/>
              <w:jc w:val="center"/>
              <w:rPr>
                <w:rFonts w:cs="Times New Roman"/>
                <w:color w:val="auto"/>
                <w:sz w:val="21"/>
                <w:szCs w:val="21"/>
              </w:rPr>
            </w:pPr>
            <w:r>
              <w:rPr>
                <w:rFonts w:hint="eastAsia" w:ascii="Times New Roman" w:hAnsi="Times New Roman" w:eastAsia="仿宋_GB2312" w:cs="Times New Roman"/>
                <w:color w:val="auto"/>
                <w:sz w:val="21"/>
                <w:szCs w:val="21"/>
              </w:rPr>
              <w:t>（1）</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景观绿化</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18.81</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18.81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spacing w:line="240" w:lineRule="atLeast"/>
              <w:jc w:val="center"/>
              <w:rPr>
                <w:rFonts w:cs="Times New Roman"/>
                <w:b/>
                <w:bCs/>
                <w:color w:val="auto"/>
                <w:sz w:val="21"/>
                <w:szCs w:val="21"/>
              </w:rPr>
            </w:pPr>
            <w:r>
              <w:rPr>
                <w:rFonts w:ascii="Times New Roman" w:hAnsi="Times New Roman" w:eastAsia="仿宋_GB2312" w:cs="Times New Roman"/>
                <w:b/>
                <w:bCs/>
                <w:color w:val="auto"/>
                <w:sz w:val="21"/>
                <w:szCs w:val="21"/>
              </w:rPr>
              <w:t>三</w:t>
            </w:r>
          </w:p>
        </w:tc>
        <w:tc>
          <w:tcPr>
            <w:tcW w:w="1098" w:type="pct"/>
            <w:shd w:val="clear" w:color="auto" w:fill="auto"/>
            <w:vAlign w:val="center"/>
          </w:tcPr>
          <w:p>
            <w:pPr>
              <w:spacing w:line="240" w:lineRule="atLeast"/>
              <w:jc w:val="center"/>
              <w:rPr>
                <w:rFonts w:ascii="仿宋_GB2312" w:eastAsia="仿宋_GB2312" w:cs="Times New Roman"/>
                <w:b/>
                <w:bCs/>
                <w:color w:val="auto"/>
                <w:sz w:val="21"/>
                <w:szCs w:val="21"/>
              </w:rPr>
            </w:pPr>
            <w:r>
              <w:rPr>
                <w:rFonts w:hint="eastAsia" w:ascii="仿宋_GB2312" w:hAnsi="Times New Roman" w:eastAsia="仿宋_GB2312" w:cs="Times New Roman"/>
                <w:b/>
                <w:bCs/>
                <w:color w:val="auto"/>
                <w:sz w:val="21"/>
                <w:szCs w:val="21"/>
              </w:rPr>
              <w:t>临时措施</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spacing w:line="240" w:lineRule="atLeast"/>
              <w:jc w:val="center"/>
              <w:rPr>
                <w:rFonts w:cs="Times New Roman"/>
                <w:color w:val="auto"/>
                <w:sz w:val="21"/>
                <w:szCs w:val="21"/>
              </w:rPr>
            </w:pPr>
            <w:r>
              <w:rPr>
                <w:rFonts w:hint="eastAsia" w:ascii="Times New Roman" w:hAnsi="Times New Roman" w:eastAsia="仿宋_GB2312" w:cs="Times New Roman"/>
                <w:color w:val="auto"/>
                <w:sz w:val="21"/>
                <w:szCs w:val="21"/>
              </w:rPr>
              <w:t>1</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临时防护工程</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（1）</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临时排水沟◆</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1568</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（2）</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临时沉沙池◆</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座</w:t>
            </w: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10</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（3）</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苫布覆盖◆</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20.01</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restart"/>
            <w:vAlign w:val="center"/>
          </w:tcPr>
          <w:p>
            <w:pPr>
              <w:spacing w:line="240" w:lineRule="atLeast"/>
              <w:jc w:val="center"/>
              <w:rPr>
                <w:rFonts w:cs="Times New Roman"/>
                <w:color w:val="auto"/>
                <w:sz w:val="21"/>
                <w:szCs w:val="21"/>
              </w:rPr>
            </w:pPr>
            <w:r>
              <w:rPr>
                <w:rFonts w:ascii="Times New Roman" w:hAnsi="Times New Roman" w:eastAsia="仿宋_GB2312" w:cs="Times New Roman"/>
                <w:color w:val="auto"/>
                <w:sz w:val="21"/>
                <w:szCs w:val="21"/>
              </w:rPr>
              <w:t>区域规划功能区</w:t>
            </w:r>
          </w:p>
        </w:tc>
        <w:tc>
          <w:tcPr>
            <w:tcW w:w="437" w:type="pct"/>
            <w:vMerge w:val="restart"/>
            <w:shd w:val="clear" w:color="auto" w:fill="auto"/>
            <w:vAlign w:val="center"/>
          </w:tcPr>
          <w:p>
            <w:pPr>
              <w:spacing w:line="240" w:lineRule="atLeast"/>
              <w:jc w:val="center"/>
              <w:rPr>
                <w:rFonts w:cs="Times New Roman"/>
                <w:color w:val="auto"/>
                <w:sz w:val="21"/>
                <w:szCs w:val="21"/>
              </w:rPr>
            </w:pPr>
            <w:r>
              <w:rPr>
                <w:rFonts w:hint="eastAsia" w:ascii="Times New Roman" w:hAnsi="Times New Roman" w:eastAsia="仿宋_GB2312" w:cs="Times New Roman"/>
                <w:color w:val="auto"/>
                <w:sz w:val="21"/>
                <w:szCs w:val="21"/>
                <w:lang w:eastAsia="zh-CN"/>
              </w:rPr>
              <w:t>已建工程</w:t>
            </w:r>
            <w:r>
              <w:rPr>
                <w:rFonts w:ascii="Times New Roman" w:hAnsi="Times New Roman" w:eastAsia="仿宋_GB2312" w:cs="Times New Roman"/>
                <w:color w:val="auto"/>
                <w:sz w:val="21"/>
                <w:szCs w:val="21"/>
              </w:rPr>
              <w:t>区</w:t>
            </w:r>
          </w:p>
        </w:tc>
        <w:tc>
          <w:tcPr>
            <w:tcW w:w="566" w:type="pct"/>
            <w:shd w:val="clear" w:color="auto" w:fill="auto"/>
            <w:vAlign w:val="center"/>
          </w:tcPr>
          <w:p>
            <w:pPr>
              <w:spacing w:line="240" w:lineRule="atLeast"/>
              <w:jc w:val="center"/>
              <w:rPr>
                <w:rFonts w:cs="Times New Roman"/>
                <w:b/>
                <w:bCs/>
                <w:color w:val="auto"/>
                <w:sz w:val="21"/>
                <w:szCs w:val="21"/>
              </w:rPr>
            </w:pPr>
            <w:r>
              <w:rPr>
                <w:rFonts w:ascii="Times New Roman" w:hAnsi="Times New Roman" w:eastAsia="仿宋_GB2312" w:cs="Times New Roman"/>
                <w:b/>
                <w:bCs/>
                <w:color w:val="auto"/>
                <w:sz w:val="21"/>
                <w:szCs w:val="21"/>
              </w:rPr>
              <w:t>一</w:t>
            </w:r>
          </w:p>
        </w:tc>
        <w:tc>
          <w:tcPr>
            <w:tcW w:w="1098" w:type="pct"/>
            <w:shd w:val="clear" w:color="auto" w:fill="auto"/>
            <w:vAlign w:val="center"/>
          </w:tcPr>
          <w:p>
            <w:pPr>
              <w:spacing w:line="240" w:lineRule="atLeast"/>
              <w:jc w:val="center"/>
              <w:rPr>
                <w:rFonts w:ascii="仿宋_GB2312" w:eastAsia="仿宋_GB2312" w:cs="Times New Roman"/>
                <w:b/>
                <w:bCs/>
                <w:color w:val="auto"/>
                <w:sz w:val="21"/>
                <w:szCs w:val="21"/>
              </w:rPr>
            </w:pPr>
            <w:r>
              <w:rPr>
                <w:rFonts w:hint="eastAsia" w:ascii="仿宋_GB2312" w:hAnsi="Times New Roman" w:eastAsia="仿宋_GB2312" w:cs="Times New Roman"/>
                <w:b/>
                <w:bCs/>
                <w:color w:val="auto"/>
                <w:sz w:val="21"/>
                <w:szCs w:val="21"/>
              </w:rPr>
              <w:t>工程措施</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1</w:t>
            </w:r>
          </w:p>
        </w:tc>
        <w:tc>
          <w:tcPr>
            <w:tcW w:w="1098" w:type="pct"/>
            <w:shd w:val="clear" w:color="auto" w:fill="auto"/>
            <w:vAlign w:val="center"/>
          </w:tcPr>
          <w:p>
            <w:pPr>
              <w:pStyle w:val="184"/>
              <w:rPr>
                <w:rFonts w:ascii="仿宋_GB2312" w:cs="Times New Roman"/>
                <w:color w:val="auto"/>
                <w:szCs w:val="21"/>
              </w:rPr>
            </w:pPr>
            <w:r>
              <w:rPr>
                <w:rFonts w:hint="eastAsia" w:ascii="仿宋_GB2312" w:cs="Times New Roman"/>
                <w:color w:val="auto"/>
                <w:szCs w:val="21"/>
              </w:rPr>
              <w:t>土地整治工程</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（1）</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场地平整</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673" w:type="pct"/>
            <w:shd w:val="clear" w:color="000000" w:fill="FFFFFF"/>
            <w:vAlign w:val="center"/>
          </w:tcPr>
          <w:p>
            <w:pPr>
              <w:spacing w:line="240" w:lineRule="atLeas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8.05</w:t>
            </w:r>
          </w:p>
        </w:tc>
        <w:tc>
          <w:tcPr>
            <w:tcW w:w="1144" w:type="pct"/>
            <w:shd w:val="clear" w:color="auto" w:fill="auto"/>
            <w:vAlign w:val="center"/>
          </w:tcPr>
          <w:p>
            <w:pPr>
              <w:spacing w:line="240" w:lineRule="atLeas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2</w:t>
            </w:r>
          </w:p>
        </w:tc>
        <w:tc>
          <w:tcPr>
            <w:tcW w:w="1098" w:type="pct"/>
            <w:shd w:val="clear" w:color="auto" w:fill="auto"/>
            <w:vAlign w:val="center"/>
          </w:tcPr>
          <w:p>
            <w:pPr>
              <w:pStyle w:val="184"/>
              <w:rPr>
                <w:rFonts w:ascii="仿宋_GB2312" w:eastAsia="仿宋_GB2312" w:cs="Times New Roman"/>
                <w:color w:val="auto"/>
                <w:sz w:val="21"/>
                <w:szCs w:val="21"/>
              </w:rPr>
            </w:pPr>
            <w:r>
              <w:rPr>
                <w:rFonts w:hint="eastAsia" w:ascii="仿宋_GB2312" w:cs="Times New Roman"/>
                <w:color w:val="auto"/>
                <w:szCs w:val="21"/>
              </w:rPr>
              <w:t>排水工程</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（1）</w:t>
            </w:r>
          </w:p>
        </w:tc>
        <w:tc>
          <w:tcPr>
            <w:tcW w:w="1098" w:type="pct"/>
            <w:shd w:val="clear" w:color="auto" w:fill="auto"/>
            <w:vAlign w:val="center"/>
          </w:tcPr>
          <w:p>
            <w:pPr>
              <w:spacing w:line="240" w:lineRule="atLeast"/>
              <w:jc w:val="center"/>
              <w:rPr>
                <w:rFonts w:ascii="仿宋_GB2312" w:cs="Times New Roman"/>
                <w:color w:val="auto"/>
                <w:szCs w:val="21"/>
              </w:rPr>
            </w:pPr>
            <w:r>
              <w:rPr>
                <w:rFonts w:hint="eastAsia" w:ascii="仿宋_GB2312" w:hAnsi="Times New Roman" w:eastAsia="仿宋_GB2312" w:cs="Times New Roman"/>
                <w:color w:val="auto"/>
                <w:sz w:val="21"/>
                <w:szCs w:val="21"/>
              </w:rPr>
              <w:t>雨水管</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585</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585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（2）</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雨水口</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个</w:t>
            </w: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23</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（3）</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雨水井</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座</w:t>
            </w: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12</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spacing w:line="240" w:lineRule="atLeast"/>
              <w:jc w:val="center"/>
              <w:rPr>
                <w:rFonts w:cs="Times New Roman"/>
                <w:color w:val="auto"/>
                <w:szCs w:val="21"/>
              </w:rPr>
            </w:pPr>
            <w:r>
              <w:rPr>
                <w:rFonts w:ascii="Times New Roman" w:hAnsi="Times New Roman" w:eastAsia="仿宋_GB2312" w:cs="Times New Roman"/>
                <w:b/>
                <w:bCs/>
                <w:color w:val="auto"/>
                <w:sz w:val="21"/>
                <w:szCs w:val="21"/>
              </w:rPr>
              <w:t>二</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b/>
                <w:bCs/>
                <w:color w:val="auto"/>
                <w:sz w:val="21"/>
                <w:szCs w:val="21"/>
              </w:rPr>
              <w:t>植物措施</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spacing w:line="240" w:lineRule="atLeast"/>
              <w:jc w:val="center"/>
              <w:rPr>
                <w:rFonts w:cs="Times New Roman"/>
                <w:b/>
                <w:bCs/>
                <w:color w:val="auto"/>
                <w:sz w:val="21"/>
                <w:szCs w:val="21"/>
              </w:rPr>
            </w:pPr>
            <w:r>
              <w:rPr>
                <w:rFonts w:hint="eastAsia" w:ascii="Times New Roman" w:hAnsi="Times New Roman" w:eastAsia="仿宋_GB2312" w:cs="Times New Roman"/>
                <w:color w:val="auto"/>
                <w:sz w:val="21"/>
                <w:szCs w:val="21"/>
              </w:rPr>
              <w:t>1</w:t>
            </w:r>
          </w:p>
        </w:tc>
        <w:tc>
          <w:tcPr>
            <w:tcW w:w="1098" w:type="pct"/>
            <w:shd w:val="clear" w:color="auto" w:fill="auto"/>
            <w:vAlign w:val="center"/>
          </w:tcPr>
          <w:p>
            <w:pPr>
              <w:spacing w:line="240" w:lineRule="atLeast"/>
              <w:jc w:val="center"/>
              <w:rPr>
                <w:rFonts w:ascii="仿宋_GB2312" w:eastAsia="仿宋_GB2312" w:cs="Times New Roman"/>
                <w:b/>
                <w:bCs/>
                <w:color w:val="auto"/>
                <w:sz w:val="21"/>
                <w:szCs w:val="21"/>
              </w:rPr>
            </w:pPr>
            <w:r>
              <w:rPr>
                <w:rFonts w:hint="eastAsia" w:ascii="仿宋_GB2312" w:hAnsi="Times New Roman" w:eastAsia="仿宋_GB2312" w:cs="Times New Roman"/>
                <w:color w:val="auto"/>
                <w:sz w:val="21"/>
                <w:szCs w:val="21"/>
              </w:rPr>
              <w:t>绿化工程</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 w:val="21"/>
                <w:szCs w:val="21"/>
              </w:rPr>
            </w:pPr>
            <w:r>
              <w:rPr>
                <w:rFonts w:hint="eastAsia" w:cs="Times New Roman"/>
                <w:color w:val="auto"/>
                <w:szCs w:val="21"/>
              </w:rPr>
              <w:t>（1）</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厂区绿化</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0.02</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0.02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（2）</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撒播草籽</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673" w:type="pct"/>
            <w:shd w:val="clear" w:color="000000" w:fill="FFFFFF"/>
            <w:vAlign w:val="center"/>
          </w:tcPr>
          <w:p>
            <w:pPr>
              <w:spacing w:line="240" w:lineRule="atLeas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8.05</w:t>
            </w:r>
          </w:p>
        </w:tc>
        <w:tc>
          <w:tcPr>
            <w:tcW w:w="1144" w:type="pct"/>
            <w:shd w:val="clear" w:color="auto" w:fill="auto"/>
            <w:vAlign w:val="center"/>
          </w:tcPr>
          <w:p>
            <w:pPr>
              <w:spacing w:line="240" w:lineRule="atLeas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shd w:val="clear" w:color="auto" w:fill="auto"/>
            <w:vAlign w:val="center"/>
          </w:tcPr>
          <w:p>
            <w:pPr>
              <w:spacing w:line="240" w:lineRule="atLeast"/>
              <w:jc w:val="center"/>
              <w:rPr>
                <w:rFonts w:cs="Times New Roman"/>
                <w:color w:val="auto"/>
                <w:sz w:val="21"/>
                <w:szCs w:val="21"/>
              </w:rPr>
            </w:pPr>
            <w:r>
              <w:rPr>
                <w:rFonts w:hint="eastAsia" w:ascii="仿宋_GB2312" w:hAnsi="仿宋_GB2312" w:eastAsia="仿宋_GB2312" w:cs="仿宋_GB2312"/>
                <w:color w:val="auto"/>
                <w:sz w:val="21"/>
                <w:szCs w:val="21"/>
              </w:rPr>
              <w:t>在建工程区</w:t>
            </w:r>
          </w:p>
        </w:tc>
        <w:tc>
          <w:tcPr>
            <w:tcW w:w="4017" w:type="pct"/>
            <w:gridSpan w:val="5"/>
            <w:shd w:val="clear" w:color="auto" w:fill="auto"/>
            <w:vAlign w:val="center"/>
          </w:tcPr>
          <w:p>
            <w:pPr>
              <w:spacing w:line="240" w:lineRule="atLeast"/>
              <w:jc w:val="center"/>
              <w:rPr>
                <w:rFonts w:hint="default" w:ascii="Times New Roman" w:hAnsi="Times New Roman" w:cs="Times New Roman"/>
                <w:color w:val="auto"/>
                <w:sz w:val="21"/>
                <w:szCs w:val="21"/>
                <w:lang w:val="en-US" w:eastAsia="zh-CN"/>
              </w:rPr>
            </w:pPr>
            <w:r>
              <w:rPr>
                <w:rFonts w:hint="eastAsia" w:ascii="仿宋_GB2312" w:hAnsi="仿宋_GB2312" w:eastAsia="仿宋_GB2312" w:cs="仿宋_GB2312"/>
                <w:color w:val="auto"/>
                <w:sz w:val="21"/>
                <w:szCs w:val="21"/>
                <w:lang w:val="en-US" w:eastAsia="zh-CN"/>
              </w:rPr>
              <w:t>（已编报水保方案，措施体系已纳入其批复方案中）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restart"/>
            <w:shd w:val="clear" w:color="auto" w:fill="auto"/>
            <w:vAlign w:val="center"/>
          </w:tcPr>
          <w:p>
            <w:pPr>
              <w:spacing w:line="240" w:lineRule="atLeast"/>
              <w:jc w:val="center"/>
              <w:rPr>
                <w:rFonts w:cs="Times New Roman"/>
                <w:color w:val="auto"/>
                <w:sz w:val="21"/>
                <w:szCs w:val="21"/>
              </w:rPr>
            </w:pPr>
            <w:r>
              <w:rPr>
                <w:rFonts w:hint="eastAsia" w:ascii="仿宋_GB2312" w:hAnsi="仿宋_GB2312" w:eastAsia="仿宋_GB2312" w:cs="仿宋_GB2312"/>
                <w:color w:val="auto"/>
                <w:sz w:val="21"/>
                <w:szCs w:val="21"/>
              </w:rPr>
              <w:t>待建工程区</w:t>
            </w:r>
          </w:p>
        </w:tc>
        <w:tc>
          <w:tcPr>
            <w:tcW w:w="566" w:type="pct"/>
            <w:shd w:val="clear" w:color="auto" w:fill="auto"/>
            <w:vAlign w:val="center"/>
          </w:tcPr>
          <w:p>
            <w:pPr>
              <w:spacing w:line="240" w:lineRule="atLeast"/>
              <w:jc w:val="center"/>
              <w:rPr>
                <w:rFonts w:cs="Times New Roman"/>
                <w:b/>
                <w:bCs/>
                <w:color w:val="auto"/>
                <w:sz w:val="21"/>
                <w:szCs w:val="21"/>
              </w:rPr>
            </w:pPr>
            <w:r>
              <w:rPr>
                <w:rFonts w:ascii="Times New Roman" w:hAnsi="Times New Roman" w:eastAsia="仿宋_GB2312" w:cs="Times New Roman"/>
                <w:b/>
                <w:bCs/>
                <w:color w:val="auto"/>
                <w:sz w:val="21"/>
                <w:szCs w:val="21"/>
              </w:rPr>
              <w:t>一</w:t>
            </w:r>
          </w:p>
        </w:tc>
        <w:tc>
          <w:tcPr>
            <w:tcW w:w="1098" w:type="pct"/>
            <w:shd w:val="clear" w:color="auto" w:fill="auto"/>
            <w:vAlign w:val="center"/>
          </w:tcPr>
          <w:p>
            <w:pPr>
              <w:spacing w:line="240" w:lineRule="atLeast"/>
              <w:jc w:val="center"/>
              <w:rPr>
                <w:rFonts w:ascii="仿宋_GB2312" w:eastAsia="仿宋_GB2312" w:cs="Times New Roman"/>
                <w:b/>
                <w:bCs/>
                <w:color w:val="auto"/>
                <w:sz w:val="21"/>
                <w:szCs w:val="21"/>
              </w:rPr>
            </w:pPr>
            <w:r>
              <w:rPr>
                <w:rFonts w:hint="eastAsia" w:ascii="仿宋_GB2312" w:hAnsi="Times New Roman" w:eastAsia="仿宋_GB2312" w:cs="Times New Roman"/>
                <w:b/>
                <w:bCs/>
                <w:color w:val="auto"/>
                <w:sz w:val="21"/>
                <w:szCs w:val="21"/>
              </w:rPr>
              <w:t>工程措施</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1</w:t>
            </w:r>
          </w:p>
        </w:tc>
        <w:tc>
          <w:tcPr>
            <w:tcW w:w="1098" w:type="pct"/>
            <w:shd w:val="clear" w:color="auto" w:fill="auto"/>
            <w:vAlign w:val="center"/>
          </w:tcPr>
          <w:p>
            <w:pPr>
              <w:pStyle w:val="184"/>
              <w:rPr>
                <w:rFonts w:ascii="仿宋_GB2312" w:cs="Times New Roman"/>
                <w:color w:val="auto"/>
                <w:szCs w:val="21"/>
              </w:rPr>
            </w:pPr>
            <w:r>
              <w:rPr>
                <w:rFonts w:hint="eastAsia" w:ascii="仿宋_GB2312" w:cs="Times New Roman"/>
                <w:color w:val="auto"/>
                <w:szCs w:val="21"/>
              </w:rPr>
              <w:t>土地整治工程</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（1）</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表土剥离</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万m</w:t>
            </w:r>
            <w:r>
              <w:rPr>
                <w:rFonts w:ascii="Times New Roman" w:hAnsi="Times New Roman" w:eastAsia="仿宋_GB2312" w:cs="Times New Roman"/>
                <w:color w:val="auto"/>
                <w:sz w:val="21"/>
                <w:szCs w:val="21"/>
                <w:vertAlign w:val="superscript"/>
              </w:rPr>
              <w:t>3</w:t>
            </w:r>
          </w:p>
        </w:tc>
        <w:tc>
          <w:tcPr>
            <w:tcW w:w="673" w:type="pct"/>
            <w:shd w:val="clear" w:color="000000" w:fill="FFFFFF"/>
            <w:vAlign w:val="center"/>
          </w:tcPr>
          <w:p>
            <w:pPr>
              <w:spacing w:line="240" w:lineRule="atLeast"/>
              <w:jc w:val="center"/>
              <w:rPr>
                <w:rFonts w:hint="default" w:ascii="Times New Roman" w:hAnsi="Times New Roman" w:eastAsia="宋体" w:cs="Times New Roman"/>
                <w:color w:val="auto"/>
                <w:sz w:val="21"/>
                <w:szCs w:val="21"/>
                <w:lang w:val="en-US" w:eastAsia="zh-CN"/>
              </w:rPr>
            </w:pPr>
            <w:r>
              <w:rPr>
                <w:rFonts w:ascii="Times New Roman" w:hAnsi="Times New Roman" w:cs="Times New Roman"/>
                <w:color w:val="auto"/>
                <w:sz w:val="21"/>
                <w:szCs w:val="21"/>
              </w:rPr>
              <w:t>0.</w:t>
            </w:r>
            <w:r>
              <w:rPr>
                <w:rFonts w:hint="eastAsia" w:ascii="Times New Roman" w:hAnsi="Times New Roman" w:cs="Times New Roman"/>
                <w:color w:val="auto"/>
                <w:sz w:val="21"/>
                <w:szCs w:val="21"/>
                <w:lang w:val="en-US" w:eastAsia="zh-CN"/>
              </w:rPr>
              <w:t>28</w:t>
            </w:r>
          </w:p>
        </w:tc>
        <w:tc>
          <w:tcPr>
            <w:tcW w:w="1144" w:type="pct"/>
            <w:shd w:val="clear" w:color="auto" w:fill="auto"/>
            <w:vAlign w:val="center"/>
          </w:tcPr>
          <w:p>
            <w:pPr>
              <w:spacing w:line="240" w:lineRule="atLeast"/>
              <w:jc w:val="center"/>
              <w:rPr>
                <w:rFonts w:hint="default" w:ascii="Times New Roman" w:hAnsi="Times New Roman" w:eastAsia="宋体" w:cs="Times New Roman"/>
                <w:color w:val="auto"/>
                <w:sz w:val="21"/>
                <w:szCs w:val="21"/>
                <w:lang w:val="en-US" w:eastAsia="zh-CN"/>
              </w:rPr>
            </w:pPr>
            <w:r>
              <w:rPr>
                <w:rFonts w:ascii="Times New Roman" w:hAnsi="Times New Roman" w:cs="Times New Roman"/>
                <w:color w:val="auto"/>
                <w:sz w:val="21"/>
                <w:szCs w:val="21"/>
              </w:rPr>
              <w:t>0.</w:t>
            </w:r>
            <w:r>
              <w:rPr>
                <w:rFonts w:hint="eastAsia" w:ascii="Times New Roman" w:hAnsi="Times New Roman" w:cs="Times New Roman"/>
                <w:color w:val="auto"/>
                <w:sz w:val="21"/>
                <w:szCs w:val="21"/>
                <w:lang w:val="en-US" w:eastAsia="zh-CN"/>
              </w:rPr>
              <w:t>28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（2）</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场地平整</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673" w:type="pct"/>
            <w:shd w:val="clear" w:color="000000" w:fill="FFFFFF"/>
            <w:vAlign w:val="center"/>
          </w:tcPr>
          <w:p>
            <w:pPr>
              <w:spacing w:line="240" w:lineRule="atLeast"/>
              <w:jc w:val="center"/>
              <w:rPr>
                <w:rFonts w:hint="default" w:ascii="Times New Roman" w:hAnsi="Times New Roman" w:eastAsia="宋体" w:cs="Times New Roman"/>
                <w:color w:val="auto"/>
                <w:sz w:val="21"/>
                <w:szCs w:val="21"/>
                <w:lang w:val="en-US" w:eastAsia="zh-CN"/>
              </w:rPr>
            </w:pPr>
            <w:r>
              <w:rPr>
                <w:rFonts w:ascii="Times New Roman" w:hAnsi="Times New Roman" w:cs="Times New Roman"/>
                <w:color w:val="auto"/>
                <w:sz w:val="21"/>
                <w:szCs w:val="21"/>
              </w:rPr>
              <w:t>1</w:t>
            </w:r>
            <w:r>
              <w:rPr>
                <w:rFonts w:hint="eastAsia" w:ascii="Times New Roman" w:hAnsi="Times New Roman" w:cs="Times New Roman"/>
                <w:color w:val="auto"/>
                <w:sz w:val="21"/>
                <w:szCs w:val="21"/>
                <w:lang w:val="en-US" w:eastAsia="zh-CN"/>
              </w:rPr>
              <w:t>8.17</w:t>
            </w:r>
          </w:p>
        </w:tc>
        <w:tc>
          <w:tcPr>
            <w:tcW w:w="1144" w:type="pct"/>
            <w:shd w:val="clear" w:color="auto" w:fill="auto"/>
            <w:vAlign w:val="center"/>
          </w:tcPr>
          <w:p>
            <w:pPr>
              <w:spacing w:line="240" w:lineRule="atLeast"/>
              <w:jc w:val="center"/>
              <w:rPr>
                <w:rFonts w:hint="default" w:ascii="Times New Roman" w:hAnsi="Times New Roman" w:eastAsia="宋体" w:cs="Times New Roman"/>
                <w:color w:val="auto"/>
                <w:sz w:val="21"/>
                <w:szCs w:val="21"/>
                <w:lang w:val="en-US" w:eastAsia="zh-CN"/>
              </w:rPr>
            </w:pPr>
            <w:r>
              <w:rPr>
                <w:rFonts w:ascii="Times New Roman" w:hAnsi="Times New Roman" w:cs="Times New Roman"/>
                <w:color w:val="auto"/>
                <w:sz w:val="21"/>
                <w:szCs w:val="21"/>
              </w:rPr>
              <w:t>1</w:t>
            </w:r>
            <w:r>
              <w:rPr>
                <w:rFonts w:hint="eastAsia" w:ascii="Times New Roman" w:hAnsi="Times New Roman" w:cs="Times New Roman"/>
                <w:color w:val="auto"/>
                <w:sz w:val="21"/>
                <w:szCs w:val="21"/>
                <w:lang w:val="en-US" w:eastAsia="zh-CN"/>
              </w:rPr>
              <w:t>8.17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spacing w:line="240" w:lineRule="atLeast"/>
              <w:jc w:val="center"/>
              <w:rPr>
                <w:rFonts w:cs="Times New Roman"/>
                <w:b/>
                <w:bCs/>
                <w:color w:val="auto"/>
                <w:sz w:val="21"/>
                <w:szCs w:val="21"/>
              </w:rPr>
            </w:pPr>
            <w:r>
              <w:rPr>
                <w:rFonts w:ascii="Times New Roman" w:hAnsi="Times New Roman" w:eastAsia="仿宋_GB2312" w:cs="Times New Roman"/>
                <w:b/>
                <w:bCs/>
                <w:color w:val="auto"/>
                <w:sz w:val="21"/>
                <w:szCs w:val="21"/>
              </w:rPr>
              <w:t>二</w:t>
            </w:r>
          </w:p>
        </w:tc>
        <w:tc>
          <w:tcPr>
            <w:tcW w:w="1098" w:type="pct"/>
            <w:shd w:val="clear" w:color="auto" w:fill="auto"/>
            <w:vAlign w:val="center"/>
          </w:tcPr>
          <w:p>
            <w:pPr>
              <w:spacing w:line="240" w:lineRule="atLeast"/>
              <w:jc w:val="center"/>
              <w:rPr>
                <w:rFonts w:ascii="仿宋_GB2312" w:eastAsia="仿宋_GB2312" w:cs="Times New Roman"/>
                <w:b/>
                <w:bCs/>
                <w:color w:val="auto"/>
                <w:sz w:val="21"/>
                <w:szCs w:val="21"/>
              </w:rPr>
            </w:pPr>
            <w:r>
              <w:rPr>
                <w:rFonts w:hint="eastAsia" w:ascii="仿宋_GB2312" w:hAnsi="Times New Roman" w:eastAsia="仿宋_GB2312" w:cs="Times New Roman"/>
                <w:b/>
                <w:bCs/>
                <w:color w:val="auto"/>
                <w:sz w:val="21"/>
                <w:szCs w:val="21"/>
              </w:rPr>
              <w:t>植物措施</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spacing w:line="240" w:lineRule="atLeast"/>
              <w:jc w:val="center"/>
              <w:rPr>
                <w:rFonts w:cs="Times New Roman"/>
                <w:color w:val="auto"/>
                <w:sz w:val="21"/>
                <w:szCs w:val="21"/>
              </w:rPr>
            </w:pPr>
            <w:r>
              <w:rPr>
                <w:rFonts w:hint="eastAsia" w:ascii="Times New Roman" w:hAnsi="Times New Roman" w:eastAsia="仿宋_GB2312" w:cs="Times New Roman"/>
                <w:color w:val="auto"/>
                <w:sz w:val="21"/>
                <w:szCs w:val="21"/>
              </w:rPr>
              <w:t>1</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绿化工程</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spacing w:line="240" w:lineRule="atLeast"/>
              <w:jc w:val="center"/>
              <w:rPr>
                <w:rFonts w:cs="Times New Roman"/>
                <w:color w:val="auto"/>
                <w:sz w:val="21"/>
                <w:szCs w:val="21"/>
              </w:rPr>
            </w:pPr>
            <w:r>
              <w:rPr>
                <w:rFonts w:hint="eastAsia" w:ascii="Times New Roman" w:hAnsi="Times New Roman" w:eastAsia="仿宋_GB2312" w:cs="Times New Roman"/>
                <w:color w:val="auto"/>
                <w:sz w:val="21"/>
                <w:szCs w:val="21"/>
              </w:rPr>
              <w:t>（1）</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撒播草籽</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673" w:type="pct"/>
            <w:shd w:val="clear" w:color="000000" w:fill="FFFFFF"/>
            <w:vAlign w:val="center"/>
          </w:tcPr>
          <w:p>
            <w:pPr>
              <w:spacing w:line="240" w:lineRule="atLeast"/>
              <w:jc w:val="center"/>
              <w:rPr>
                <w:rFonts w:hint="default" w:ascii="Times New Roman" w:hAnsi="Times New Roman" w:eastAsia="宋体" w:cs="Times New Roman"/>
                <w:color w:val="auto"/>
                <w:sz w:val="21"/>
                <w:szCs w:val="21"/>
                <w:lang w:val="en-US" w:eastAsia="zh-CN"/>
              </w:rPr>
            </w:pPr>
            <w:r>
              <w:rPr>
                <w:rFonts w:ascii="Times New Roman" w:hAnsi="Times New Roman" w:cs="Times New Roman"/>
                <w:color w:val="auto"/>
                <w:sz w:val="21"/>
                <w:szCs w:val="21"/>
              </w:rPr>
              <w:t>1</w:t>
            </w:r>
            <w:r>
              <w:rPr>
                <w:rFonts w:hint="eastAsia" w:ascii="Times New Roman" w:hAnsi="Times New Roman" w:cs="Times New Roman"/>
                <w:color w:val="auto"/>
                <w:sz w:val="21"/>
                <w:szCs w:val="21"/>
                <w:lang w:val="en-US" w:eastAsia="zh-CN"/>
              </w:rPr>
              <w:t>8.17</w:t>
            </w:r>
          </w:p>
        </w:tc>
        <w:tc>
          <w:tcPr>
            <w:tcW w:w="1144" w:type="pct"/>
            <w:shd w:val="clear" w:color="auto" w:fill="auto"/>
            <w:vAlign w:val="center"/>
          </w:tcPr>
          <w:p>
            <w:pPr>
              <w:spacing w:line="240" w:lineRule="atLeast"/>
              <w:jc w:val="center"/>
              <w:rPr>
                <w:rFonts w:hint="default" w:ascii="Times New Roman" w:hAnsi="Times New Roman" w:eastAsia="宋体" w:cs="Times New Roman"/>
                <w:color w:val="auto"/>
                <w:sz w:val="21"/>
                <w:szCs w:val="21"/>
                <w:lang w:val="en-US" w:eastAsia="zh-CN"/>
              </w:rPr>
            </w:pPr>
            <w:r>
              <w:rPr>
                <w:rFonts w:ascii="Times New Roman" w:hAnsi="Times New Roman" w:cs="Times New Roman"/>
                <w:color w:val="auto"/>
                <w:sz w:val="21"/>
                <w:szCs w:val="21"/>
              </w:rPr>
              <w:t>1</w:t>
            </w:r>
            <w:r>
              <w:rPr>
                <w:rFonts w:hint="eastAsia" w:ascii="Times New Roman" w:hAnsi="Times New Roman" w:cs="Times New Roman"/>
                <w:color w:val="auto"/>
                <w:sz w:val="21"/>
                <w:szCs w:val="21"/>
                <w:lang w:val="en-US" w:eastAsia="zh-CN"/>
              </w:rPr>
              <w:t>8.17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spacing w:line="240" w:lineRule="atLeast"/>
              <w:jc w:val="center"/>
              <w:rPr>
                <w:rFonts w:cs="Times New Roman"/>
                <w:b/>
                <w:bCs/>
                <w:color w:val="auto"/>
                <w:sz w:val="21"/>
                <w:szCs w:val="21"/>
              </w:rPr>
            </w:pPr>
            <w:r>
              <w:rPr>
                <w:rFonts w:ascii="Times New Roman" w:hAnsi="Times New Roman" w:eastAsia="仿宋_GB2312" w:cs="Times New Roman"/>
                <w:b/>
                <w:bCs/>
                <w:color w:val="auto"/>
                <w:sz w:val="21"/>
                <w:szCs w:val="21"/>
              </w:rPr>
              <w:t>三</w:t>
            </w:r>
          </w:p>
        </w:tc>
        <w:tc>
          <w:tcPr>
            <w:tcW w:w="1098" w:type="pct"/>
            <w:shd w:val="clear" w:color="auto" w:fill="auto"/>
            <w:vAlign w:val="center"/>
          </w:tcPr>
          <w:p>
            <w:pPr>
              <w:spacing w:line="240" w:lineRule="atLeast"/>
              <w:jc w:val="center"/>
              <w:rPr>
                <w:rFonts w:ascii="仿宋_GB2312" w:eastAsia="仿宋_GB2312" w:cs="Times New Roman"/>
                <w:b/>
                <w:bCs/>
                <w:color w:val="auto"/>
                <w:sz w:val="21"/>
                <w:szCs w:val="21"/>
              </w:rPr>
            </w:pPr>
            <w:r>
              <w:rPr>
                <w:rFonts w:hint="eastAsia" w:ascii="仿宋_GB2312" w:hAnsi="Times New Roman" w:eastAsia="仿宋_GB2312" w:cs="Times New Roman"/>
                <w:b/>
                <w:bCs/>
                <w:color w:val="auto"/>
                <w:sz w:val="21"/>
                <w:szCs w:val="21"/>
              </w:rPr>
              <w:t>临时措施</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spacing w:line="240" w:lineRule="atLeast"/>
              <w:jc w:val="center"/>
              <w:rPr>
                <w:rFonts w:cs="Times New Roman"/>
                <w:color w:val="auto"/>
                <w:sz w:val="21"/>
                <w:szCs w:val="21"/>
              </w:rPr>
            </w:pPr>
            <w:r>
              <w:rPr>
                <w:rFonts w:hint="eastAsia" w:ascii="Times New Roman" w:hAnsi="Times New Roman" w:eastAsia="仿宋_GB2312" w:cs="Times New Roman"/>
                <w:color w:val="auto"/>
                <w:sz w:val="21"/>
                <w:szCs w:val="21"/>
              </w:rPr>
              <w:t>1</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临时防护工程</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（1）</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临时排水沟◆</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673" w:type="pct"/>
            <w:shd w:val="clear" w:color="000000" w:fill="FFFFFF"/>
            <w:vAlign w:val="center"/>
          </w:tcPr>
          <w:p>
            <w:pPr>
              <w:spacing w:line="240" w:lineRule="atLeas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1826</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（2）</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临时沉沙池◆</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座</w:t>
            </w:r>
          </w:p>
        </w:tc>
        <w:tc>
          <w:tcPr>
            <w:tcW w:w="673" w:type="pct"/>
            <w:shd w:val="clear" w:color="000000" w:fill="FFFFFF"/>
            <w:vAlign w:val="center"/>
          </w:tcPr>
          <w:p>
            <w:pPr>
              <w:spacing w:line="240" w:lineRule="atLeas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12</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（3）</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苫布覆盖◆</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673" w:type="pct"/>
            <w:shd w:val="clear" w:color="000000" w:fill="FFFFFF"/>
            <w:vAlign w:val="center"/>
          </w:tcPr>
          <w:p>
            <w:pPr>
              <w:spacing w:line="240" w:lineRule="atLeast"/>
              <w:jc w:val="center"/>
              <w:rPr>
                <w:rFonts w:hint="default" w:ascii="Times New Roman" w:hAnsi="Times New Roman" w:eastAsia="宋体" w:cs="Times New Roman"/>
                <w:color w:val="auto"/>
                <w:sz w:val="21"/>
                <w:szCs w:val="21"/>
                <w:lang w:val="en-US" w:eastAsia="zh-CN"/>
              </w:rPr>
            </w:pPr>
            <w:r>
              <w:rPr>
                <w:rFonts w:ascii="Times New Roman" w:hAnsi="Times New Roman" w:cs="Times New Roman"/>
                <w:color w:val="auto"/>
                <w:sz w:val="21"/>
                <w:szCs w:val="21"/>
              </w:rPr>
              <w:t>1</w:t>
            </w:r>
            <w:r>
              <w:rPr>
                <w:rFonts w:hint="eastAsia" w:ascii="Times New Roman" w:hAnsi="Times New Roman" w:cs="Times New Roman"/>
                <w:color w:val="auto"/>
                <w:sz w:val="21"/>
                <w:szCs w:val="21"/>
                <w:lang w:val="en-US" w:eastAsia="zh-CN"/>
              </w:rPr>
              <w:t>8.17</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restart"/>
            <w:vAlign w:val="center"/>
          </w:tcPr>
          <w:p>
            <w:pPr>
              <w:spacing w:line="240" w:lineRule="atLeast"/>
              <w:jc w:val="center"/>
              <w:rPr>
                <w:rFonts w:cs="Times New Roman"/>
                <w:color w:val="auto"/>
                <w:sz w:val="21"/>
                <w:szCs w:val="21"/>
              </w:rPr>
            </w:pPr>
            <w:r>
              <w:rPr>
                <w:rFonts w:ascii="Times New Roman" w:hAnsi="Times New Roman" w:eastAsia="仿宋_GB2312" w:cs="Times New Roman"/>
                <w:color w:val="auto"/>
                <w:sz w:val="21"/>
                <w:szCs w:val="21"/>
              </w:rPr>
              <w:t>施工临时设施区</w:t>
            </w:r>
          </w:p>
        </w:tc>
        <w:tc>
          <w:tcPr>
            <w:tcW w:w="437" w:type="pct"/>
            <w:vMerge w:val="restart"/>
            <w:shd w:val="clear" w:color="auto" w:fill="auto"/>
            <w:vAlign w:val="center"/>
          </w:tcPr>
          <w:p>
            <w:pPr>
              <w:spacing w:line="240" w:lineRule="atLeast"/>
              <w:jc w:val="center"/>
              <w:rPr>
                <w:rFonts w:cs="Times New Roman"/>
                <w:color w:val="auto"/>
                <w:sz w:val="21"/>
                <w:szCs w:val="21"/>
              </w:rPr>
            </w:pPr>
            <w:r>
              <w:rPr>
                <w:rFonts w:hint="eastAsia" w:ascii="Times New Roman" w:hAnsi="Times New Roman" w:eastAsia="仿宋_GB2312" w:cs="Times New Roman"/>
                <w:color w:val="auto"/>
                <w:sz w:val="21"/>
                <w:szCs w:val="21"/>
                <w:lang w:eastAsia="zh-CN"/>
              </w:rPr>
              <w:t>临时堆土场</w:t>
            </w:r>
            <w:r>
              <w:rPr>
                <w:rFonts w:ascii="Times New Roman" w:hAnsi="Times New Roman" w:eastAsia="仿宋_GB2312" w:cs="Times New Roman"/>
                <w:color w:val="auto"/>
                <w:sz w:val="21"/>
                <w:szCs w:val="21"/>
              </w:rPr>
              <w:t>区</w:t>
            </w:r>
          </w:p>
        </w:tc>
        <w:tc>
          <w:tcPr>
            <w:tcW w:w="566" w:type="pct"/>
            <w:shd w:val="clear" w:color="auto" w:fill="auto"/>
            <w:vAlign w:val="center"/>
          </w:tcPr>
          <w:p>
            <w:pPr>
              <w:spacing w:line="240" w:lineRule="atLeast"/>
              <w:jc w:val="center"/>
              <w:rPr>
                <w:rFonts w:cs="Times New Roman"/>
                <w:b/>
                <w:bCs/>
                <w:color w:val="auto"/>
                <w:sz w:val="21"/>
                <w:szCs w:val="21"/>
              </w:rPr>
            </w:pPr>
            <w:r>
              <w:rPr>
                <w:rFonts w:ascii="Times New Roman" w:hAnsi="Times New Roman" w:eastAsia="仿宋_GB2312" w:cs="Times New Roman"/>
                <w:b/>
                <w:bCs/>
                <w:color w:val="auto"/>
                <w:sz w:val="21"/>
                <w:szCs w:val="21"/>
              </w:rPr>
              <w:t>一</w:t>
            </w:r>
          </w:p>
        </w:tc>
        <w:tc>
          <w:tcPr>
            <w:tcW w:w="1098" w:type="pct"/>
            <w:shd w:val="clear" w:color="auto" w:fill="auto"/>
            <w:vAlign w:val="center"/>
          </w:tcPr>
          <w:p>
            <w:pPr>
              <w:spacing w:line="240" w:lineRule="atLeast"/>
              <w:jc w:val="center"/>
              <w:rPr>
                <w:rFonts w:ascii="仿宋_GB2312" w:eastAsia="仿宋_GB2312" w:cs="Times New Roman"/>
                <w:b/>
                <w:bCs/>
                <w:color w:val="auto"/>
                <w:sz w:val="21"/>
                <w:szCs w:val="21"/>
              </w:rPr>
            </w:pPr>
            <w:r>
              <w:rPr>
                <w:rFonts w:hint="eastAsia" w:ascii="仿宋_GB2312" w:hAnsi="Times New Roman" w:eastAsia="仿宋_GB2312" w:cs="Times New Roman"/>
                <w:b/>
                <w:bCs/>
                <w:color w:val="auto"/>
                <w:sz w:val="21"/>
                <w:szCs w:val="21"/>
              </w:rPr>
              <w:t>临时措施</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spacing w:line="240" w:lineRule="atLeast"/>
              <w:jc w:val="center"/>
              <w:rPr>
                <w:rFonts w:cs="Times New Roman"/>
                <w:color w:val="auto"/>
                <w:sz w:val="21"/>
                <w:szCs w:val="21"/>
              </w:rPr>
            </w:pPr>
            <w:r>
              <w:rPr>
                <w:rFonts w:ascii="Times New Roman" w:hAnsi="Times New Roman" w:eastAsia="仿宋_GB2312" w:cs="Times New Roman"/>
                <w:color w:val="auto"/>
                <w:sz w:val="21"/>
                <w:szCs w:val="21"/>
              </w:rPr>
              <w:t>1</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临时防护工程</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（1）</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撒播草籽◆</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673" w:type="pct"/>
            <w:shd w:val="clear" w:color="000000" w:fill="FFFFFF"/>
            <w:vAlign w:val="center"/>
          </w:tcPr>
          <w:p>
            <w:pPr>
              <w:spacing w:line="240" w:lineRule="atLeas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4.49</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（2）</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编织袋拦挡◆</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673" w:type="pct"/>
            <w:shd w:val="clear" w:color="000000" w:fill="FFFFFF"/>
            <w:vAlign w:val="center"/>
          </w:tcPr>
          <w:p>
            <w:pPr>
              <w:spacing w:line="240" w:lineRule="atLeas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1028</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（3）</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临时排水沟◆</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673" w:type="pct"/>
            <w:shd w:val="clear" w:color="000000" w:fill="FFFFFF"/>
            <w:vAlign w:val="center"/>
          </w:tcPr>
          <w:p>
            <w:pPr>
              <w:spacing w:line="240" w:lineRule="atLeas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1038</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（4）</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临时沉沙池◆</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座</w:t>
            </w:r>
          </w:p>
        </w:tc>
        <w:tc>
          <w:tcPr>
            <w:tcW w:w="673" w:type="pct"/>
            <w:shd w:val="clear" w:color="000000" w:fill="FFFFFF"/>
            <w:vAlign w:val="center"/>
          </w:tcPr>
          <w:p>
            <w:pPr>
              <w:spacing w:line="240" w:lineRule="atLeast"/>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6</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（5）</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苫布覆盖◆</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hm</w:t>
            </w:r>
            <w:r>
              <w:rPr>
                <w:rFonts w:ascii="Times New Roman" w:hAnsi="Times New Roman" w:eastAsia="仿宋_GB2312" w:cs="Times New Roman"/>
                <w:color w:val="auto"/>
                <w:sz w:val="21"/>
                <w:szCs w:val="21"/>
                <w:vertAlign w:val="superscript"/>
              </w:rPr>
              <w:t>2</w:t>
            </w:r>
          </w:p>
        </w:tc>
        <w:tc>
          <w:tcPr>
            <w:tcW w:w="673" w:type="pct"/>
            <w:shd w:val="clear" w:color="000000" w:fill="FFFFFF"/>
            <w:vAlign w:val="center"/>
          </w:tcPr>
          <w:p>
            <w:pPr>
              <w:spacing w:line="240" w:lineRule="atLeas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4.49</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restart"/>
            <w:shd w:val="clear" w:color="auto" w:fill="auto"/>
            <w:vAlign w:val="center"/>
          </w:tcPr>
          <w:p>
            <w:pPr>
              <w:spacing w:line="240" w:lineRule="atLeast"/>
              <w:jc w:val="center"/>
              <w:rPr>
                <w:rFonts w:cs="Times New Roman"/>
                <w:color w:val="auto"/>
                <w:sz w:val="21"/>
                <w:szCs w:val="21"/>
              </w:rPr>
            </w:pPr>
            <w:r>
              <w:rPr>
                <w:rFonts w:ascii="Times New Roman" w:hAnsi="Times New Roman" w:eastAsia="仿宋_GB2312" w:cs="Times New Roman"/>
                <w:color w:val="auto"/>
                <w:sz w:val="21"/>
                <w:szCs w:val="21"/>
              </w:rPr>
              <w:t>苗木移栽区</w:t>
            </w:r>
          </w:p>
        </w:tc>
        <w:tc>
          <w:tcPr>
            <w:tcW w:w="566" w:type="pct"/>
            <w:shd w:val="clear" w:color="auto" w:fill="auto"/>
            <w:vAlign w:val="center"/>
          </w:tcPr>
          <w:p>
            <w:pPr>
              <w:pStyle w:val="184"/>
              <w:rPr>
                <w:rFonts w:cs="Times New Roman"/>
                <w:b/>
                <w:bCs/>
                <w:color w:val="auto"/>
                <w:szCs w:val="21"/>
              </w:rPr>
            </w:pPr>
            <w:r>
              <w:rPr>
                <w:rFonts w:cs="Times New Roman"/>
                <w:b/>
                <w:bCs/>
                <w:color w:val="auto"/>
                <w:szCs w:val="21"/>
              </w:rPr>
              <w:t>一</w:t>
            </w:r>
          </w:p>
        </w:tc>
        <w:tc>
          <w:tcPr>
            <w:tcW w:w="1098" w:type="pct"/>
            <w:shd w:val="clear" w:color="auto" w:fill="auto"/>
            <w:vAlign w:val="center"/>
          </w:tcPr>
          <w:p>
            <w:pPr>
              <w:spacing w:line="240" w:lineRule="atLeast"/>
              <w:jc w:val="center"/>
              <w:rPr>
                <w:rFonts w:ascii="仿宋_GB2312" w:eastAsia="仿宋_GB2312" w:cs="Times New Roman"/>
                <w:b/>
                <w:bCs/>
                <w:color w:val="auto"/>
                <w:sz w:val="21"/>
                <w:szCs w:val="21"/>
              </w:rPr>
            </w:pPr>
            <w:r>
              <w:rPr>
                <w:rFonts w:hint="eastAsia" w:ascii="仿宋_GB2312" w:hAnsi="Times New Roman" w:eastAsia="仿宋_GB2312" w:cs="Times New Roman"/>
                <w:b/>
                <w:bCs/>
                <w:color w:val="auto"/>
                <w:sz w:val="21"/>
                <w:szCs w:val="21"/>
              </w:rPr>
              <w:t>临时措施</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spacing w:line="240" w:lineRule="atLeast"/>
              <w:jc w:val="center"/>
              <w:rPr>
                <w:rFonts w:cs="Times New Roman"/>
                <w:color w:val="auto"/>
                <w:sz w:val="21"/>
                <w:szCs w:val="21"/>
              </w:rPr>
            </w:pPr>
            <w:r>
              <w:rPr>
                <w:rFonts w:hint="eastAsia" w:ascii="Times New Roman" w:hAnsi="Times New Roman" w:eastAsia="仿宋_GB2312" w:cs="Times New Roman"/>
                <w:color w:val="auto"/>
                <w:sz w:val="21"/>
                <w:szCs w:val="21"/>
              </w:rPr>
              <w:t>1</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临时防护工程</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（1）</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临时排水沟◆</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m</w:t>
            </w: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182</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4" w:type="pct"/>
            <w:vMerge w:val="continue"/>
            <w:vAlign w:val="center"/>
          </w:tcPr>
          <w:p>
            <w:pPr>
              <w:spacing w:line="240" w:lineRule="atLeast"/>
              <w:jc w:val="center"/>
              <w:rPr>
                <w:rFonts w:cs="Times New Roman"/>
                <w:color w:val="auto"/>
                <w:sz w:val="21"/>
                <w:szCs w:val="21"/>
              </w:rPr>
            </w:pPr>
          </w:p>
        </w:tc>
        <w:tc>
          <w:tcPr>
            <w:tcW w:w="437" w:type="pct"/>
            <w:vMerge w:val="continue"/>
            <w:shd w:val="clear" w:color="auto" w:fill="auto"/>
            <w:vAlign w:val="center"/>
          </w:tcPr>
          <w:p>
            <w:pPr>
              <w:spacing w:line="240" w:lineRule="atLeast"/>
              <w:jc w:val="center"/>
              <w:rPr>
                <w:rFonts w:cs="Times New Roman"/>
                <w:color w:val="auto"/>
                <w:sz w:val="21"/>
                <w:szCs w:val="21"/>
              </w:rPr>
            </w:pPr>
          </w:p>
        </w:tc>
        <w:tc>
          <w:tcPr>
            <w:tcW w:w="566" w:type="pct"/>
            <w:shd w:val="clear" w:color="auto" w:fill="auto"/>
            <w:vAlign w:val="center"/>
          </w:tcPr>
          <w:p>
            <w:pPr>
              <w:pStyle w:val="184"/>
              <w:rPr>
                <w:rFonts w:cs="Times New Roman"/>
                <w:color w:val="auto"/>
                <w:szCs w:val="21"/>
              </w:rPr>
            </w:pPr>
            <w:r>
              <w:rPr>
                <w:rFonts w:hint="eastAsia" w:cs="Times New Roman"/>
                <w:color w:val="auto"/>
                <w:szCs w:val="21"/>
              </w:rPr>
              <w:t>（2）</w:t>
            </w:r>
          </w:p>
        </w:tc>
        <w:tc>
          <w:tcPr>
            <w:tcW w:w="1098" w:type="pct"/>
            <w:shd w:val="clear" w:color="auto" w:fill="auto"/>
            <w:vAlign w:val="center"/>
          </w:tcPr>
          <w:p>
            <w:pPr>
              <w:spacing w:line="240" w:lineRule="atLeast"/>
              <w:jc w:val="center"/>
              <w:rPr>
                <w:rFonts w:ascii="仿宋_GB2312" w:eastAsia="仿宋_GB2312" w:cs="Times New Roman"/>
                <w:color w:val="auto"/>
                <w:sz w:val="21"/>
                <w:szCs w:val="21"/>
              </w:rPr>
            </w:pPr>
            <w:r>
              <w:rPr>
                <w:rFonts w:hint="eastAsia" w:ascii="仿宋_GB2312" w:hAnsi="Times New Roman" w:eastAsia="仿宋_GB2312" w:cs="Times New Roman"/>
                <w:color w:val="auto"/>
                <w:sz w:val="21"/>
                <w:szCs w:val="21"/>
              </w:rPr>
              <w:t>临时沉沙池◆</w:t>
            </w:r>
          </w:p>
        </w:tc>
        <w:tc>
          <w:tcPr>
            <w:tcW w:w="535" w:type="pct"/>
            <w:shd w:val="clear" w:color="auto" w:fill="auto"/>
            <w:vAlign w:val="center"/>
          </w:tcPr>
          <w:p>
            <w:pPr>
              <w:spacing w:line="240" w:lineRule="atLeas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座</w:t>
            </w:r>
          </w:p>
        </w:tc>
        <w:tc>
          <w:tcPr>
            <w:tcW w:w="673" w:type="pct"/>
            <w:shd w:val="clear" w:color="000000" w:fill="FFFFFF"/>
            <w:vAlign w:val="center"/>
          </w:tcPr>
          <w:p>
            <w:pPr>
              <w:spacing w:line="240" w:lineRule="atLeast"/>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1144" w:type="pct"/>
            <w:shd w:val="clear" w:color="auto" w:fill="auto"/>
            <w:vAlign w:val="center"/>
          </w:tcPr>
          <w:p>
            <w:pPr>
              <w:spacing w:line="240" w:lineRule="atLeast"/>
              <w:jc w:val="center"/>
              <w:rPr>
                <w:rFonts w:ascii="Times New Roman" w:hAnsi="Times New Roman" w:cs="Times New Roman"/>
                <w:color w:val="auto"/>
                <w:sz w:val="21"/>
                <w:szCs w:val="21"/>
              </w:rPr>
            </w:pPr>
          </w:p>
        </w:tc>
      </w:tr>
    </w:tbl>
    <w:p>
      <w:pPr>
        <w:ind w:firstLine="493" w:firstLineChars="235"/>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注：</w:t>
      </w:r>
      <w:r>
        <w:rPr>
          <w:rFonts w:hint="eastAsia" w:ascii="宋体" w:hAnsi="宋体" w:cs="宋体"/>
          <w:bCs/>
          <w:color w:val="auto"/>
          <w:sz w:val="21"/>
          <w:szCs w:val="21"/>
        </w:rPr>
        <w:t>◆</w:t>
      </w:r>
      <w:r>
        <w:rPr>
          <w:rFonts w:ascii="Times New Roman" w:hAnsi="Times New Roman" w:eastAsia="仿宋_GB2312" w:cs="Times New Roman"/>
          <w:color w:val="auto"/>
          <w:sz w:val="21"/>
          <w:szCs w:val="21"/>
        </w:rPr>
        <w:t>表示本</w:t>
      </w:r>
      <w:r>
        <w:rPr>
          <w:rFonts w:hint="eastAsia" w:ascii="Times New Roman" w:hAnsi="Times New Roman" w:eastAsia="仿宋_GB2312" w:cs="Times New Roman"/>
          <w:color w:val="auto"/>
          <w:sz w:val="21"/>
          <w:szCs w:val="21"/>
          <w:lang w:val="en-US" w:eastAsia="zh-CN"/>
        </w:rPr>
        <w:t>区域评估报告</w:t>
      </w:r>
      <w:r>
        <w:rPr>
          <w:rFonts w:ascii="Times New Roman" w:hAnsi="Times New Roman" w:eastAsia="仿宋_GB2312" w:cs="Times New Roman"/>
          <w:color w:val="auto"/>
          <w:sz w:val="21"/>
          <w:szCs w:val="21"/>
        </w:rPr>
        <w:t>新增</w:t>
      </w:r>
      <w:r>
        <w:rPr>
          <w:rFonts w:hint="eastAsia" w:ascii="Times New Roman" w:hAnsi="Times New Roman" w:eastAsia="仿宋_GB2312" w:cs="Times New Roman"/>
          <w:color w:val="auto"/>
          <w:sz w:val="21"/>
          <w:szCs w:val="21"/>
          <w:lang w:eastAsia="zh-CN"/>
        </w:rPr>
        <w:t>或补充完善</w:t>
      </w:r>
      <w:r>
        <w:rPr>
          <w:rFonts w:ascii="Times New Roman" w:hAnsi="Times New Roman" w:eastAsia="仿宋_GB2312" w:cs="Times New Roman"/>
          <w:color w:val="auto"/>
          <w:sz w:val="21"/>
          <w:szCs w:val="21"/>
        </w:rPr>
        <w:t>措施</w:t>
      </w:r>
    </w:p>
    <w:p>
      <w:pPr>
        <w:pStyle w:val="5"/>
        <w:rPr>
          <w:rFonts w:eastAsia="仿宋_GB2312"/>
          <w:color w:val="auto"/>
        </w:rPr>
      </w:pPr>
      <w:bookmarkStart w:id="333" w:name="_Toc9436"/>
      <w:r>
        <w:rPr>
          <w:rFonts w:eastAsia="仿宋_GB2312"/>
          <w:color w:val="auto"/>
        </w:rPr>
        <w:t>5.4</w:t>
      </w:r>
      <w:bookmarkEnd w:id="332"/>
      <w:r>
        <w:rPr>
          <w:rFonts w:eastAsia="仿宋_GB2312"/>
          <w:color w:val="auto"/>
        </w:rPr>
        <w:t>施工要求</w:t>
      </w:r>
      <w:bookmarkEnd w:id="333"/>
    </w:p>
    <w:p>
      <w:pPr>
        <w:widowControl/>
        <w:spacing w:line="360" w:lineRule="auto"/>
        <w:jc w:val="left"/>
        <w:outlineLvl w:val="2"/>
        <w:rPr>
          <w:rFonts w:ascii="Times New Roman" w:hAnsi="Times New Roman" w:eastAsia="仿宋_GB2312" w:cs="Times New Roman"/>
          <w:b/>
          <w:color w:val="auto"/>
          <w:sz w:val="30"/>
          <w:szCs w:val="30"/>
        </w:rPr>
      </w:pPr>
      <w:r>
        <w:rPr>
          <w:rFonts w:ascii="Times New Roman" w:hAnsi="Times New Roman" w:eastAsia="仿宋_GB2312" w:cs="Times New Roman"/>
          <w:b/>
          <w:color w:val="auto"/>
          <w:sz w:val="30"/>
          <w:szCs w:val="30"/>
        </w:rPr>
        <w:t>5.4.1施工方法</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（1）</w:t>
      </w:r>
      <w:r>
        <w:rPr>
          <w:rFonts w:ascii="Times New Roman" w:hAnsi="Times New Roman" w:eastAsia="仿宋_GB2312" w:cs="Times New Roman"/>
          <w:color w:val="auto"/>
          <w:szCs w:val="24"/>
        </w:rPr>
        <w:t>苫布覆盖：主要利用可重复利用的无纺布对裸露地面进行临时覆盖，无纺布不宜过长，中间利用石块等进行压占，无纺布的设置应有利于雨水排出，不在场内形成积水。</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（2）</w:t>
      </w:r>
      <w:r>
        <w:rPr>
          <w:rFonts w:ascii="Times New Roman" w:hAnsi="Times New Roman" w:eastAsia="仿宋_GB2312" w:cs="Times New Roman"/>
          <w:color w:val="auto"/>
          <w:szCs w:val="24"/>
        </w:rPr>
        <w:t>临时排水沟：土方开挖根据放样桩线，采用</w:t>
      </w:r>
      <w:r>
        <w:rPr>
          <w:rFonts w:hint="eastAsia" w:ascii="Times New Roman" w:hAnsi="Times New Roman" w:eastAsia="仿宋_GB2312" w:cs="Times New Roman"/>
          <w:color w:val="auto"/>
          <w:szCs w:val="24"/>
        </w:rPr>
        <w:t>人工</w:t>
      </w:r>
      <w:r>
        <w:rPr>
          <w:rFonts w:ascii="Times New Roman" w:hAnsi="Times New Roman" w:eastAsia="仿宋_GB2312" w:cs="Times New Roman"/>
          <w:color w:val="auto"/>
          <w:szCs w:val="24"/>
        </w:rPr>
        <w:t>开挖，修底，开挖出来的土方采用推土机或人工推至低洼处。</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（3）</w:t>
      </w:r>
      <w:r>
        <w:rPr>
          <w:rFonts w:ascii="Times New Roman" w:hAnsi="Times New Roman" w:eastAsia="仿宋_GB2312" w:cs="Times New Roman"/>
          <w:color w:val="auto"/>
          <w:szCs w:val="24"/>
        </w:rPr>
        <w:t>临时沉沙池：土方开挖采用</w:t>
      </w:r>
      <w:r>
        <w:rPr>
          <w:rFonts w:hint="eastAsia" w:ascii="Times New Roman" w:hAnsi="Times New Roman" w:eastAsia="仿宋_GB2312" w:cs="Times New Roman"/>
          <w:color w:val="auto"/>
          <w:szCs w:val="24"/>
        </w:rPr>
        <w:t>人工</w:t>
      </w:r>
      <w:r>
        <w:rPr>
          <w:rFonts w:ascii="Times New Roman" w:hAnsi="Times New Roman" w:eastAsia="仿宋_GB2312" w:cs="Times New Roman"/>
          <w:color w:val="auto"/>
          <w:szCs w:val="24"/>
        </w:rPr>
        <w:t>开挖，抛土运到坑边0.5m以外，开挖完成后，人工修整池底和侧壁。开挖产生的土方采用人工或推土机运至低洼处。</w:t>
      </w:r>
    </w:p>
    <w:p>
      <w:pPr>
        <w:snapToGrid w:val="0"/>
        <w:spacing w:line="360" w:lineRule="auto"/>
        <w:ind w:firstLine="480" w:firstLineChars="200"/>
        <w:rPr>
          <w:rFonts w:ascii="Times New Roman" w:hAnsi="Times New Roman" w:eastAsia="仿宋_GB2312" w:cs="Times New Roman"/>
          <w:color w:val="auto"/>
        </w:rPr>
      </w:pPr>
      <w:r>
        <w:rPr>
          <w:rFonts w:hint="eastAsia" w:ascii="Times New Roman" w:hAnsi="Times New Roman" w:eastAsia="仿宋_GB2312" w:cs="Times New Roman"/>
          <w:color w:val="auto"/>
          <w:szCs w:val="24"/>
        </w:rPr>
        <w:t>（4）</w:t>
      </w:r>
      <w:r>
        <w:rPr>
          <w:rFonts w:ascii="Times New Roman" w:hAnsi="Times New Roman" w:eastAsia="仿宋_GB2312" w:cs="Times New Roman"/>
          <w:color w:val="auto"/>
          <w:szCs w:val="24"/>
        </w:rPr>
        <w:t>装土编织袋挡墙：</w:t>
      </w:r>
      <w:r>
        <w:rPr>
          <w:rFonts w:ascii="Times New Roman" w:hAnsi="Times New Roman" w:eastAsia="仿宋_GB2312" w:cs="Times New Roman"/>
          <w:color w:val="auto"/>
        </w:rPr>
        <w:t>施工前应清除表土，杂草等影响施工的障碍物，按照测量组放样轴线进行平台的开挖，机械挖除软土后，剩余20cm虚土进行人工清理，并进行碾压密实，压实度大于0.9，严禁直接在虚土上进行土袋铺设。土袋的铺设长方向应垂直于轴线方向铺设，袋口向南，人工装土将土袋容积填充至80%~90%左右为宜，上一层土袋与下一层土袋应错缝搭接，错缝搭接长度控制在20cm~30cm，每个平台在铺设至设计标高1米时设置止水塑料膜，如此逐层填筑直到设计标高，在表土回填结束后逐层拆除。</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（5）植树：人工挖穴、栽植、浇水。施工前，先放线定位，按定点放线标定的位置、规格开挖种植穴；穴挖好后，把树苗放入穴内，保持树体上下垂直，再填土压实；最后，根据天气情况，进行浇水养护。</w:t>
      </w:r>
    </w:p>
    <w:p>
      <w:pPr>
        <w:snapToGrid w:val="0"/>
        <w:spacing w:line="360" w:lineRule="auto"/>
        <w:ind w:firstLine="480" w:firstLineChars="200"/>
        <w:rPr>
          <w:rFonts w:ascii="Times New Roman" w:eastAsia="仿宋_GB2312" w:cs="Times New Roman"/>
          <w:color w:val="auto"/>
        </w:rPr>
      </w:pPr>
      <w:r>
        <w:rPr>
          <w:rFonts w:ascii="Times New Roman" w:eastAsia="仿宋_GB2312" w:cs="Times New Roman"/>
          <w:color w:val="auto"/>
        </w:rPr>
        <w:t>（</w:t>
      </w:r>
      <w:r>
        <w:rPr>
          <w:rFonts w:hint="eastAsia" w:ascii="Times New Roman" w:hAnsi="Times New Roman" w:eastAsia="仿宋_GB2312" w:cs="Times New Roman"/>
          <w:color w:val="auto"/>
        </w:rPr>
        <w:t>6</w:t>
      </w:r>
      <w:r>
        <w:rPr>
          <w:rFonts w:ascii="Times New Roman" w:eastAsia="仿宋_GB2312" w:cs="Times New Roman"/>
          <w:color w:val="auto"/>
        </w:rPr>
        <w:t>）表土剥离：采用推土机剥离表层土壤，局部采用人工剥离，剥离厚度为</w:t>
      </w:r>
      <w:r>
        <w:rPr>
          <w:rFonts w:ascii="Times New Roman" w:hAnsi="Times New Roman" w:eastAsia="仿宋_GB2312" w:cs="Times New Roman"/>
          <w:color w:val="auto"/>
        </w:rPr>
        <w:t>20cm</w:t>
      </w:r>
      <w:r>
        <w:rPr>
          <w:rFonts w:ascii="Times New Roman" w:eastAsia="仿宋_GB2312" w:cs="Times New Roman"/>
          <w:color w:val="auto"/>
        </w:rPr>
        <w:t>，采用汽车运输至规定的临时堆土场集中堆放。</w:t>
      </w:r>
    </w:p>
    <w:p>
      <w:pPr>
        <w:snapToGrid w:val="0"/>
        <w:spacing w:line="360" w:lineRule="auto"/>
        <w:ind w:firstLine="480" w:firstLineChars="200"/>
        <w:rPr>
          <w:rFonts w:ascii="Times New Roman" w:eastAsia="仿宋_GB2312" w:cs="Times New Roman"/>
          <w:color w:val="auto"/>
        </w:rPr>
      </w:pPr>
      <w:r>
        <w:rPr>
          <w:rFonts w:hint="eastAsia" w:ascii="Times New Roman" w:eastAsia="仿宋_GB2312" w:cs="Times New Roman"/>
          <w:color w:val="auto"/>
        </w:rPr>
        <w:t>（7）</w:t>
      </w:r>
      <w:r>
        <w:rPr>
          <w:rFonts w:ascii="Times New Roman" w:eastAsia="仿宋_GB2312" w:cs="Times New Roman"/>
          <w:color w:val="auto"/>
        </w:rPr>
        <w:t>表土回填：施工结束后，完成场地平整，再将表土运至回填场地进行铺料、整平、压实，据原占地类型、立地条件及环境绿化等需要，表土回覆厚度按20</w:t>
      </w:r>
      <w:r>
        <w:rPr>
          <w:rFonts w:hint="eastAsia" w:ascii="Times New Roman" w:eastAsia="仿宋_GB2312" w:cs="Times New Roman"/>
          <w:color w:val="auto"/>
        </w:rPr>
        <w:t>~40</w:t>
      </w:r>
      <w:r>
        <w:rPr>
          <w:rFonts w:ascii="Times New Roman" w:eastAsia="仿宋_GB2312" w:cs="Times New Roman"/>
          <w:color w:val="auto"/>
        </w:rPr>
        <w:t>cm的标准。</w:t>
      </w:r>
    </w:p>
    <w:p>
      <w:pPr>
        <w:spacing w:line="360" w:lineRule="auto"/>
        <w:ind w:firstLine="480" w:firstLineChars="200"/>
        <w:rPr>
          <w:rFonts w:ascii="Times New Roman" w:hAnsi="Times New Roman" w:eastAsia="仿宋_GB2312" w:cs="Times New Roman"/>
          <w:color w:val="auto"/>
          <w:sz w:val="32"/>
        </w:rPr>
      </w:pPr>
      <w:r>
        <w:rPr>
          <w:rFonts w:hint="eastAsia" w:ascii="Times New Roman" w:hAnsi="Times New Roman" w:eastAsia="仿宋_GB2312"/>
          <w:color w:val="auto"/>
        </w:rPr>
        <w:t>（8）</w:t>
      </w:r>
      <w:r>
        <w:rPr>
          <w:rFonts w:ascii="Times New Roman" w:hAnsi="Times New Roman" w:eastAsia="仿宋_GB2312"/>
          <w:color w:val="auto"/>
        </w:rPr>
        <w:t>铺透水砖</w:t>
      </w:r>
      <w:r>
        <w:rPr>
          <w:rFonts w:hint="eastAsia" w:ascii="Times New Roman" w:hAnsi="Times New Roman" w:eastAsia="仿宋_GB2312"/>
          <w:color w:val="auto"/>
        </w:rPr>
        <w:t>：透水砖是以硅酸盐水泥为胶凝材料、采用单一粒级粗骨料，形成具有连通孔隙的混凝土砖。它的最大特征能够将雨水快速渗透于地下，减少雨水地表径流，增加地下水的含量，起到保护生态与环境的特殊功能。施工采用柔性铺装法，即平整基础，压实，然后铺实，铺砂刮平，再铺砖，最后填缝即可，方便快捷、人工成本低。</w:t>
      </w:r>
    </w:p>
    <w:p>
      <w:pPr>
        <w:widowControl/>
        <w:spacing w:line="360" w:lineRule="auto"/>
        <w:jc w:val="left"/>
        <w:outlineLvl w:val="2"/>
        <w:rPr>
          <w:rFonts w:ascii="Times New Roman" w:hAnsi="Times New Roman" w:eastAsia="仿宋_GB2312" w:cs="Times New Roman"/>
          <w:b/>
          <w:color w:val="auto"/>
          <w:sz w:val="30"/>
          <w:szCs w:val="30"/>
        </w:rPr>
      </w:pPr>
      <w:r>
        <w:rPr>
          <w:rFonts w:ascii="Times New Roman" w:hAnsi="Times New Roman" w:eastAsia="仿宋_GB2312" w:cs="Times New Roman"/>
          <w:b/>
          <w:color w:val="auto"/>
          <w:sz w:val="30"/>
          <w:szCs w:val="30"/>
        </w:rPr>
        <w:t>5.4.2水土保持措施进度安排</w:t>
      </w:r>
    </w:p>
    <w:p>
      <w:pPr>
        <w:spacing w:line="360" w:lineRule="auto"/>
        <w:ind w:firstLine="482" w:firstLineChars="200"/>
        <w:rPr>
          <w:rFonts w:ascii="Times New Roman" w:hAnsi="Times New Roman" w:eastAsia="仿宋_GB2312" w:cs="Times New Roman"/>
          <w:b/>
          <w:color w:val="auto"/>
          <w:szCs w:val="24"/>
        </w:rPr>
      </w:pPr>
      <w:r>
        <w:rPr>
          <w:rFonts w:ascii="Times New Roman" w:hAnsi="Times New Roman" w:eastAsia="仿宋_GB2312" w:cs="Times New Roman"/>
          <w:b/>
          <w:color w:val="auto"/>
          <w:szCs w:val="24"/>
        </w:rPr>
        <w:t>1 施工总进度安排原则</w:t>
      </w:r>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（1）土地整治工程尽量安排在雨季到来之前完成；植物措施尽量安排在春</w:t>
      </w:r>
      <w:r>
        <w:rPr>
          <w:rFonts w:hint="eastAsia" w:ascii="Times New Roman" w:hAnsi="Times New Roman" w:eastAsia="仿宋_GB2312" w:cs="Times New Roman"/>
          <w:color w:val="auto"/>
          <w:szCs w:val="24"/>
        </w:rPr>
        <w:t>冬</w:t>
      </w:r>
      <w:r>
        <w:rPr>
          <w:rFonts w:ascii="Times New Roman" w:hAnsi="Times New Roman" w:eastAsia="仿宋_GB2312" w:cs="Times New Roman"/>
          <w:color w:val="auto"/>
          <w:szCs w:val="24"/>
        </w:rPr>
        <w:t>季进行，以提高植物的成活率。</w:t>
      </w:r>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（2）按照先工程措施后植物措施和“先拦后弃”的原则。先修拦挡工程，再布设排水工程等措施，最后进行土地整治和植物恢复。</w:t>
      </w:r>
    </w:p>
    <w:p>
      <w:pPr>
        <w:snapToGrid w:val="0"/>
        <w:spacing w:line="360" w:lineRule="auto"/>
        <w:ind w:firstLine="482" w:firstLineChars="200"/>
        <w:rPr>
          <w:rFonts w:ascii="Times New Roman" w:hAnsi="Times New Roman" w:eastAsia="仿宋_GB2312" w:cs="Times New Roman"/>
          <w:b/>
          <w:color w:val="auto"/>
          <w:szCs w:val="24"/>
        </w:rPr>
      </w:pPr>
      <w:r>
        <w:rPr>
          <w:rFonts w:ascii="Times New Roman" w:hAnsi="Times New Roman" w:eastAsia="仿宋_GB2312" w:cs="Times New Roman"/>
          <w:b/>
          <w:color w:val="auto"/>
          <w:szCs w:val="24"/>
        </w:rPr>
        <w:t>2 水土保持措施施工进度安排</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根据主体工程建设期和施工进度安排，</w:t>
      </w:r>
      <w:r>
        <w:rPr>
          <w:rFonts w:hint="eastAsia" w:ascii="Times New Roman" w:hAnsi="Times New Roman" w:eastAsia="仿宋_GB2312" w:cs="Times New Roman"/>
          <w:color w:val="auto"/>
          <w:szCs w:val="24"/>
          <w:lang w:eastAsia="zh-CN"/>
        </w:rPr>
        <w:t>本评估</w:t>
      </w:r>
      <w:r>
        <w:rPr>
          <w:rFonts w:hint="eastAsia" w:ascii="Times New Roman" w:hAnsi="Times New Roman" w:eastAsia="仿宋_GB2312" w:cs="Times New Roman"/>
          <w:color w:val="auto"/>
          <w:szCs w:val="24"/>
          <w:lang w:val="en-US" w:eastAsia="zh-CN"/>
        </w:rPr>
        <w:t>报告</w:t>
      </w:r>
      <w:r>
        <w:rPr>
          <w:rFonts w:hint="eastAsia" w:ascii="Times New Roman" w:hAnsi="Times New Roman" w:eastAsia="仿宋_GB2312" w:cs="Times New Roman"/>
          <w:color w:val="auto"/>
          <w:szCs w:val="24"/>
          <w:lang w:eastAsia="zh-CN"/>
        </w:rPr>
        <w:t>介入时，部分区域地块已实施有水保措施，根据实际调查，已实施措施在项目开工前的</w:t>
      </w:r>
      <w:r>
        <w:rPr>
          <w:rFonts w:hint="eastAsia" w:ascii="Times New Roman" w:hAnsi="Times New Roman" w:eastAsia="仿宋_GB2312" w:cs="Times New Roman"/>
          <w:color w:val="auto"/>
          <w:szCs w:val="24"/>
          <w:lang w:val="en-US" w:eastAsia="zh-CN"/>
        </w:rPr>
        <w:t>2020年7月~2020年12月期间完成，其余水保措施</w:t>
      </w:r>
      <w:r>
        <w:rPr>
          <w:rFonts w:ascii="Times New Roman" w:hAnsi="Times New Roman" w:eastAsia="仿宋_GB2312" w:cs="Times New Roman"/>
          <w:color w:val="auto"/>
          <w:szCs w:val="24"/>
        </w:rPr>
        <w:t>从20</w:t>
      </w:r>
      <w:r>
        <w:rPr>
          <w:rFonts w:hint="eastAsia" w:ascii="Times New Roman" w:hAnsi="Times New Roman" w:eastAsia="仿宋_GB2312" w:cs="Times New Roman"/>
          <w:color w:val="auto"/>
          <w:szCs w:val="24"/>
        </w:rPr>
        <w:t>21</w:t>
      </w:r>
      <w:r>
        <w:rPr>
          <w:rFonts w:ascii="Times New Roman" w:hAnsi="Times New Roman" w:eastAsia="仿宋_GB2312" w:cs="Times New Roman"/>
          <w:color w:val="auto"/>
          <w:szCs w:val="24"/>
        </w:rPr>
        <w:t>年</w:t>
      </w:r>
      <w:r>
        <w:rPr>
          <w:rFonts w:hint="eastAsia" w:ascii="Times New Roman" w:hAnsi="Times New Roman" w:eastAsia="仿宋_GB2312" w:cs="Times New Roman"/>
          <w:color w:val="auto"/>
          <w:szCs w:val="24"/>
        </w:rPr>
        <w:t>1</w:t>
      </w:r>
      <w:r>
        <w:rPr>
          <w:rFonts w:ascii="Times New Roman" w:hAnsi="Times New Roman" w:eastAsia="仿宋_GB2312" w:cs="Times New Roman"/>
          <w:color w:val="auto"/>
          <w:szCs w:val="24"/>
        </w:rPr>
        <w:t>月开始施工，至202</w:t>
      </w:r>
      <w:r>
        <w:rPr>
          <w:rFonts w:hint="eastAsia" w:ascii="Times New Roman" w:hAnsi="Times New Roman" w:eastAsia="仿宋_GB2312" w:cs="Times New Roman"/>
          <w:color w:val="auto"/>
          <w:szCs w:val="24"/>
        </w:rPr>
        <w:t>5</w:t>
      </w:r>
      <w:r>
        <w:rPr>
          <w:rFonts w:ascii="Times New Roman" w:hAnsi="Times New Roman" w:eastAsia="仿宋_GB2312" w:cs="Times New Roman"/>
          <w:color w:val="auto"/>
          <w:szCs w:val="24"/>
        </w:rPr>
        <w:t>年</w:t>
      </w:r>
      <w:r>
        <w:rPr>
          <w:rFonts w:hint="eastAsia" w:ascii="Times New Roman" w:hAnsi="Times New Roman" w:eastAsia="仿宋_GB2312" w:cs="Times New Roman"/>
          <w:color w:val="auto"/>
          <w:szCs w:val="24"/>
        </w:rPr>
        <w:t>12</w:t>
      </w:r>
      <w:r>
        <w:rPr>
          <w:rFonts w:ascii="Times New Roman" w:hAnsi="Times New Roman" w:eastAsia="仿宋_GB2312" w:cs="Times New Roman"/>
          <w:color w:val="auto"/>
          <w:szCs w:val="24"/>
        </w:rPr>
        <w:t>月全部完成，总工期</w:t>
      </w:r>
      <w:r>
        <w:rPr>
          <w:rFonts w:hint="eastAsia" w:ascii="Times New Roman" w:hAnsi="Times New Roman" w:eastAsia="仿宋_GB2312" w:cs="Times New Roman"/>
          <w:color w:val="auto"/>
          <w:szCs w:val="24"/>
        </w:rPr>
        <w:t>60</w:t>
      </w:r>
      <w:r>
        <w:rPr>
          <w:rFonts w:ascii="Times New Roman" w:hAnsi="Times New Roman" w:eastAsia="仿宋_GB2312" w:cs="Times New Roman"/>
          <w:color w:val="auto"/>
          <w:szCs w:val="24"/>
        </w:rPr>
        <w:t>个月。详见表5</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4-1。</w:t>
      </w:r>
    </w:p>
    <w:p>
      <w:pPr>
        <w:spacing w:line="360" w:lineRule="auto"/>
        <w:ind w:firstLine="480" w:firstLineChars="200"/>
        <w:rPr>
          <w:rFonts w:ascii="Times New Roman" w:hAnsi="Times New Roman" w:eastAsia="仿宋_GB2312" w:cs="Times New Roman"/>
          <w:color w:val="auto"/>
          <w:szCs w:val="24"/>
        </w:rPr>
      </w:pPr>
    </w:p>
    <w:p>
      <w:pPr>
        <w:spacing w:line="360" w:lineRule="auto"/>
        <w:ind w:firstLine="480" w:firstLineChars="200"/>
        <w:rPr>
          <w:rFonts w:ascii="Times New Roman" w:hAnsi="Times New Roman" w:eastAsia="仿宋_GB2312" w:cs="Times New Roman"/>
          <w:color w:val="auto"/>
          <w:szCs w:val="24"/>
        </w:rPr>
        <w:sectPr>
          <w:headerReference r:id="rId34" w:type="default"/>
          <w:footerReference r:id="rId35" w:type="default"/>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32" w:charSpace="0"/>
        </w:sectPr>
      </w:pPr>
    </w:p>
    <w:p>
      <w:pPr>
        <w:spacing w:line="360" w:lineRule="auto"/>
        <w:jc w:val="center"/>
        <w:rPr>
          <w:rFonts w:ascii="Times New Roman" w:hAnsi="Times New Roman" w:eastAsia="仿宋_GB2312" w:cs="Times New Roman"/>
          <w:b/>
          <w:color w:val="auto"/>
          <w:szCs w:val="24"/>
        </w:rPr>
      </w:pPr>
      <w:r>
        <w:rPr>
          <w:rFonts w:ascii="Times New Roman" w:hAnsi="Times New Roman" w:eastAsia="仿宋_GB2312" w:cs="Times New Roman"/>
          <w:b/>
          <w:color w:val="auto"/>
        </w:rPr>
        <w:t>表5.4-1：水土保持措施实施安排表</w:t>
      </w:r>
    </w:p>
    <w:tbl>
      <w:tblPr>
        <w:tblStyle w:val="37"/>
        <w:tblW w:w="525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28"/>
        <w:gridCol w:w="735"/>
        <w:gridCol w:w="930"/>
        <w:gridCol w:w="2028"/>
        <w:gridCol w:w="485"/>
        <w:gridCol w:w="485"/>
        <w:gridCol w:w="485"/>
        <w:gridCol w:w="485"/>
        <w:gridCol w:w="485"/>
        <w:gridCol w:w="485"/>
        <w:gridCol w:w="485"/>
        <w:gridCol w:w="485"/>
        <w:gridCol w:w="485"/>
        <w:gridCol w:w="485"/>
        <w:gridCol w:w="485"/>
        <w:gridCol w:w="485"/>
        <w:gridCol w:w="485"/>
        <w:gridCol w:w="485"/>
        <w:gridCol w:w="485"/>
        <w:gridCol w:w="485"/>
        <w:gridCol w:w="485"/>
        <w:gridCol w:w="485"/>
        <w:gridCol w:w="485"/>
        <w:gridCol w:w="485"/>
        <w:gridCol w:w="485"/>
        <w:gridCol w:w="49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 w:hRule="atLeast"/>
          <w:tblHeader/>
          <w:jc w:val="center"/>
        </w:trPr>
        <w:tc>
          <w:tcPr>
            <w:tcW w:w="423" w:type="pct"/>
            <w:gridSpan w:val="2"/>
            <w:vMerge w:val="restart"/>
            <w:vAlign w:val="center"/>
          </w:tcPr>
          <w:p>
            <w:pPr>
              <w:pStyle w:val="184"/>
              <w:jc w:val="center"/>
              <w:rPr>
                <w:rFonts w:cs="Times New Roman"/>
                <w:b/>
                <w:bCs/>
                <w:color w:val="auto"/>
                <w:szCs w:val="21"/>
              </w:rPr>
            </w:pPr>
            <w:r>
              <w:rPr>
                <w:rFonts w:cs="Times New Roman"/>
                <w:b/>
                <w:bCs/>
                <w:color w:val="auto"/>
                <w:szCs w:val="21"/>
              </w:rPr>
              <w:t>防治分区</w:t>
            </w:r>
          </w:p>
        </w:tc>
        <w:tc>
          <w:tcPr>
            <w:tcW w:w="992" w:type="pct"/>
            <w:gridSpan w:val="2"/>
            <w:vMerge w:val="restart"/>
            <w:vAlign w:val="center"/>
          </w:tcPr>
          <w:p>
            <w:pPr>
              <w:pStyle w:val="184"/>
              <w:jc w:val="center"/>
              <w:rPr>
                <w:rFonts w:hint="eastAsia" w:eastAsia="仿宋_GB2312" w:cs="Times New Roman"/>
                <w:b/>
                <w:bCs/>
                <w:color w:val="auto"/>
                <w:szCs w:val="21"/>
                <w:lang w:eastAsia="zh-CN"/>
              </w:rPr>
            </w:pPr>
            <w:r>
              <w:rPr>
                <w:rFonts w:hint="eastAsia" w:cs="Times New Roman"/>
                <w:b/>
                <w:bCs/>
                <w:color w:val="auto"/>
                <w:szCs w:val="21"/>
                <w:lang w:val="en-US" w:eastAsia="zh-CN"/>
              </w:rPr>
              <w:t>措施名称</w:t>
            </w:r>
          </w:p>
        </w:tc>
        <w:tc>
          <w:tcPr>
            <w:tcW w:w="325" w:type="pct"/>
            <w:gridSpan w:val="2"/>
            <w:vAlign w:val="center"/>
          </w:tcPr>
          <w:p>
            <w:pPr>
              <w:pStyle w:val="184"/>
              <w:jc w:val="center"/>
              <w:rPr>
                <w:rFonts w:hint="eastAsia" w:cs="Times New Roman"/>
                <w:color w:val="auto"/>
                <w:szCs w:val="21"/>
                <w:lang w:val="en-US" w:eastAsia="zh-CN"/>
              </w:rPr>
            </w:pPr>
            <w:r>
              <w:rPr>
                <w:rFonts w:hint="eastAsia" w:cs="Times New Roman"/>
                <w:b/>
                <w:bCs/>
                <w:color w:val="auto"/>
                <w:szCs w:val="21"/>
                <w:lang w:val="en-US" w:eastAsia="zh-CN"/>
              </w:rPr>
              <w:t>2020年</w:t>
            </w:r>
          </w:p>
        </w:tc>
        <w:tc>
          <w:tcPr>
            <w:tcW w:w="651" w:type="pct"/>
            <w:gridSpan w:val="4"/>
            <w:vAlign w:val="center"/>
          </w:tcPr>
          <w:p>
            <w:pPr>
              <w:pStyle w:val="184"/>
              <w:jc w:val="center"/>
              <w:rPr>
                <w:rFonts w:cs="Times New Roman"/>
                <w:b/>
                <w:bCs/>
                <w:color w:val="auto"/>
                <w:szCs w:val="21"/>
              </w:rPr>
            </w:pPr>
            <w:r>
              <w:rPr>
                <w:rFonts w:cs="Times New Roman"/>
                <w:b/>
                <w:bCs/>
                <w:color w:val="auto"/>
                <w:szCs w:val="21"/>
              </w:rPr>
              <w:t>2021年</w:t>
            </w:r>
          </w:p>
        </w:tc>
        <w:tc>
          <w:tcPr>
            <w:tcW w:w="651" w:type="pct"/>
            <w:gridSpan w:val="4"/>
            <w:vAlign w:val="center"/>
          </w:tcPr>
          <w:p>
            <w:pPr>
              <w:pStyle w:val="184"/>
              <w:jc w:val="center"/>
              <w:rPr>
                <w:rFonts w:cs="Times New Roman"/>
                <w:b/>
                <w:bCs/>
                <w:color w:val="auto"/>
                <w:szCs w:val="21"/>
              </w:rPr>
            </w:pPr>
            <w:r>
              <w:rPr>
                <w:rFonts w:cs="Times New Roman"/>
                <w:b/>
                <w:bCs/>
                <w:color w:val="auto"/>
                <w:szCs w:val="21"/>
              </w:rPr>
              <w:t>2022年</w:t>
            </w:r>
          </w:p>
        </w:tc>
        <w:tc>
          <w:tcPr>
            <w:tcW w:w="651" w:type="pct"/>
            <w:gridSpan w:val="4"/>
            <w:vAlign w:val="center"/>
          </w:tcPr>
          <w:p>
            <w:pPr>
              <w:pStyle w:val="184"/>
              <w:jc w:val="center"/>
              <w:rPr>
                <w:rFonts w:cs="Times New Roman"/>
                <w:b/>
                <w:bCs/>
                <w:color w:val="auto"/>
                <w:szCs w:val="21"/>
              </w:rPr>
            </w:pPr>
            <w:r>
              <w:rPr>
                <w:rFonts w:cs="Times New Roman"/>
                <w:b/>
                <w:bCs/>
                <w:color w:val="auto"/>
                <w:szCs w:val="21"/>
              </w:rPr>
              <w:t>2023年</w:t>
            </w:r>
          </w:p>
        </w:tc>
        <w:tc>
          <w:tcPr>
            <w:tcW w:w="651" w:type="pct"/>
            <w:gridSpan w:val="4"/>
            <w:vAlign w:val="center"/>
          </w:tcPr>
          <w:p>
            <w:pPr>
              <w:pStyle w:val="184"/>
              <w:jc w:val="center"/>
              <w:rPr>
                <w:rFonts w:cs="Times New Roman"/>
                <w:b/>
                <w:bCs/>
                <w:color w:val="auto"/>
                <w:szCs w:val="21"/>
              </w:rPr>
            </w:pPr>
            <w:r>
              <w:rPr>
                <w:rFonts w:cs="Times New Roman"/>
                <w:b/>
                <w:bCs/>
                <w:color w:val="auto"/>
                <w:szCs w:val="21"/>
              </w:rPr>
              <w:t>2024年</w:t>
            </w:r>
          </w:p>
        </w:tc>
        <w:tc>
          <w:tcPr>
            <w:tcW w:w="653" w:type="pct"/>
            <w:gridSpan w:val="4"/>
            <w:vAlign w:val="center"/>
          </w:tcPr>
          <w:p>
            <w:pPr>
              <w:pStyle w:val="184"/>
              <w:jc w:val="center"/>
              <w:rPr>
                <w:rFonts w:cs="Times New Roman"/>
                <w:b/>
                <w:bCs/>
                <w:color w:val="auto"/>
                <w:szCs w:val="21"/>
              </w:rPr>
            </w:pPr>
            <w:r>
              <w:rPr>
                <w:rFonts w:cs="Times New Roman"/>
                <w:b/>
                <w:bCs/>
                <w:color w:val="auto"/>
                <w:szCs w:val="21"/>
              </w:rPr>
              <w:t>2025年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423" w:type="pct"/>
            <w:gridSpan w:val="2"/>
            <w:vMerge w:val="continue"/>
            <w:vAlign w:val="center"/>
          </w:tcPr>
          <w:p>
            <w:pPr>
              <w:pStyle w:val="184"/>
              <w:jc w:val="center"/>
              <w:rPr>
                <w:rFonts w:cs="Times New Roman"/>
                <w:b/>
                <w:bCs/>
                <w:color w:val="auto"/>
                <w:szCs w:val="21"/>
              </w:rPr>
            </w:pPr>
          </w:p>
        </w:tc>
        <w:tc>
          <w:tcPr>
            <w:tcW w:w="992" w:type="pct"/>
            <w:gridSpan w:val="2"/>
            <w:vMerge w:val="continue"/>
            <w:vAlign w:val="center"/>
          </w:tcPr>
          <w:p>
            <w:pPr>
              <w:pStyle w:val="184"/>
              <w:jc w:val="center"/>
              <w:rPr>
                <w:rFonts w:cs="Times New Roman"/>
                <w:b/>
                <w:bCs/>
                <w:color w:val="auto"/>
                <w:szCs w:val="21"/>
              </w:rPr>
            </w:pPr>
          </w:p>
        </w:tc>
        <w:tc>
          <w:tcPr>
            <w:tcW w:w="162" w:type="pct"/>
            <w:vAlign w:val="center"/>
          </w:tcPr>
          <w:p>
            <w:pPr>
              <w:pStyle w:val="184"/>
              <w:spacing w:line="240" w:lineRule="auto"/>
              <w:jc w:val="center"/>
              <w:rPr>
                <w:rFonts w:cs="Times New Roman"/>
                <w:b/>
                <w:bCs/>
                <w:color w:val="auto"/>
                <w:szCs w:val="21"/>
              </w:rPr>
            </w:pPr>
            <w:r>
              <w:rPr>
                <w:rFonts w:cs="Times New Roman"/>
                <w:b/>
                <w:bCs/>
                <w:color w:val="auto"/>
                <w:szCs w:val="21"/>
              </w:rPr>
              <w:t>3季度</w:t>
            </w:r>
          </w:p>
        </w:tc>
        <w:tc>
          <w:tcPr>
            <w:tcW w:w="162" w:type="pct"/>
            <w:vAlign w:val="center"/>
          </w:tcPr>
          <w:p>
            <w:pPr>
              <w:pStyle w:val="184"/>
              <w:spacing w:line="240" w:lineRule="auto"/>
              <w:jc w:val="center"/>
              <w:rPr>
                <w:rFonts w:cs="Times New Roman"/>
                <w:b/>
                <w:bCs/>
                <w:color w:val="auto"/>
                <w:szCs w:val="21"/>
              </w:rPr>
            </w:pPr>
            <w:r>
              <w:rPr>
                <w:rFonts w:cs="Times New Roman"/>
                <w:b/>
                <w:bCs/>
                <w:color w:val="auto"/>
                <w:szCs w:val="21"/>
              </w:rPr>
              <w:t>4季度</w:t>
            </w:r>
          </w:p>
        </w:tc>
        <w:tc>
          <w:tcPr>
            <w:tcW w:w="162" w:type="pct"/>
            <w:vAlign w:val="center"/>
          </w:tcPr>
          <w:p>
            <w:pPr>
              <w:pStyle w:val="184"/>
              <w:spacing w:line="240" w:lineRule="auto"/>
              <w:jc w:val="center"/>
              <w:rPr>
                <w:rFonts w:cs="Times New Roman"/>
                <w:b/>
                <w:bCs/>
                <w:color w:val="auto"/>
                <w:szCs w:val="21"/>
              </w:rPr>
            </w:pPr>
            <w:r>
              <w:rPr>
                <w:rFonts w:cs="Times New Roman"/>
                <w:b/>
                <w:bCs/>
                <w:color w:val="auto"/>
                <w:szCs w:val="21"/>
              </w:rPr>
              <w:t>1季度</w:t>
            </w:r>
          </w:p>
        </w:tc>
        <w:tc>
          <w:tcPr>
            <w:tcW w:w="162" w:type="pct"/>
            <w:vAlign w:val="center"/>
          </w:tcPr>
          <w:p>
            <w:pPr>
              <w:pStyle w:val="184"/>
              <w:spacing w:line="240" w:lineRule="auto"/>
              <w:jc w:val="center"/>
              <w:rPr>
                <w:rFonts w:cs="Times New Roman"/>
                <w:b/>
                <w:bCs/>
                <w:color w:val="auto"/>
                <w:szCs w:val="21"/>
              </w:rPr>
            </w:pPr>
            <w:r>
              <w:rPr>
                <w:rFonts w:cs="Times New Roman"/>
                <w:b/>
                <w:bCs/>
                <w:color w:val="auto"/>
                <w:szCs w:val="21"/>
              </w:rPr>
              <w:t>2季度</w:t>
            </w:r>
          </w:p>
        </w:tc>
        <w:tc>
          <w:tcPr>
            <w:tcW w:w="162" w:type="pct"/>
            <w:vAlign w:val="center"/>
          </w:tcPr>
          <w:p>
            <w:pPr>
              <w:pStyle w:val="184"/>
              <w:spacing w:line="240" w:lineRule="auto"/>
              <w:jc w:val="center"/>
              <w:rPr>
                <w:rFonts w:cs="Times New Roman"/>
                <w:b/>
                <w:bCs/>
                <w:color w:val="auto"/>
                <w:szCs w:val="21"/>
              </w:rPr>
            </w:pPr>
            <w:r>
              <w:rPr>
                <w:rFonts w:cs="Times New Roman"/>
                <w:b/>
                <w:bCs/>
                <w:color w:val="auto"/>
                <w:szCs w:val="21"/>
              </w:rPr>
              <w:t>3季度</w:t>
            </w:r>
          </w:p>
        </w:tc>
        <w:tc>
          <w:tcPr>
            <w:tcW w:w="162" w:type="pct"/>
            <w:vAlign w:val="center"/>
          </w:tcPr>
          <w:p>
            <w:pPr>
              <w:pStyle w:val="184"/>
              <w:spacing w:line="240" w:lineRule="auto"/>
              <w:jc w:val="center"/>
              <w:rPr>
                <w:rFonts w:cs="Times New Roman"/>
                <w:b/>
                <w:bCs/>
                <w:color w:val="auto"/>
                <w:szCs w:val="21"/>
              </w:rPr>
            </w:pPr>
            <w:r>
              <w:rPr>
                <w:rFonts w:cs="Times New Roman"/>
                <w:b/>
                <w:bCs/>
                <w:color w:val="auto"/>
                <w:szCs w:val="21"/>
              </w:rPr>
              <w:t>4季度</w:t>
            </w:r>
          </w:p>
        </w:tc>
        <w:tc>
          <w:tcPr>
            <w:tcW w:w="162" w:type="pct"/>
            <w:vAlign w:val="center"/>
          </w:tcPr>
          <w:p>
            <w:pPr>
              <w:pStyle w:val="184"/>
              <w:spacing w:line="240" w:lineRule="auto"/>
              <w:jc w:val="center"/>
              <w:rPr>
                <w:rFonts w:cs="Times New Roman"/>
                <w:b/>
                <w:bCs/>
                <w:color w:val="auto"/>
                <w:szCs w:val="21"/>
              </w:rPr>
            </w:pPr>
            <w:r>
              <w:rPr>
                <w:rFonts w:cs="Times New Roman"/>
                <w:b/>
                <w:bCs/>
                <w:color w:val="auto"/>
                <w:szCs w:val="21"/>
              </w:rPr>
              <w:t>1季度</w:t>
            </w:r>
          </w:p>
        </w:tc>
        <w:tc>
          <w:tcPr>
            <w:tcW w:w="162" w:type="pct"/>
            <w:vAlign w:val="center"/>
          </w:tcPr>
          <w:p>
            <w:pPr>
              <w:pStyle w:val="184"/>
              <w:spacing w:line="240" w:lineRule="auto"/>
              <w:jc w:val="center"/>
              <w:rPr>
                <w:rFonts w:cs="Times New Roman"/>
                <w:b/>
                <w:bCs/>
                <w:color w:val="auto"/>
                <w:szCs w:val="21"/>
              </w:rPr>
            </w:pPr>
            <w:r>
              <w:rPr>
                <w:rFonts w:cs="Times New Roman"/>
                <w:b/>
                <w:bCs/>
                <w:color w:val="auto"/>
                <w:szCs w:val="21"/>
              </w:rPr>
              <w:t>2季度</w:t>
            </w:r>
          </w:p>
        </w:tc>
        <w:tc>
          <w:tcPr>
            <w:tcW w:w="162" w:type="pct"/>
            <w:vAlign w:val="center"/>
          </w:tcPr>
          <w:p>
            <w:pPr>
              <w:pStyle w:val="184"/>
              <w:spacing w:line="240" w:lineRule="auto"/>
              <w:jc w:val="center"/>
              <w:rPr>
                <w:rFonts w:cs="Times New Roman"/>
                <w:b/>
                <w:bCs/>
                <w:color w:val="auto"/>
                <w:szCs w:val="21"/>
              </w:rPr>
            </w:pPr>
            <w:r>
              <w:rPr>
                <w:rFonts w:cs="Times New Roman"/>
                <w:b/>
                <w:bCs/>
                <w:color w:val="auto"/>
                <w:szCs w:val="21"/>
              </w:rPr>
              <w:t>3季度</w:t>
            </w:r>
          </w:p>
        </w:tc>
        <w:tc>
          <w:tcPr>
            <w:tcW w:w="162" w:type="pct"/>
            <w:vAlign w:val="center"/>
          </w:tcPr>
          <w:p>
            <w:pPr>
              <w:pStyle w:val="184"/>
              <w:spacing w:line="240" w:lineRule="auto"/>
              <w:jc w:val="center"/>
              <w:rPr>
                <w:rFonts w:cs="Times New Roman"/>
                <w:b/>
                <w:bCs/>
                <w:color w:val="auto"/>
                <w:szCs w:val="21"/>
              </w:rPr>
            </w:pPr>
            <w:r>
              <w:rPr>
                <w:rFonts w:cs="Times New Roman"/>
                <w:b/>
                <w:bCs/>
                <w:color w:val="auto"/>
                <w:szCs w:val="21"/>
              </w:rPr>
              <w:t>4季度</w:t>
            </w:r>
          </w:p>
        </w:tc>
        <w:tc>
          <w:tcPr>
            <w:tcW w:w="162" w:type="pct"/>
            <w:vAlign w:val="center"/>
          </w:tcPr>
          <w:p>
            <w:pPr>
              <w:pStyle w:val="184"/>
              <w:spacing w:line="240" w:lineRule="auto"/>
              <w:jc w:val="center"/>
              <w:rPr>
                <w:rFonts w:cs="Times New Roman"/>
                <w:b/>
                <w:bCs/>
                <w:color w:val="auto"/>
                <w:szCs w:val="21"/>
              </w:rPr>
            </w:pPr>
            <w:r>
              <w:rPr>
                <w:rFonts w:cs="Times New Roman"/>
                <w:b/>
                <w:bCs/>
                <w:color w:val="auto"/>
                <w:szCs w:val="21"/>
              </w:rPr>
              <w:t>1季度</w:t>
            </w:r>
          </w:p>
        </w:tc>
        <w:tc>
          <w:tcPr>
            <w:tcW w:w="162" w:type="pct"/>
            <w:vAlign w:val="center"/>
          </w:tcPr>
          <w:p>
            <w:pPr>
              <w:pStyle w:val="184"/>
              <w:spacing w:line="240" w:lineRule="auto"/>
              <w:jc w:val="center"/>
              <w:rPr>
                <w:rFonts w:cs="Times New Roman"/>
                <w:b/>
                <w:bCs/>
                <w:color w:val="auto"/>
                <w:szCs w:val="21"/>
              </w:rPr>
            </w:pPr>
            <w:r>
              <w:rPr>
                <w:rFonts w:cs="Times New Roman"/>
                <w:b/>
                <w:bCs/>
                <w:color w:val="auto"/>
                <w:szCs w:val="21"/>
              </w:rPr>
              <w:t>2季度</w:t>
            </w:r>
          </w:p>
        </w:tc>
        <w:tc>
          <w:tcPr>
            <w:tcW w:w="162" w:type="pct"/>
            <w:vAlign w:val="center"/>
          </w:tcPr>
          <w:p>
            <w:pPr>
              <w:pStyle w:val="184"/>
              <w:spacing w:line="240" w:lineRule="auto"/>
              <w:jc w:val="center"/>
              <w:rPr>
                <w:rFonts w:cs="Times New Roman"/>
                <w:b/>
                <w:bCs/>
                <w:color w:val="auto"/>
                <w:szCs w:val="21"/>
              </w:rPr>
            </w:pPr>
            <w:r>
              <w:rPr>
                <w:rFonts w:cs="Times New Roman"/>
                <w:b/>
                <w:bCs/>
                <w:color w:val="auto"/>
                <w:szCs w:val="21"/>
              </w:rPr>
              <w:t>3季度</w:t>
            </w:r>
          </w:p>
        </w:tc>
        <w:tc>
          <w:tcPr>
            <w:tcW w:w="162" w:type="pct"/>
            <w:vAlign w:val="center"/>
          </w:tcPr>
          <w:p>
            <w:pPr>
              <w:pStyle w:val="184"/>
              <w:spacing w:line="240" w:lineRule="auto"/>
              <w:jc w:val="center"/>
              <w:rPr>
                <w:rFonts w:cs="Times New Roman"/>
                <w:b/>
                <w:bCs/>
                <w:color w:val="auto"/>
                <w:szCs w:val="21"/>
              </w:rPr>
            </w:pPr>
            <w:r>
              <w:rPr>
                <w:rFonts w:cs="Times New Roman"/>
                <w:b/>
                <w:bCs/>
                <w:color w:val="auto"/>
                <w:szCs w:val="21"/>
              </w:rPr>
              <w:t>4季度</w:t>
            </w:r>
          </w:p>
        </w:tc>
        <w:tc>
          <w:tcPr>
            <w:tcW w:w="162" w:type="pct"/>
            <w:vAlign w:val="center"/>
          </w:tcPr>
          <w:p>
            <w:pPr>
              <w:pStyle w:val="184"/>
              <w:spacing w:line="240" w:lineRule="auto"/>
              <w:jc w:val="center"/>
              <w:rPr>
                <w:rFonts w:cs="Times New Roman"/>
                <w:b/>
                <w:bCs/>
                <w:color w:val="auto"/>
                <w:szCs w:val="21"/>
              </w:rPr>
            </w:pPr>
            <w:r>
              <w:rPr>
                <w:rFonts w:cs="Times New Roman"/>
                <w:b/>
                <w:bCs/>
                <w:color w:val="auto"/>
                <w:szCs w:val="21"/>
              </w:rPr>
              <w:t>1季度</w:t>
            </w:r>
          </w:p>
        </w:tc>
        <w:tc>
          <w:tcPr>
            <w:tcW w:w="162" w:type="pct"/>
            <w:vAlign w:val="center"/>
          </w:tcPr>
          <w:p>
            <w:pPr>
              <w:pStyle w:val="184"/>
              <w:spacing w:line="240" w:lineRule="auto"/>
              <w:jc w:val="center"/>
              <w:rPr>
                <w:rFonts w:cs="Times New Roman"/>
                <w:b/>
                <w:bCs/>
                <w:color w:val="auto"/>
                <w:szCs w:val="21"/>
              </w:rPr>
            </w:pPr>
            <w:r>
              <w:rPr>
                <w:rFonts w:cs="Times New Roman"/>
                <w:b/>
                <w:bCs/>
                <w:color w:val="auto"/>
                <w:szCs w:val="21"/>
              </w:rPr>
              <w:t>2季度</w:t>
            </w:r>
          </w:p>
        </w:tc>
        <w:tc>
          <w:tcPr>
            <w:tcW w:w="162" w:type="pct"/>
            <w:vAlign w:val="center"/>
          </w:tcPr>
          <w:p>
            <w:pPr>
              <w:pStyle w:val="184"/>
              <w:spacing w:line="240" w:lineRule="auto"/>
              <w:jc w:val="center"/>
              <w:rPr>
                <w:rFonts w:cs="Times New Roman"/>
                <w:b/>
                <w:bCs/>
                <w:color w:val="auto"/>
                <w:szCs w:val="21"/>
              </w:rPr>
            </w:pPr>
            <w:r>
              <w:rPr>
                <w:rFonts w:cs="Times New Roman"/>
                <w:b/>
                <w:bCs/>
                <w:color w:val="auto"/>
                <w:szCs w:val="21"/>
              </w:rPr>
              <w:t>3季度</w:t>
            </w:r>
          </w:p>
        </w:tc>
        <w:tc>
          <w:tcPr>
            <w:tcW w:w="162" w:type="pct"/>
            <w:vAlign w:val="center"/>
          </w:tcPr>
          <w:p>
            <w:pPr>
              <w:pStyle w:val="184"/>
              <w:spacing w:line="240" w:lineRule="auto"/>
              <w:jc w:val="center"/>
              <w:rPr>
                <w:rFonts w:cs="Times New Roman"/>
                <w:b/>
                <w:bCs/>
                <w:color w:val="auto"/>
                <w:szCs w:val="21"/>
              </w:rPr>
            </w:pPr>
            <w:r>
              <w:rPr>
                <w:rFonts w:cs="Times New Roman"/>
                <w:b/>
                <w:bCs/>
                <w:color w:val="auto"/>
                <w:szCs w:val="21"/>
              </w:rPr>
              <w:t>4季度</w:t>
            </w:r>
          </w:p>
        </w:tc>
        <w:tc>
          <w:tcPr>
            <w:tcW w:w="162" w:type="pct"/>
            <w:vAlign w:val="center"/>
          </w:tcPr>
          <w:p>
            <w:pPr>
              <w:pStyle w:val="184"/>
              <w:spacing w:line="240" w:lineRule="auto"/>
              <w:jc w:val="center"/>
              <w:rPr>
                <w:rFonts w:cs="Times New Roman"/>
                <w:b/>
                <w:bCs/>
                <w:color w:val="auto"/>
                <w:szCs w:val="21"/>
              </w:rPr>
            </w:pPr>
            <w:r>
              <w:rPr>
                <w:rFonts w:cs="Times New Roman"/>
                <w:b/>
                <w:bCs/>
                <w:color w:val="auto"/>
                <w:szCs w:val="21"/>
              </w:rPr>
              <w:t>1季度</w:t>
            </w:r>
          </w:p>
        </w:tc>
        <w:tc>
          <w:tcPr>
            <w:tcW w:w="162" w:type="pct"/>
            <w:vAlign w:val="center"/>
          </w:tcPr>
          <w:p>
            <w:pPr>
              <w:pStyle w:val="184"/>
              <w:spacing w:line="240" w:lineRule="auto"/>
              <w:jc w:val="center"/>
              <w:rPr>
                <w:rFonts w:cs="Times New Roman"/>
                <w:b/>
                <w:bCs/>
                <w:color w:val="auto"/>
                <w:szCs w:val="21"/>
              </w:rPr>
            </w:pPr>
            <w:r>
              <w:rPr>
                <w:rFonts w:cs="Times New Roman"/>
                <w:b/>
                <w:bCs/>
                <w:color w:val="auto"/>
                <w:szCs w:val="21"/>
              </w:rPr>
              <w:t>2季度</w:t>
            </w:r>
          </w:p>
        </w:tc>
        <w:tc>
          <w:tcPr>
            <w:tcW w:w="162" w:type="pct"/>
            <w:vAlign w:val="center"/>
          </w:tcPr>
          <w:p>
            <w:pPr>
              <w:pStyle w:val="184"/>
              <w:spacing w:line="240" w:lineRule="auto"/>
              <w:jc w:val="center"/>
              <w:rPr>
                <w:rFonts w:cs="Times New Roman"/>
                <w:b/>
                <w:bCs/>
                <w:color w:val="auto"/>
                <w:szCs w:val="21"/>
              </w:rPr>
            </w:pPr>
            <w:r>
              <w:rPr>
                <w:rFonts w:cs="Times New Roman"/>
                <w:b/>
                <w:bCs/>
                <w:color w:val="auto"/>
                <w:szCs w:val="21"/>
              </w:rPr>
              <w:t>3季度</w:t>
            </w:r>
          </w:p>
        </w:tc>
        <w:tc>
          <w:tcPr>
            <w:tcW w:w="164" w:type="pct"/>
            <w:vAlign w:val="center"/>
          </w:tcPr>
          <w:p>
            <w:pPr>
              <w:pStyle w:val="184"/>
              <w:spacing w:line="240" w:lineRule="auto"/>
              <w:jc w:val="center"/>
              <w:rPr>
                <w:rFonts w:cs="Times New Roman"/>
                <w:b/>
                <w:bCs/>
                <w:color w:val="auto"/>
                <w:szCs w:val="21"/>
              </w:rPr>
            </w:pPr>
            <w:r>
              <w:rPr>
                <w:rFonts w:cs="Times New Roman"/>
                <w:b/>
                <w:bCs/>
                <w:color w:val="auto"/>
                <w:szCs w:val="21"/>
              </w:rPr>
              <w:t>4季度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restart"/>
            <w:vAlign w:val="center"/>
          </w:tcPr>
          <w:p>
            <w:pPr>
              <w:pStyle w:val="184"/>
              <w:spacing w:beforeLines="10" w:afterLines="10" w:line="240" w:lineRule="auto"/>
              <w:jc w:val="center"/>
              <w:rPr>
                <w:rFonts w:cs="Times New Roman"/>
                <w:color w:val="auto"/>
                <w:szCs w:val="21"/>
              </w:rPr>
            </w:pPr>
            <w:r>
              <w:rPr>
                <w:rFonts w:cs="Times New Roman"/>
                <w:color w:val="auto"/>
                <w:szCs w:val="21"/>
              </w:rPr>
              <w:t>公共基础设施区</w:t>
            </w:r>
          </w:p>
        </w:tc>
        <w:tc>
          <w:tcPr>
            <w:tcW w:w="246" w:type="pct"/>
            <w:vMerge w:val="restart"/>
            <w:vAlign w:val="center"/>
          </w:tcPr>
          <w:p>
            <w:pPr>
              <w:pStyle w:val="184"/>
              <w:spacing w:beforeLines="10" w:afterLines="10" w:line="240" w:lineRule="auto"/>
              <w:jc w:val="center"/>
              <w:rPr>
                <w:rFonts w:cs="Times New Roman"/>
                <w:color w:val="auto"/>
                <w:szCs w:val="21"/>
              </w:rPr>
            </w:pPr>
            <w:r>
              <w:rPr>
                <w:rFonts w:cs="Times New Roman"/>
                <w:color w:val="auto"/>
                <w:szCs w:val="21"/>
              </w:rPr>
              <w:t>道路与交通设施用地区</w:t>
            </w:r>
          </w:p>
        </w:tc>
        <w:tc>
          <w:tcPr>
            <w:tcW w:w="992" w:type="pct"/>
            <w:gridSpan w:val="2"/>
            <w:vAlign w:val="center"/>
          </w:tcPr>
          <w:p>
            <w:pPr>
              <w:pStyle w:val="184"/>
              <w:spacing w:beforeLines="15" w:afterLines="15" w:line="240" w:lineRule="auto"/>
              <w:jc w:val="center"/>
              <w:rPr>
                <w:rFonts w:cs="Times New Roman"/>
                <w:color w:val="auto"/>
                <w:szCs w:val="21"/>
              </w:rPr>
            </w:pPr>
            <w:r>
              <w:rPr>
                <w:rFonts w:cs="Times New Roman"/>
                <w:color w:val="auto"/>
                <w:szCs w:val="21"/>
              </w:rPr>
              <w:t>主体工程</w: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r>
              <w:rPr>
                <w:rFonts w:cs="Times New Roman"/>
                <w:color w:val="auto"/>
                <w:szCs w:val="21"/>
              </w:rPr>
              <w:pict>
                <v:shape id="_x0000_s2057" o:spid="_x0000_s2057" o:spt="32" type="#_x0000_t32" style="position:absolute;left:0pt;margin-left:-3.9pt;margin-top:10pt;height:1.15pt;width:349.6pt;z-index:251672576;mso-width-relative:page;mso-height-relative:page;" filled="f" coordsize="21600,21600">
                  <v:path arrowok="t"/>
                  <v:fill on="f" focussize="0,0"/>
                  <v:stroke weight="2pt"/>
                  <v:imagedata o:title=""/>
                  <o:lock v:ext="edit"/>
                </v:shape>
              </w:pic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4" w:type="pct"/>
            <w:vAlign w:val="center"/>
          </w:tcPr>
          <w:p>
            <w:pPr>
              <w:pStyle w:val="184"/>
              <w:spacing w:beforeLines="10" w:afterLines="10"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restart"/>
            <w:vAlign w:val="center"/>
          </w:tcPr>
          <w:p>
            <w:pPr>
              <w:pStyle w:val="184"/>
              <w:spacing w:beforeLines="15" w:afterLines="15" w:line="240" w:lineRule="auto"/>
              <w:jc w:val="center"/>
              <w:rPr>
                <w:rFonts w:cs="Times New Roman"/>
                <w:color w:val="auto"/>
                <w:szCs w:val="21"/>
              </w:rPr>
            </w:pPr>
            <w:r>
              <w:rPr>
                <w:rFonts w:cs="Times New Roman"/>
                <w:color w:val="auto"/>
                <w:szCs w:val="21"/>
              </w:rPr>
              <w:t>水土保持工程</w:t>
            </w:r>
          </w:p>
        </w:tc>
        <w:tc>
          <w:tcPr>
            <w:tcW w:w="680" w:type="pct"/>
            <w:vAlign w:val="center"/>
          </w:tcPr>
          <w:p>
            <w:pPr>
              <w:widowControl/>
              <w:spacing w:beforeLines="15" w:afterLines="15"/>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表土剥离</w: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r>
              <w:rPr>
                <w:rFonts w:cs="Times New Roman"/>
                <w:color w:val="auto"/>
                <w:szCs w:val="21"/>
              </w:rPr>
              <w:pict>
                <v:line id="_x0000_s2058" o:spid="_x0000_s2058" o:spt="20" style="position:absolute;left:0pt;flip:y;margin-left:-5.25pt;margin-top:8.1pt;height:0.05pt;width:128.45pt;z-index:251668480;mso-width-relative:page;mso-height-relative:page;" coordsize="21600,21600" o:gfxdata="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5qx6C1wAAAAgBAAAPAAAAAAAAAAEAIAAAACIAAABkcnMvZG93&#10;bnJldi54bWxQSwECFAAUAAAACACHTuJA75LV3AECAADzAwAADgAAAAAAAAABACAAAAAmAQAAZHJz&#10;L2Uyb0RvYy54bWxQSwUGAAAAAAYABgBZAQAAmQUAAAAA&#10;">
                  <v:path arrowok="t"/>
                  <v:fill focussize="0,0"/>
                  <v:stroke weight="2pt" dashstyle="dash"/>
                  <v:imagedata o:title=""/>
                  <o:lock v:ext="edit"/>
                </v:line>
              </w:pic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4" w:type="pct"/>
            <w:vAlign w:val="center"/>
          </w:tcPr>
          <w:p>
            <w:pPr>
              <w:pStyle w:val="184"/>
              <w:spacing w:beforeLines="10" w:afterLines="10"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5" w:afterLines="15" w:line="240" w:lineRule="auto"/>
              <w:jc w:val="center"/>
              <w:rPr>
                <w:rFonts w:cs="Times New Roman"/>
                <w:color w:val="auto"/>
                <w:szCs w:val="21"/>
              </w:rPr>
            </w:pPr>
          </w:p>
        </w:tc>
        <w:tc>
          <w:tcPr>
            <w:tcW w:w="680" w:type="pct"/>
            <w:vAlign w:val="center"/>
          </w:tcPr>
          <w:p>
            <w:pPr>
              <w:widowControl/>
              <w:spacing w:beforeLines="15" w:afterLines="15"/>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表土回填</w: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r>
              <w:rPr>
                <w:rFonts w:cs="Times New Roman"/>
                <w:color w:val="auto"/>
                <w:szCs w:val="21"/>
              </w:rPr>
              <w:pict>
                <v:line id="_x0000_s2059" o:spid="_x0000_s2059" o:spt="20" style="position:absolute;left:0pt;flip:y;margin-left:-4.55pt;margin-top:8.9pt;height:0.85pt;width:93.4pt;z-index:251675648;mso-width-relative:page;mso-height-relative:page;" coordsize="21600,21600">
                  <v:path arrowok="t"/>
                  <v:fill focussize="0,0"/>
                  <v:stroke weight="2pt" dashstyle="dash"/>
                  <v:imagedata o:title=""/>
                  <o:lock v:ext="edit"/>
                </v:line>
              </w:pic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4" w:type="pct"/>
            <w:vAlign w:val="center"/>
          </w:tcPr>
          <w:p>
            <w:pPr>
              <w:pStyle w:val="184"/>
              <w:spacing w:beforeLines="10" w:afterLines="10"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5" w:afterLines="15" w:line="240" w:lineRule="auto"/>
              <w:jc w:val="center"/>
              <w:rPr>
                <w:rFonts w:cs="Times New Roman"/>
                <w:color w:val="auto"/>
                <w:szCs w:val="21"/>
              </w:rPr>
            </w:pPr>
          </w:p>
        </w:tc>
        <w:tc>
          <w:tcPr>
            <w:tcW w:w="680" w:type="pct"/>
            <w:vAlign w:val="center"/>
          </w:tcPr>
          <w:p>
            <w:pPr>
              <w:widowControl/>
              <w:spacing w:beforeLines="15" w:afterLines="15"/>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雨水管</w:t>
            </w:r>
          </w:p>
        </w:tc>
        <w:tc>
          <w:tcPr>
            <w:tcW w:w="162" w:type="pct"/>
            <w:vAlign w:val="center"/>
          </w:tcPr>
          <w:p>
            <w:pPr>
              <w:pStyle w:val="184"/>
              <w:spacing w:beforeLines="10" w:afterLines="10" w:line="240" w:lineRule="auto"/>
              <w:jc w:val="center"/>
              <w:rPr>
                <w:rFonts w:cs="Times New Roman"/>
                <w:color w:val="auto"/>
                <w:szCs w:val="21"/>
              </w:rPr>
            </w:pPr>
            <w:r>
              <w:rPr>
                <w:rFonts w:cs="Times New Roman"/>
                <w:color w:val="auto"/>
                <w:szCs w:val="21"/>
              </w:rPr>
              <w:pict>
                <v:line id="_x0000_s2060" o:spid="_x0000_s2060" o:spt="20" style="position:absolute;left:0pt;margin-left:-2.3pt;margin-top:9.95pt;height:0.7pt;width:39.1pt;z-index:251724800;mso-width-relative:page;mso-height-relative:page;" filled="f" stroked="t" coordsize="21600,21600">
                  <v:path arrowok="t"/>
                  <v:fill on="f" focussize="0,0"/>
                  <v:stroke weight="2pt" color="#000000" dashstyle="dash"/>
                  <v:imagedata o:title=""/>
                  <o:lock v:ext="edit" aspectratio="f"/>
                </v:line>
              </w:pic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r>
              <w:rPr>
                <w:rFonts w:cs="Times New Roman"/>
                <w:color w:val="auto"/>
                <w:szCs w:val="21"/>
              </w:rPr>
              <w:pict>
                <v:line id="_x0000_s2061" o:spid="_x0000_s2061" o:spt="20" style="position:absolute;left:0pt;margin-left:-4.05pt;margin-top:8.95pt;height:0.05pt;width:98.45pt;z-index:251684864;mso-width-relative:page;mso-height-relative:page;" coordsize="21600,21600">
                  <v:path arrowok="t"/>
                  <v:fill focussize="0,0"/>
                  <v:stroke weight="2pt" dashstyle="dash"/>
                  <v:imagedata o:title=""/>
                  <o:lock v:ext="edit"/>
                </v:line>
              </w:pic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4" w:type="pct"/>
            <w:vAlign w:val="center"/>
          </w:tcPr>
          <w:p>
            <w:pPr>
              <w:pStyle w:val="184"/>
              <w:spacing w:beforeLines="10" w:afterLines="10"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5" w:afterLines="15" w:line="240" w:lineRule="auto"/>
              <w:jc w:val="center"/>
              <w:rPr>
                <w:rFonts w:cs="Times New Roman"/>
                <w:color w:val="auto"/>
                <w:szCs w:val="21"/>
              </w:rPr>
            </w:pPr>
          </w:p>
        </w:tc>
        <w:tc>
          <w:tcPr>
            <w:tcW w:w="680" w:type="pct"/>
            <w:vAlign w:val="center"/>
          </w:tcPr>
          <w:p>
            <w:pPr>
              <w:widowControl/>
              <w:spacing w:beforeLines="15" w:afterLines="15"/>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雨水口</w:t>
            </w:r>
          </w:p>
        </w:tc>
        <w:tc>
          <w:tcPr>
            <w:tcW w:w="162" w:type="pct"/>
            <w:vAlign w:val="center"/>
          </w:tcPr>
          <w:p>
            <w:pPr>
              <w:pStyle w:val="184"/>
              <w:spacing w:beforeLines="10" w:afterLines="10" w:line="240" w:lineRule="auto"/>
              <w:jc w:val="center"/>
              <w:rPr>
                <w:rFonts w:cs="Times New Roman"/>
                <w:color w:val="auto"/>
                <w:szCs w:val="21"/>
              </w:rPr>
            </w:pPr>
            <w:r>
              <w:rPr>
                <w:rFonts w:cs="Times New Roman"/>
                <w:color w:val="auto"/>
                <w:szCs w:val="21"/>
              </w:rPr>
              <w:pict>
                <v:line id="_x0000_s2062" o:spid="_x0000_s2062" o:spt="20" style="position:absolute;left:0pt;margin-left:-2.3pt;margin-top:9.95pt;height:0.7pt;width:39.1pt;z-index:251725824;mso-width-relative:page;mso-height-relative:page;" filled="f" stroked="t" coordsize="21600,21600">
                  <v:path arrowok="t"/>
                  <v:fill on="f" focussize="0,0"/>
                  <v:stroke weight="2pt" color="#000000" dashstyle="dash"/>
                  <v:imagedata o:title=""/>
                  <o:lock v:ext="edit" aspectratio="f"/>
                </v:line>
              </w:pic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r>
              <w:rPr>
                <w:rFonts w:cs="Times New Roman"/>
                <w:color w:val="auto"/>
                <w:szCs w:val="21"/>
              </w:rPr>
              <w:pict>
                <v:line id="_x0000_s2063" o:spid="_x0000_s2063" o:spt="20" style="position:absolute;left:0pt;flip:y;margin-left:-5.2pt;margin-top:7.8pt;height:1.15pt;width:99.6pt;z-index:251694080;mso-width-relative:page;mso-height-relative:page;" coordsize="21600,21600" o:gfxdata="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5qx6C1wAAAAgBAAAPAAAAAAAAAAEAIAAAACIAAABkcnMvZG93&#10;bnJldi54bWxQSwECFAAUAAAACACHTuJA75LV3AECAADzAwAADgAAAAAAAAABACAAAAAmAQAAZHJz&#10;L2Uyb0RvYy54bWxQSwUGAAAAAAYABgBZAQAAmQUAAAAA&#10;">
                  <v:path arrowok="t"/>
                  <v:fill focussize="0,0"/>
                  <v:stroke weight="2pt" dashstyle="dash"/>
                  <v:imagedata o:title=""/>
                  <o:lock v:ext="edit"/>
                </v:line>
              </w:pic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4" w:type="pct"/>
            <w:vAlign w:val="center"/>
          </w:tcPr>
          <w:p>
            <w:pPr>
              <w:pStyle w:val="184"/>
              <w:spacing w:beforeLines="10" w:afterLines="10"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5" w:afterLines="15" w:line="240" w:lineRule="auto"/>
              <w:jc w:val="center"/>
              <w:rPr>
                <w:rFonts w:cs="Times New Roman"/>
                <w:color w:val="auto"/>
                <w:szCs w:val="21"/>
              </w:rPr>
            </w:pPr>
          </w:p>
        </w:tc>
        <w:tc>
          <w:tcPr>
            <w:tcW w:w="680" w:type="pct"/>
            <w:vAlign w:val="center"/>
          </w:tcPr>
          <w:p>
            <w:pPr>
              <w:widowControl/>
              <w:spacing w:beforeLines="15" w:afterLines="15"/>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雨水井</w:t>
            </w:r>
          </w:p>
        </w:tc>
        <w:tc>
          <w:tcPr>
            <w:tcW w:w="162" w:type="pct"/>
            <w:vAlign w:val="center"/>
          </w:tcPr>
          <w:p>
            <w:pPr>
              <w:pStyle w:val="184"/>
              <w:spacing w:beforeLines="10" w:afterLines="10" w:line="240" w:lineRule="auto"/>
              <w:jc w:val="center"/>
              <w:rPr>
                <w:rFonts w:cs="Times New Roman"/>
                <w:color w:val="auto"/>
                <w:szCs w:val="21"/>
              </w:rPr>
            </w:pPr>
            <w:r>
              <w:rPr>
                <w:rFonts w:cs="Times New Roman"/>
                <w:color w:val="auto"/>
                <w:szCs w:val="21"/>
              </w:rPr>
              <w:pict>
                <v:line id="_x0000_s2064" o:spid="_x0000_s2064" o:spt="20" style="position:absolute;left:0pt;margin-left:-2.3pt;margin-top:9.95pt;height:0.7pt;width:39.1pt;z-index:251726848;mso-width-relative:page;mso-height-relative:page;" filled="f" stroked="t" coordsize="21600,21600">
                  <v:path arrowok="t"/>
                  <v:fill on="f" focussize="0,0"/>
                  <v:stroke weight="2pt" color="#000000" dashstyle="dash"/>
                  <v:imagedata o:title=""/>
                  <o:lock v:ext="edit" aspectratio="f"/>
                </v:line>
              </w:pic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r>
              <w:rPr>
                <w:rFonts w:cs="Times New Roman"/>
                <w:color w:val="auto"/>
                <w:szCs w:val="21"/>
              </w:rPr>
              <w:pict>
                <v:line id="_x0000_s2065" o:spid="_x0000_s2065" o:spt="20" style="position:absolute;left:0pt;flip:y;margin-left:-4.05pt;margin-top:9pt;height:0.55pt;width:99.6pt;z-index:251695104;mso-width-relative:page;mso-height-relative:page;" coordsize="21600,21600" o:gfxdata="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5qx6C1wAAAAgBAAAPAAAAAAAAAAEAIAAAACIAAABkcnMvZG93&#10;bnJldi54bWxQSwECFAAUAAAACACHTuJA75LV3AECAADzAwAADgAAAAAAAAABACAAAAAmAQAAZHJz&#10;L2Uyb0RvYy54bWxQSwUGAAAAAAYABgBZAQAAmQUAAAAA&#10;">
                  <v:path arrowok="t"/>
                  <v:fill focussize="0,0"/>
                  <v:stroke weight="2pt" dashstyle="dash"/>
                  <v:imagedata o:title=""/>
                  <o:lock v:ext="edit"/>
                </v:line>
              </w:pic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4" w:type="pct"/>
            <w:vAlign w:val="center"/>
          </w:tcPr>
          <w:p>
            <w:pPr>
              <w:pStyle w:val="184"/>
              <w:spacing w:beforeLines="10" w:afterLines="10"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5" w:afterLines="15" w:line="240" w:lineRule="auto"/>
              <w:jc w:val="center"/>
              <w:rPr>
                <w:rFonts w:cs="Times New Roman"/>
                <w:color w:val="auto"/>
                <w:szCs w:val="21"/>
              </w:rPr>
            </w:pPr>
          </w:p>
        </w:tc>
        <w:tc>
          <w:tcPr>
            <w:tcW w:w="680" w:type="pct"/>
            <w:vAlign w:val="center"/>
          </w:tcPr>
          <w:p>
            <w:pPr>
              <w:widowControl/>
              <w:spacing w:beforeLines="15" w:afterLines="15"/>
              <w:jc w:val="center"/>
              <w:textAlignment w:val="center"/>
              <w:rPr>
                <w:rFonts w:hint="eastAsia" w:ascii="Times New Roman" w:hAnsi="Times New Roman" w:eastAsia="仿宋_GB2312" w:cs="Times New Roman"/>
                <w:color w:val="auto"/>
                <w:kern w:val="0"/>
                <w:sz w:val="21"/>
                <w:szCs w:val="21"/>
                <w:lang w:eastAsia="zh-CN"/>
              </w:rPr>
            </w:pPr>
            <w:r>
              <w:rPr>
                <w:rFonts w:hint="eastAsia" w:ascii="Times New Roman" w:hAnsi="Times New Roman" w:eastAsia="仿宋_GB2312" w:cs="Times New Roman"/>
                <w:color w:val="auto"/>
                <w:kern w:val="0"/>
                <w:sz w:val="21"/>
                <w:szCs w:val="21"/>
                <w:lang w:eastAsia="zh-CN"/>
              </w:rPr>
              <w:t>雨水箱涵</w:t>
            </w:r>
          </w:p>
        </w:tc>
        <w:tc>
          <w:tcPr>
            <w:tcW w:w="162" w:type="pct"/>
            <w:vAlign w:val="center"/>
          </w:tcPr>
          <w:p>
            <w:pPr>
              <w:pStyle w:val="184"/>
              <w:spacing w:beforeLines="10" w:afterLines="10" w:line="240" w:lineRule="auto"/>
              <w:jc w:val="center"/>
              <w:rPr>
                <w:rFonts w:cs="Times New Roman"/>
                <w:color w:val="auto"/>
                <w:szCs w:val="21"/>
              </w:rPr>
            </w:pPr>
            <w:r>
              <w:rPr>
                <w:rFonts w:cs="Times New Roman"/>
                <w:color w:val="auto"/>
                <w:szCs w:val="21"/>
              </w:rPr>
              <w:pict>
                <v:line id="_x0000_s2066" o:spid="_x0000_s2066" o:spt="20" style="position:absolute;left:0pt;margin-left:-2.3pt;margin-top:9.95pt;height:0.7pt;width:39.1pt;z-index:251727872;mso-width-relative:page;mso-height-relative:page;" filled="f" stroked="t" coordsize="21600,21600">
                  <v:path arrowok="t"/>
                  <v:fill on="f" focussize="0,0"/>
                  <v:stroke weight="2pt" color="#000000" dashstyle="dash"/>
                  <v:imagedata o:title=""/>
                  <o:lock v:ext="edit" aspectratio="f"/>
                </v:line>
              </w:pic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4" w:type="pct"/>
            <w:vAlign w:val="center"/>
          </w:tcPr>
          <w:p>
            <w:pPr>
              <w:pStyle w:val="184"/>
              <w:spacing w:beforeLines="10" w:afterLines="10"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5" w:afterLines="15" w:line="240" w:lineRule="auto"/>
              <w:jc w:val="center"/>
              <w:rPr>
                <w:rFonts w:cs="Times New Roman"/>
                <w:color w:val="auto"/>
                <w:szCs w:val="21"/>
              </w:rPr>
            </w:pPr>
          </w:p>
        </w:tc>
        <w:tc>
          <w:tcPr>
            <w:tcW w:w="680" w:type="pct"/>
            <w:vAlign w:val="center"/>
          </w:tcPr>
          <w:p>
            <w:pPr>
              <w:widowControl/>
              <w:spacing w:beforeLines="15" w:afterLines="15"/>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透水铺装</w:t>
            </w:r>
          </w:p>
        </w:tc>
        <w:tc>
          <w:tcPr>
            <w:tcW w:w="162" w:type="pct"/>
            <w:vAlign w:val="center"/>
          </w:tcPr>
          <w:p>
            <w:pPr>
              <w:pStyle w:val="184"/>
              <w:spacing w:beforeLines="10" w:afterLines="10" w:line="240" w:lineRule="auto"/>
              <w:jc w:val="center"/>
              <w:rPr>
                <w:rFonts w:cs="Times New Roman"/>
                <w:color w:val="auto"/>
                <w:szCs w:val="21"/>
              </w:rPr>
            </w:pPr>
            <w:r>
              <w:rPr>
                <w:rFonts w:cs="Times New Roman"/>
                <w:color w:val="auto"/>
                <w:szCs w:val="21"/>
              </w:rPr>
              <w:pict>
                <v:line id="_x0000_s2067" o:spid="_x0000_s2067" o:spt="20" style="position:absolute;left:0pt;margin-left:-2.3pt;margin-top:9.95pt;height:0.7pt;width:39.1pt;z-index:251728896;mso-width-relative:page;mso-height-relative:page;" filled="f" stroked="t" coordsize="21600,21600">
                  <v:path arrowok="t"/>
                  <v:fill on="f" focussize="0,0"/>
                  <v:stroke weight="2pt" color="#000000" dashstyle="dash"/>
                  <v:imagedata o:title=""/>
                  <o:lock v:ext="edit" aspectratio="f"/>
                </v:line>
              </w:pic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r>
              <w:rPr>
                <w:rFonts w:cs="Times New Roman"/>
                <w:color w:val="auto"/>
                <w:szCs w:val="21"/>
              </w:rPr>
              <w:pict>
                <v:line id="_x0000_s2068" o:spid="_x0000_s2068" o:spt="20" style="position:absolute;left:0pt;flip:y;margin-left:20.1pt;margin-top:8.05pt;height:0.55pt;width:50.6pt;z-index:251685888;mso-width-relative:page;mso-height-relative:page;" coordsize="21600,21600" o:gfxdata="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5qx6C1wAAAAgBAAAPAAAAAAAAAAEAIAAAACIAAABkcnMvZG93&#10;bnJldi54bWxQSwECFAAUAAAACACHTuJA75LV3AECAADzAwAADgAAAAAAAAABACAAAAAmAQAAZHJz&#10;L2Uyb0RvYy54bWxQSwUGAAAAAAYABgBZAQAAmQUAAAAA&#10;">
                  <v:path arrowok="t"/>
                  <v:fill focussize="0,0"/>
                  <v:stroke weight="2pt" dashstyle="dash"/>
                  <v:imagedata o:title=""/>
                  <o:lock v:ext="edit"/>
                </v:line>
              </w:pic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4" w:type="pct"/>
            <w:vAlign w:val="center"/>
          </w:tcPr>
          <w:p>
            <w:pPr>
              <w:pStyle w:val="184"/>
              <w:spacing w:beforeLines="10" w:afterLines="10"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5" w:afterLines="15" w:line="240" w:lineRule="auto"/>
              <w:jc w:val="center"/>
              <w:rPr>
                <w:rFonts w:cs="Times New Roman"/>
                <w:color w:val="auto"/>
                <w:szCs w:val="21"/>
              </w:rPr>
            </w:pPr>
          </w:p>
        </w:tc>
        <w:tc>
          <w:tcPr>
            <w:tcW w:w="680" w:type="pct"/>
            <w:vAlign w:val="center"/>
          </w:tcPr>
          <w:p>
            <w:pPr>
              <w:widowControl/>
              <w:spacing w:beforeLines="15" w:afterLines="15"/>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铺植草皮护坡</w: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r>
              <w:rPr>
                <w:rFonts w:cs="Times New Roman"/>
                <w:color w:val="auto"/>
                <w:szCs w:val="21"/>
              </w:rPr>
              <w:pict>
                <v:line id="_x0000_s2069" o:spid="_x0000_s2069" o:spt="20" style="position:absolute;left:0pt;flip:y;margin-left:19.45pt;margin-top:7.9pt;height:1.1pt;width:101.4pt;z-index:251686912;mso-width-relative:page;mso-height-relative:page;" coordsize="21600,21600" o:gfxdata="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5qx6C1wAAAAgBAAAPAAAAAAAAAAEAIAAAACIAAABkcnMvZG93&#10;bnJldi54bWxQSwECFAAUAAAACACHTuJA75LV3AECAADzAwAADgAAAAAAAAABACAAAAAmAQAAZHJz&#10;L2Uyb0RvYy54bWxQSwUGAAAAAAYABgBZAQAAmQUAAAAA&#10;">
                  <v:path arrowok="t"/>
                  <v:fill focussize="0,0"/>
                  <v:stroke weight="2pt" dashstyle="dash"/>
                  <v:imagedata o:title=""/>
                  <o:lock v:ext="edit"/>
                </v:line>
              </w:pic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4" w:type="pct"/>
            <w:vAlign w:val="center"/>
          </w:tcPr>
          <w:p>
            <w:pPr>
              <w:pStyle w:val="184"/>
              <w:spacing w:beforeLines="10" w:afterLines="10"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5" w:afterLines="15" w:line="240" w:lineRule="auto"/>
              <w:jc w:val="center"/>
              <w:rPr>
                <w:rFonts w:cs="Times New Roman"/>
                <w:color w:val="auto"/>
                <w:szCs w:val="21"/>
              </w:rPr>
            </w:pPr>
          </w:p>
        </w:tc>
        <w:tc>
          <w:tcPr>
            <w:tcW w:w="680" w:type="pct"/>
            <w:vAlign w:val="center"/>
          </w:tcPr>
          <w:p>
            <w:pPr>
              <w:widowControl/>
              <w:spacing w:beforeLines="15" w:afterLines="15"/>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道路绿化</w:t>
            </w:r>
          </w:p>
        </w:tc>
        <w:tc>
          <w:tcPr>
            <w:tcW w:w="162" w:type="pct"/>
            <w:vAlign w:val="center"/>
          </w:tcPr>
          <w:p>
            <w:pPr>
              <w:pStyle w:val="184"/>
              <w:spacing w:beforeLines="10" w:afterLines="10" w:line="240" w:lineRule="auto"/>
              <w:jc w:val="center"/>
              <w:rPr>
                <w:rFonts w:cs="Times New Roman"/>
                <w:color w:val="auto"/>
                <w:szCs w:val="21"/>
              </w:rPr>
            </w:pPr>
            <w:r>
              <w:rPr>
                <w:rFonts w:cs="Times New Roman"/>
                <w:color w:val="auto"/>
                <w:szCs w:val="21"/>
              </w:rPr>
              <w:pict>
                <v:line id="_x0000_s2070" o:spid="_x0000_s2070" o:spt="20" style="position:absolute;left:0pt;margin-left:7.1pt;margin-top:10.55pt;height:0.7pt;width:39.1pt;z-index:251729920;mso-width-relative:page;mso-height-relative:page;" filled="f" stroked="t" coordsize="21600,21600">
                  <v:path arrowok="t"/>
                  <v:fill on="f" focussize="0,0"/>
                  <v:stroke weight="2pt" color="#000000" dashstyle="dash"/>
                  <v:imagedata o:title=""/>
                  <o:lock v:ext="edit" aspectratio="f"/>
                </v:line>
              </w:pic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r>
              <w:rPr>
                <w:rFonts w:cs="Times New Roman"/>
                <w:color w:val="auto"/>
                <w:szCs w:val="21"/>
              </w:rPr>
              <w:pict>
                <v:line id="_x0000_s2071" o:spid="_x0000_s2071" o:spt="20" style="position:absolute;left:0pt;flip:y;margin-left:-2.6pt;margin-top:9.15pt;height:1.15pt;width:97.35pt;z-index:251687936;mso-width-relative:page;mso-height-relative:page;" coordsize="21600,21600" o:gfxdata="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5qx6C1wAAAAgBAAAPAAAAAAAAAAEAIAAAACIAAABkcnMvZG93&#10;bnJldi54bWxQSwECFAAUAAAACACHTuJA75LV3AECAADzAwAADgAAAAAAAAABACAAAAAmAQAAZHJz&#10;L2Uyb0RvYy54bWxQSwUGAAAAAAYABgBZAQAAmQUAAAAA&#10;">
                  <v:path arrowok="t"/>
                  <v:fill focussize="0,0"/>
                  <v:stroke weight="2pt" dashstyle="dash"/>
                  <v:imagedata o:title=""/>
                  <o:lock v:ext="edit"/>
                </v:line>
              </w:pic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4" w:type="pct"/>
            <w:vAlign w:val="center"/>
          </w:tcPr>
          <w:p>
            <w:pPr>
              <w:pStyle w:val="184"/>
              <w:spacing w:beforeLines="10" w:afterLines="10"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5" w:afterLines="15" w:line="240" w:lineRule="auto"/>
              <w:jc w:val="center"/>
              <w:rPr>
                <w:rFonts w:cs="Times New Roman"/>
                <w:color w:val="auto"/>
                <w:szCs w:val="21"/>
              </w:rPr>
            </w:pPr>
          </w:p>
        </w:tc>
        <w:tc>
          <w:tcPr>
            <w:tcW w:w="680" w:type="pct"/>
            <w:vAlign w:val="center"/>
          </w:tcPr>
          <w:p>
            <w:pPr>
              <w:widowControl/>
              <w:spacing w:beforeLines="15" w:afterLines="15"/>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基坑排水沟</w: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r>
              <w:rPr>
                <w:rFonts w:cs="Times New Roman"/>
                <w:color w:val="auto"/>
                <w:szCs w:val="21"/>
              </w:rPr>
              <w:pict>
                <v:line id="_x0000_s2072" o:spid="_x0000_s2072" o:spt="20" style="position:absolute;left:0pt;flip:y;margin-left:-4.2pt;margin-top:9.3pt;height:0.55pt;width:50.6pt;z-index:251688960;mso-width-relative:page;mso-height-relative:page;" coordsize="21600,21600" o:gfxdata="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5qx6C1wAAAAgBAAAPAAAAAAAAAAEAIAAAACIAAABkcnMvZG93&#10;bnJldi54bWxQSwECFAAUAAAACACHTuJA75LV3AECAADzAwAADgAAAAAAAAABACAAAAAmAQAAZHJz&#10;L2Uyb0RvYy54bWxQSwUGAAAAAAYABgBZAQAAmQUAAAAA&#10;">
                  <v:path arrowok="t"/>
                  <v:fill focussize="0,0"/>
                  <v:stroke weight="2pt" dashstyle="dash"/>
                  <v:imagedata o:title=""/>
                  <o:lock v:ext="edit"/>
                </v:line>
              </w:pic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4" w:type="pct"/>
            <w:vAlign w:val="center"/>
          </w:tcPr>
          <w:p>
            <w:pPr>
              <w:pStyle w:val="184"/>
              <w:spacing w:beforeLines="10" w:afterLines="10"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5" w:afterLines="15" w:line="240" w:lineRule="auto"/>
              <w:jc w:val="center"/>
              <w:rPr>
                <w:rFonts w:cs="Times New Roman"/>
                <w:color w:val="auto"/>
                <w:szCs w:val="21"/>
              </w:rPr>
            </w:pPr>
          </w:p>
        </w:tc>
        <w:tc>
          <w:tcPr>
            <w:tcW w:w="680" w:type="pct"/>
            <w:vAlign w:val="center"/>
          </w:tcPr>
          <w:p>
            <w:pPr>
              <w:widowControl/>
              <w:spacing w:beforeLines="15" w:afterLines="15"/>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基坑沉沙池</w: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r>
              <w:rPr>
                <w:rFonts w:cs="Times New Roman"/>
                <w:color w:val="auto"/>
                <w:szCs w:val="21"/>
              </w:rPr>
              <w:pict>
                <v:line id="_x0000_s2073" o:spid="_x0000_s2073" o:spt="20" style="position:absolute;left:0pt;flip:y;margin-left:-4.8pt;margin-top:9.7pt;height:0.55pt;width:50.6pt;z-index:251689984;mso-width-relative:page;mso-height-relative:page;" coordsize="21600,21600" o:gfxdata="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5qx6C1wAAAAgBAAAPAAAAAAAAAAEAIAAAACIAAABkcnMvZG93&#10;bnJldi54bWxQSwECFAAUAAAACACHTuJA75LV3AECAADzAwAADgAAAAAAAAABACAAAAAmAQAAZHJz&#10;L2Uyb0RvYy54bWxQSwUGAAAAAAYABgBZAQAAmQUAAAAA&#10;">
                  <v:path arrowok="t"/>
                  <v:fill focussize="0,0"/>
                  <v:stroke weight="2pt" dashstyle="dash"/>
                  <v:imagedata o:title=""/>
                  <o:lock v:ext="edit"/>
                </v:line>
              </w:pic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4" w:type="pct"/>
            <w:vAlign w:val="center"/>
          </w:tcPr>
          <w:p>
            <w:pPr>
              <w:pStyle w:val="184"/>
              <w:spacing w:beforeLines="10" w:afterLines="10"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5" w:afterLines="15" w:line="240" w:lineRule="auto"/>
              <w:jc w:val="center"/>
              <w:rPr>
                <w:rFonts w:cs="Times New Roman"/>
                <w:color w:val="auto"/>
                <w:szCs w:val="21"/>
              </w:rPr>
            </w:pPr>
          </w:p>
        </w:tc>
        <w:tc>
          <w:tcPr>
            <w:tcW w:w="680" w:type="pct"/>
            <w:vAlign w:val="center"/>
          </w:tcPr>
          <w:p>
            <w:pPr>
              <w:widowControl/>
              <w:spacing w:beforeLines="15" w:afterLines="15"/>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临时排水沟</w: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r>
              <w:rPr>
                <w:rFonts w:cs="Times New Roman"/>
                <w:color w:val="auto"/>
                <w:szCs w:val="21"/>
              </w:rPr>
              <w:pict>
                <v:line id="_x0000_s2074" o:spid="_x0000_s2074" o:spt="20" style="position:absolute;left:0pt;margin-left:-2.45pt;margin-top:9.7pt;height:0.05pt;width:96.7pt;z-index:251691008;mso-width-relative:page;mso-height-relative:page;" coordsize="21600,21600">
                  <v:path arrowok="t"/>
                  <v:fill focussize="0,0"/>
                  <v:stroke weight="2pt" dashstyle="dash"/>
                  <v:imagedata o:title=""/>
                  <o:lock v:ext="edit"/>
                </v:line>
              </w:pic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4" w:type="pct"/>
            <w:vAlign w:val="center"/>
          </w:tcPr>
          <w:p>
            <w:pPr>
              <w:pStyle w:val="184"/>
              <w:spacing w:beforeLines="10" w:afterLines="10"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5" w:afterLines="15" w:line="240" w:lineRule="auto"/>
              <w:jc w:val="center"/>
              <w:rPr>
                <w:rFonts w:cs="Times New Roman"/>
                <w:color w:val="auto"/>
                <w:szCs w:val="21"/>
              </w:rPr>
            </w:pPr>
          </w:p>
        </w:tc>
        <w:tc>
          <w:tcPr>
            <w:tcW w:w="680" w:type="pct"/>
            <w:vAlign w:val="center"/>
          </w:tcPr>
          <w:p>
            <w:pPr>
              <w:widowControl/>
              <w:spacing w:beforeLines="15" w:afterLines="15"/>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临时沉沙池</w: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r>
              <w:rPr>
                <w:rFonts w:cs="Times New Roman"/>
                <w:color w:val="auto"/>
                <w:szCs w:val="21"/>
              </w:rPr>
              <w:pict>
                <v:line id="_x0000_s2075" o:spid="_x0000_s2075" o:spt="20" style="position:absolute;left:0pt;flip:y;margin-left:-5.3pt;margin-top:9.7pt;height:0.55pt;width:97.9pt;z-index:251692032;mso-width-relative:page;mso-height-relative:page;" coordsize="21600,21600" o:gfxdata="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5qx6C1wAAAAgBAAAPAAAAAAAAAAEAIAAAACIAAABkcnMvZG93&#10;bnJldi54bWxQSwECFAAUAAAACACHTuJA75LV3AECAADzAwAADgAAAAAAAAABACAAAAAmAQAAZHJz&#10;L2Uyb0RvYy54bWxQSwUGAAAAAAYABgBZAQAAmQUAAAAA&#10;">
                  <v:path arrowok="t"/>
                  <v:fill focussize="0,0"/>
                  <v:stroke weight="2pt" dashstyle="dash"/>
                  <v:imagedata o:title=""/>
                  <o:lock v:ext="edit"/>
                </v:line>
              </w:pic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4" w:type="pct"/>
            <w:vAlign w:val="center"/>
          </w:tcPr>
          <w:p>
            <w:pPr>
              <w:pStyle w:val="184"/>
              <w:spacing w:beforeLines="10" w:afterLines="10"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5" w:afterLines="15" w:line="240" w:lineRule="auto"/>
              <w:jc w:val="center"/>
              <w:rPr>
                <w:rFonts w:cs="Times New Roman"/>
                <w:color w:val="auto"/>
                <w:szCs w:val="21"/>
              </w:rPr>
            </w:pPr>
          </w:p>
        </w:tc>
        <w:tc>
          <w:tcPr>
            <w:tcW w:w="680" w:type="pct"/>
            <w:vAlign w:val="center"/>
          </w:tcPr>
          <w:p>
            <w:pPr>
              <w:widowControl/>
              <w:spacing w:beforeLines="15" w:afterLines="15"/>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苫布覆盖</w: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r>
              <w:rPr>
                <w:rFonts w:cs="Times New Roman"/>
                <w:color w:val="auto"/>
                <w:szCs w:val="21"/>
              </w:rPr>
              <w:pict>
                <v:line id="_x0000_s2076" o:spid="_x0000_s2076" o:spt="20" style="position:absolute;left:0pt;margin-left:-3.65pt;margin-top:7.4pt;height:1.7pt;width:147.45pt;z-index:251693056;mso-width-relative:page;mso-height-relative:page;" coordsize="21600,21600">
                  <v:path arrowok="t"/>
                  <v:fill focussize="0,0"/>
                  <v:stroke weight="2pt" dashstyle="dash"/>
                  <v:imagedata o:title=""/>
                  <o:lock v:ext="edit"/>
                </v:line>
              </w:pict>
            </w: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2" w:type="pct"/>
            <w:vAlign w:val="center"/>
          </w:tcPr>
          <w:p>
            <w:pPr>
              <w:pStyle w:val="184"/>
              <w:spacing w:beforeLines="10" w:afterLines="10" w:line="240" w:lineRule="auto"/>
              <w:jc w:val="center"/>
              <w:rPr>
                <w:rFonts w:cs="Times New Roman"/>
                <w:color w:val="auto"/>
                <w:szCs w:val="21"/>
              </w:rPr>
            </w:pPr>
          </w:p>
        </w:tc>
        <w:tc>
          <w:tcPr>
            <w:tcW w:w="164" w:type="pct"/>
            <w:vAlign w:val="center"/>
          </w:tcPr>
          <w:p>
            <w:pPr>
              <w:pStyle w:val="184"/>
              <w:spacing w:beforeLines="10" w:afterLines="10"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restart"/>
            <w:vAlign w:val="center"/>
          </w:tcPr>
          <w:p>
            <w:pPr>
              <w:pStyle w:val="184"/>
              <w:spacing w:beforeLines="10" w:afterLines="10" w:line="240" w:lineRule="auto"/>
              <w:jc w:val="center"/>
              <w:rPr>
                <w:rFonts w:cs="Times New Roman"/>
                <w:color w:val="auto"/>
                <w:szCs w:val="21"/>
              </w:rPr>
            </w:pPr>
            <w:r>
              <w:rPr>
                <w:rFonts w:cs="Times New Roman"/>
                <w:color w:val="auto"/>
                <w:szCs w:val="21"/>
              </w:rPr>
              <w:t>公用设施用地区</w:t>
            </w:r>
          </w:p>
        </w:tc>
        <w:tc>
          <w:tcPr>
            <w:tcW w:w="992" w:type="pct"/>
            <w:gridSpan w:val="2"/>
            <w:vAlign w:val="center"/>
          </w:tcPr>
          <w:p>
            <w:pPr>
              <w:pStyle w:val="184"/>
              <w:spacing w:beforeLines="7" w:afterLines="7" w:line="240" w:lineRule="auto"/>
              <w:jc w:val="center"/>
              <w:rPr>
                <w:rFonts w:cs="Times New Roman"/>
                <w:color w:val="auto"/>
                <w:szCs w:val="21"/>
              </w:rPr>
            </w:pPr>
            <w:r>
              <w:rPr>
                <w:rFonts w:cs="Times New Roman"/>
                <w:color w:val="auto"/>
                <w:szCs w:val="21"/>
              </w:rPr>
              <w:t>主体工程</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shape id="_x0000_s2077" o:spid="_x0000_s2077" o:spt="32" type="#_x0000_t32" style="position:absolute;left:0pt;margin-left:69.7pt;margin-top:9.25pt;height:0.1pt;width:275.25pt;z-index:251676672;mso-width-relative:page;mso-height-relative:page;" filled="f" coordsize="21600,21600">
                  <v:path arrowok="t"/>
                  <v:fill on="f" focussize="0,0"/>
                  <v:stroke weight="2pt"/>
                  <v:imagedata o:title=""/>
                  <o:lock v:ext="edit"/>
                </v:shap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restart"/>
            <w:vAlign w:val="center"/>
          </w:tcPr>
          <w:p>
            <w:pPr>
              <w:pStyle w:val="184"/>
              <w:spacing w:line="240" w:lineRule="auto"/>
              <w:jc w:val="center"/>
              <w:rPr>
                <w:rFonts w:cs="Times New Roman"/>
                <w:color w:val="auto"/>
                <w:szCs w:val="21"/>
              </w:rPr>
            </w:pPr>
            <w:r>
              <w:rPr>
                <w:rFonts w:cs="Times New Roman"/>
                <w:color w:val="auto"/>
                <w:szCs w:val="21"/>
              </w:rPr>
              <w:t>水土保持工程</w:t>
            </w:r>
          </w:p>
        </w:tc>
        <w:tc>
          <w:tcPr>
            <w:tcW w:w="680" w:type="pct"/>
            <w:vAlign w:val="center"/>
          </w:tcPr>
          <w:p>
            <w:pPr>
              <w:widowControl/>
              <w:spacing w:beforeLines="7" w:afterLines="7"/>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表土剥离</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078" o:spid="_x0000_s2078" o:spt="20" style="position:absolute;left:0pt;flip:y;margin-left:-4.1pt;margin-top:9pt;height:0.8pt;width:175.55pt;z-index:251673600;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line="240" w:lineRule="auto"/>
              <w:jc w:val="center"/>
              <w:rPr>
                <w:rFonts w:cs="Times New Roman"/>
                <w:color w:val="auto"/>
                <w:szCs w:val="21"/>
              </w:rPr>
            </w:pPr>
          </w:p>
        </w:tc>
        <w:tc>
          <w:tcPr>
            <w:tcW w:w="680" w:type="pct"/>
            <w:vAlign w:val="center"/>
          </w:tcPr>
          <w:p>
            <w:pPr>
              <w:widowControl/>
              <w:spacing w:beforeLines="7" w:afterLines="7"/>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场地平整</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079" o:spid="_x0000_s2079" o:spt="20" style="position:absolute;left:0pt;flip:y;margin-left:-4.75pt;margin-top:6.65pt;height:1.15pt;width:122.65pt;z-index:251696128;mso-width-relative:page;mso-height-relative:page;" coordsize="21600,21600" o:gfxdata="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5qx6C1wAAAAgBAAAPAAAAAAAAAAEAIAAAACIAAABkcnMvZG93&#10;bnJldi54bWxQSwECFAAUAAAACACHTuJA75LV3AECAADzAwAADgAAAAAAAAABACAAAAAmAQAAZHJz&#10;L2Uyb0RvYy54bWxQSwUGAAAAAAYABgBZAQAAmQUAAAAA&#1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line="240" w:lineRule="auto"/>
              <w:jc w:val="center"/>
              <w:rPr>
                <w:rFonts w:cs="Times New Roman"/>
                <w:color w:val="auto"/>
                <w:szCs w:val="21"/>
              </w:rPr>
            </w:pPr>
          </w:p>
        </w:tc>
        <w:tc>
          <w:tcPr>
            <w:tcW w:w="680" w:type="pct"/>
            <w:vAlign w:val="center"/>
          </w:tcPr>
          <w:p>
            <w:pPr>
              <w:widowControl/>
              <w:spacing w:beforeLines="7" w:afterLines="7"/>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撒播草籽</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080" o:spid="_x0000_s2080" o:spt="20" style="position:absolute;left:0pt;margin-left:-4.15pt;margin-top:9.1pt;height:0.05pt;width:149.85pt;z-index:251697152;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line="240" w:lineRule="auto"/>
              <w:jc w:val="center"/>
              <w:rPr>
                <w:rFonts w:cs="Times New Roman"/>
                <w:color w:val="auto"/>
                <w:szCs w:val="21"/>
              </w:rPr>
            </w:pPr>
          </w:p>
        </w:tc>
        <w:tc>
          <w:tcPr>
            <w:tcW w:w="680" w:type="pct"/>
            <w:vAlign w:val="center"/>
          </w:tcPr>
          <w:p>
            <w:pPr>
              <w:widowControl/>
              <w:spacing w:beforeLines="7" w:afterLines="7"/>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临时排水沟</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081" o:spid="_x0000_s2081" o:spt="20" style="position:absolute;left:0pt;margin-left:-5.3pt;margin-top:7.65pt;height:1.2pt;width:149.85pt;z-index:251698176;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line="240" w:lineRule="auto"/>
              <w:jc w:val="center"/>
              <w:rPr>
                <w:rFonts w:cs="Times New Roman"/>
                <w:color w:val="auto"/>
                <w:szCs w:val="21"/>
              </w:rPr>
            </w:pPr>
          </w:p>
        </w:tc>
        <w:tc>
          <w:tcPr>
            <w:tcW w:w="680" w:type="pct"/>
            <w:vAlign w:val="center"/>
          </w:tcPr>
          <w:p>
            <w:pPr>
              <w:widowControl/>
              <w:spacing w:beforeLines="7" w:afterLines="7"/>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临时沉沙池</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082" o:spid="_x0000_s2082" o:spt="20" style="position:absolute;left:0pt;margin-left:-5.3pt;margin-top:7.65pt;height:1.2pt;width:149.85pt;z-index:251699200;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line="240" w:lineRule="auto"/>
              <w:jc w:val="center"/>
              <w:rPr>
                <w:rFonts w:cs="Times New Roman"/>
                <w:color w:val="auto"/>
                <w:szCs w:val="21"/>
              </w:rPr>
            </w:pPr>
          </w:p>
        </w:tc>
        <w:tc>
          <w:tcPr>
            <w:tcW w:w="680" w:type="pct"/>
            <w:vAlign w:val="center"/>
          </w:tcPr>
          <w:p>
            <w:pPr>
              <w:widowControl/>
              <w:spacing w:beforeLines="7" w:afterLines="7"/>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苫布覆盖</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083" o:spid="_x0000_s2083" o:spt="20" style="position:absolute;left:0pt;margin-left:-4.85pt;margin-top:6.95pt;height:0.6pt;width:273.85pt;z-index:251700224;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restart"/>
            <w:vAlign w:val="center"/>
          </w:tcPr>
          <w:p>
            <w:pPr>
              <w:pStyle w:val="184"/>
              <w:spacing w:beforeLines="10" w:afterLines="10" w:line="240" w:lineRule="auto"/>
              <w:jc w:val="center"/>
              <w:rPr>
                <w:rFonts w:cs="Times New Roman"/>
                <w:color w:val="auto"/>
                <w:szCs w:val="21"/>
              </w:rPr>
            </w:pPr>
            <w:r>
              <w:rPr>
                <w:rFonts w:cs="Times New Roman"/>
                <w:color w:val="auto"/>
                <w:szCs w:val="21"/>
              </w:rPr>
              <w:t>绿地区</w:t>
            </w:r>
          </w:p>
        </w:tc>
        <w:tc>
          <w:tcPr>
            <w:tcW w:w="992" w:type="pct"/>
            <w:gridSpan w:val="2"/>
            <w:vAlign w:val="center"/>
          </w:tcPr>
          <w:p>
            <w:pPr>
              <w:pStyle w:val="184"/>
              <w:spacing w:beforeLines="7" w:afterLines="7" w:line="240" w:lineRule="auto"/>
              <w:jc w:val="center"/>
              <w:rPr>
                <w:rFonts w:cs="Times New Roman"/>
                <w:color w:val="auto"/>
                <w:szCs w:val="21"/>
              </w:rPr>
            </w:pPr>
            <w:r>
              <w:rPr>
                <w:rFonts w:cs="Times New Roman"/>
                <w:color w:val="auto"/>
                <w:szCs w:val="21"/>
              </w:rPr>
              <w:t>主体工程</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shape id="_x0000_s2084" o:spid="_x0000_s2084" o:spt="32" type="#_x0000_t32" style="position:absolute;left:0pt;flip:y;margin-left:29.25pt;margin-top:9pt;height:0.25pt;width:353.85pt;z-index:251679744;mso-width-relative:page;mso-height-relative:page;" filled="f" stroked="t" coordsize="21600,21600">
                  <v:path arrowok="t"/>
                  <v:fill on="f" focussize="0,0"/>
                  <v:stroke weight="2pt" color="#000000"/>
                  <v:imagedata o:title=""/>
                  <o:lock v:ext="edit" aspectratio="f"/>
                </v:shap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restart"/>
            <w:vAlign w:val="center"/>
          </w:tcPr>
          <w:p>
            <w:pPr>
              <w:pStyle w:val="184"/>
              <w:spacing w:line="240" w:lineRule="auto"/>
              <w:jc w:val="center"/>
              <w:rPr>
                <w:rFonts w:cs="Times New Roman"/>
                <w:color w:val="auto"/>
                <w:szCs w:val="21"/>
              </w:rPr>
            </w:pPr>
            <w:r>
              <w:rPr>
                <w:rFonts w:cs="Times New Roman"/>
                <w:color w:val="auto"/>
                <w:szCs w:val="21"/>
              </w:rPr>
              <w:t>水土保持工程</w:t>
            </w:r>
          </w:p>
        </w:tc>
        <w:tc>
          <w:tcPr>
            <w:tcW w:w="680" w:type="pct"/>
            <w:vAlign w:val="center"/>
          </w:tcPr>
          <w:p>
            <w:pPr>
              <w:widowControl/>
              <w:spacing w:beforeLines="7" w:afterLines="7"/>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表土剥离</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085" o:spid="_x0000_s2085" o:spt="20" style="position:absolute;left:0pt;flip:y;margin-left:4.95pt;margin-top:9.35pt;height:0.8pt;width:115.65pt;z-index:251674624;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line="240" w:lineRule="auto"/>
              <w:jc w:val="center"/>
              <w:rPr>
                <w:rFonts w:cs="Times New Roman"/>
                <w:color w:val="auto"/>
                <w:szCs w:val="21"/>
              </w:rPr>
            </w:pPr>
          </w:p>
        </w:tc>
        <w:tc>
          <w:tcPr>
            <w:tcW w:w="680" w:type="pct"/>
            <w:vAlign w:val="center"/>
          </w:tcPr>
          <w:p>
            <w:pPr>
              <w:widowControl/>
              <w:spacing w:beforeLines="7" w:afterLines="7"/>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场地平整</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086" o:spid="_x0000_s2086" o:spt="20" style="position:absolute;left:0pt;flip:y;margin-left:-4.55pt;margin-top:8.5pt;height:0.35pt;width:174.9pt;z-index:251669504;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line="240" w:lineRule="auto"/>
              <w:jc w:val="center"/>
              <w:rPr>
                <w:rFonts w:cs="Times New Roman"/>
                <w:color w:val="auto"/>
                <w:szCs w:val="21"/>
              </w:rPr>
            </w:pPr>
          </w:p>
        </w:tc>
        <w:tc>
          <w:tcPr>
            <w:tcW w:w="680" w:type="pct"/>
            <w:vAlign w:val="center"/>
          </w:tcPr>
          <w:p>
            <w:pPr>
              <w:widowControl/>
              <w:spacing w:beforeLines="7" w:afterLines="7"/>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表土回填</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087" o:spid="_x0000_s2087" o:spt="20" style="position:absolute;left:0pt;flip:y;margin-left:-4pt;margin-top:9.1pt;height:0.35pt;width:174.9pt;z-index:251701248;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line="240" w:lineRule="auto"/>
              <w:jc w:val="center"/>
              <w:rPr>
                <w:rFonts w:cs="Times New Roman"/>
                <w:color w:val="auto"/>
                <w:szCs w:val="21"/>
              </w:rPr>
            </w:pPr>
          </w:p>
        </w:tc>
        <w:tc>
          <w:tcPr>
            <w:tcW w:w="680" w:type="pct"/>
            <w:vAlign w:val="center"/>
          </w:tcPr>
          <w:p>
            <w:pPr>
              <w:widowControl/>
              <w:spacing w:beforeLines="7" w:afterLines="7"/>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植草沟</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088" o:spid="_x0000_s2088" o:spt="20" style="position:absolute;left:0pt;flip:y;margin-left:19.8pt;margin-top:8.15pt;height:0.25pt;width:113.65pt;z-index:251680768;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line="240" w:lineRule="auto"/>
              <w:jc w:val="center"/>
              <w:rPr>
                <w:rFonts w:cs="Times New Roman"/>
                <w:color w:val="auto"/>
                <w:szCs w:val="21"/>
              </w:rPr>
            </w:pPr>
          </w:p>
        </w:tc>
        <w:tc>
          <w:tcPr>
            <w:tcW w:w="680" w:type="pct"/>
            <w:vAlign w:val="center"/>
          </w:tcPr>
          <w:p>
            <w:pPr>
              <w:widowControl/>
              <w:spacing w:beforeLines="7" w:afterLines="7"/>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透水铺装</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089" o:spid="_x0000_s2089" o:spt="20" style="position:absolute;left:0pt;flip:y;margin-left:18.8pt;margin-top:8.65pt;height:1.45pt;width:52.35pt;z-index:251722752;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line="240" w:lineRule="auto"/>
              <w:jc w:val="center"/>
              <w:rPr>
                <w:rFonts w:cs="Times New Roman"/>
                <w:color w:val="auto"/>
                <w:szCs w:val="21"/>
              </w:rPr>
            </w:pPr>
          </w:p>
        </w:tc>
        <w:tc>
          <w:tcPr>
            <w:tcW w:w="680" w:type="pct"/>
            <w:vAlign w:val="center"/>
          </w:tcPr>
          <w:p>
            <w:pPr>
              <w:widowControl/>
              <w:spacing w:beforeLines="7" w:afterLines="7"/>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景观绿化</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090" o:spid="_x0000_s2090" o:spt="20" style="position:absolute;left:0pt;flip:y;margin-left:-4.85pt;margin-top:9.3pt;height:0.2pt;width:151.5pt;z-index:251677696;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line="240" w:lineRule="auto"/>
              <w:jc w:val="center"/>
              <w:rPr>
                <w:rFonts w:cs="Times New Roman"/>
                <w:color w:val="auto"/>
                <w:szCs w:val="21"/>
              </w:rPr>
            </w:pPr>
          </w:p>
        </w:tc>
        <w:tc>
          <w:tcPr>
            <w:tcW w:w="680" w:type="pct"/>
            <w:vAlign w:val="center"/>
          </w:tcPr>
          <w:p>
            <w:pPr>
              <w:widowControl/>
              <w:spacing w:beforeLines="7" w:afterLines="7"/>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临时排水沟</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091" o:spid="_x0000_s2091" o:spt="20" style="position:absolute;left:0pt;margin-left:8.5pt;margin-top:8.4pt;height:0.8pt;width:189.05pt;z-index:251682816;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line="240" w:lineRule="auto"/>
              <w:jc w:val="center"/>
              <w:rPr>
                <w:rFonts w:cs="Times New Roman"/>
                <w:color w:val="auto"/>
                <w:szCs w:val="21"/>
              </w:rPr>
            </w:pPr>
          </w:p>
        </w:tc>
        <w:tc>
          <w:tcPr>
            <w:tcW w:w="680" w:type="pct"/>
            <w:vAlign w:val="center"/>
          </w:tcPr>
          <w:p>
            <w:pPr>
              <w:widowControl/>
              <w:spacing w:beforeLines="7" w:afterLines="7"/>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临时沉沙池</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092" o:spid="_x0000_s2092" o:spt="20" style="position:absolute;left:0pt;margin-left:8.5pt;margin-top:8.4pt;height:0.8pt;width:189.05pt;z-index:251702272;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line="240" w:lineRule="auto"/>
              <w:jc w:val="center"/>
              <w:rPr>
                <w:rFonts w:cs="Times New Roman"/>
                <w:color w:val="auto"/>
                <w:szCs w:val="21"/>
              </w:rPr>
            </w:pPr>
          </w:p>
        </w:tc>
        <w:tc>
          <w:tcPr>
            <w:tcW w:w="680" w:type="pct"/>
            <w:vAlign w:val="center"/>
          </w:tcPr>
          <w:p>
            <w:pPr>
              <w:widowControl/>
              <w:spacing w:beforeLines="7" w:afterLines="7"/>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苫布覆盖</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093" o:spid="_x0000_s2093" o:spt="20" style="position:absolute;left:0pt;margin-left:9.65pt;margin-top:7.25pt;height:3.7pt;width:335.55pt;z-index:251703296;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restart"/>
            <w:vAlign w:val="center"/>
          </w:tcPr>
          <w:p>
            <w:pPr>
              <w:pStyle w:val="184"/>
              <w:spacing w:beforeLines="10" w:afterLines="10" w:line="240" w:lineRule="auto"/>
              <w:jc w:val="center"/>
              <w:rPr>
                <w:rFonts w:cs="Times New Roman"/>
                <w:color w:val="auto"/>
                <w:szCs w:val="21"/>
              </w:rPr>
            </w:pPr>
            <w:r>
              <w:rPr>
                <w:rFonts w:cs="Times New Roman"/>
                <w:color w:val="auto"/>
                <w:szCs w:val="21"/>
              </w:rPr>
              <w:t>区域规划功能区</w:t>
            </w:r>
          </w:p>
        </w:tc>
        <w:tc>
          <w:tcPr>
            <w:tcW w:w="246" w:type="pct"/>
            <w:vMerge w:val="restart"/>
            <w:vAlign w:val="center"/>
          </w:tcPr>
          <w:p>
            <w:pPr>
              <w:pStyle w:val="184"/>
              <w:spacing w:beforeLines="10" w:afterLines="10" w:line="240" w:lineRule="auto"/>
              <w:jc w:val="center"/>
              <w:rPr>
                <w:rFonts w:cs="Times New Roman"/>
                <w:color w:val="auto"/>
                <w:szCs w:val="21"/>
              </w:rPr>
            </w:pPr>
            <w:r>
              <w:rPr>
                <w:rFonts w:hint="eastAsia" w:cs="Times New Roman"/>
                <w:color w:val="auto"/>
                <w:szCs w:val="21"/>
              </w:rPr>
              <w:t>已建工程</w:t>
            </w:r>
            <w:r>
              <w:rPr>
                <w:rFonts w:cs="Times New Roman"/>
                <w:color w:val="auto"/>
                <w:szCs w:val="21"/>
              </w:rPr>
              <w:t>区</w:t>
            </w:r>
          </w:p>
        </w:tc>
        <w:tc>
          <w:tcPr>
            <w:tcW w:w="992" w:type="pct"/>
            <w:gridSpan w:val="2"/>
            <w:vAlign w:val="center"/>
          </w:tcPr>
          <w:p>
            <w:pPr>
              <w:pStyle w:val="184"/>
              <w:spacing w:line="240" w:lineRule="auto"/>
              <w:jc w:val="center"/>
              <w:rPr>
                <w:rFonts w:cs="Times New Roman"/>
                <w:color w:val="auto"/>
                <w:szCs w:val="21"/>
              </w:rPr>
            </w:pPr>
            <w:r>
              <w:rPr>
                <w:rFonts w:cs="Times New Roman"/>
                <w:color w:val="auto"/>
                <w:szCs w:val="21"/>
              </w:rPr>
              <w:t>主体工程</w:t>
            </w: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shape id="_x0000_s2094" o:spid="_x0000_s2094" o:spt="32" type="#_x0000_t32" style="position:absolute;left:0pt;margin-left:-5.1pt;margin-top:9pt;height:0.85pt;width:97.45pt;z-index:251670528;mso-width-relative:page;mso-height-relative:page;" filled="f" stroked="t" coordsize="21600,21600">
                  <v:path arrowok="t"/>
                  <v:fill on="f" focussize="0,0"/>
                  <v:stroke weight="2pt" color="#000000"/>
                  <v:imagedata o:title=""/>
                  <o:lock v:ext="edit" aspectratio="f"/>
                </v:shap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restart"/>
            <w:vAlign w:val="center"/>
          </w:tcPr>
          <w:p>
            <w:pPr>
              <w:pStyle w:val="184"/>
              <w:spacing w:beforeLines="10" w:afterLines="10" w:line="240" w:lineRule="auto"/>
              <w:jc w:val="center"/>
              <w:rPr>
                <w:rFonts w:cs="Times New Roman"/>
                <w:color w:val="auto"/>
                <w:szCs w:val="21"/>
              </w:rPr>
            </w:pPr>
            <w:r>
              <w:rPr>
                <w:rFonts w:cs="Times New Roman"/>
                <w:color w:val="auto"/>
                <w:szCs w:val="21"/>
              </w:rPr>
              <w:t>水土保持工程</w:t>
            </w:r>
          </w:p>
        </w:tc>
        <w:tc>
          <w:tcPr>
            <w:tcW w:w="680" w:type="pct"/>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场地平整</w:t>
            </w: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095" o:spid="_x0000_s2095" o:spt="20" style="position:absolute;left:0pt;flip:y;margin-left:-3.3pt;margin-top:9.6pt;height:0.05pt;width:45.65pt;z-index:251678720;mso-width-relative:page;mso-height-relative:page;" coordsize="21600,21600" o:gfxdata="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TSk0DNYAAAAHAQAADwAAAAAAAAABACAAAAAiAAAAZHJzL2Rvd25y&#10;ZXYueG1sUEsBAhQAFAAAAAgAh07iQIAZsWIAAgAA8gMAAA4AAAAAAAAAAQAgAAAAJQEAAGRycy9l&#10;Mm9Eb2MueG1sUEsFBgAAAAAGAAYAWQEAAJcFAAAAAA==&#1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0" w:afterLines="10" w:line="240" w:lineRule="auto"/>
              <w:jc w:val="center"/>
              <w:rPr>
                <w:rFonts w:cs="Times New Roman"/>
                <w:color w:val="auto"/>
                <w:szCs w:val="21"/>
              </w:rPr>
            </w:pPr>
          </w:p>
        </w:tc>
        <w:tc>
          <w:tcPr>
            <w:tcW w:w="680" w:type="pct"/>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雨水管</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096" o:spid="_x0000_s2096" o:spt="20" style="position:absolute;left:0pt;margin-left:-5.15pt;margin-top:8.25pt;height:0.15pt;width:47.8pt;z-index:251704320;mso-width-relative:page;mso-height-relative:page;" filled="f" stroked="t" coordsize="21600,21600">
                  <v:path arrowok="t"/>
                  <v:fill on="f" focussize="0,0"/>
                  <v:stroke weight="2pt" color="#000000" dashstyle="dash"/>
                  <v:imagedata o:title=""/>
                  <o:lock v:ext="edit" aspectratio="f"/>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0" w:afterLines="10" w:line="240" w:lineRule="auto"/>
              <w:jc w:val="center"/>
              <w:rPr>
                <w:rFonts w:cs="Times New Roman"/>
                <w:color w:val="auto"/>
                <w:szCs w:val="21"/>
              </w:rPr>
            </w:pPr>
          </w:p>
        </w:tc>
        <w:tc>
          <w:tcPr>
            <w:tcW w:w="680" w:type="pct"/>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雨水口</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097" o:spid="_x0000_s2097" o:spt="20" style="position:absolute;left:0pt;margin-left:-5.15pt;margin-top:8.25pt;height:0.15pt;width:47.8pt;z-index:251730944;mso-width-relative:page;mso-height-relative:page;" filled="f" stroked="t" coordsize="21600,21600">
                  <v:path arrowok="t"/>
                  <v:fill on="f" focussize="0,0"/>
                  <v:stroke weight="2pt" color="#000000" dashstyle="dash"/>
                  <v:imagedata o:title=""/>
                  <o:lock v:ext="edit" aspectratio="f"/>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0" w:afterLines="10" w:line="240" w:lineRule="auto"/>
              <w:jc w:val="center"/>
              <w:rPr>
                <w:rFonts w:cs="Times New Roman"/>
                <w:color w:val="auto"/>
                <w:szCs w:val="21"/>
              </w:rPr>
            </w:pPr>
          </w:p>
        </w:tc>
        <w:tc>
          <w:tcPr>
            <w:tcW w:w="680" w:type="pct"/>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雨水井</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098" o:spid="_x0000_s2098" o:spt="20" style="position:absolute;left:0pt;margin-left:-5.15pt;margin-top:8.25pt;height:0.15pt;width:47.8pt;z-index:251731968;mso-width-relative:page;mso-height-relative:page;" filled="f" stroked="t" coordsize="21600,21600">
                  <v:path arrowok="t"/>
                  <v:fill on="f" focussize="0,0"/>
                  <v:stroke weight="2pt" color="#000000" dashstyle="dash"/>
                  <v:imagedata o:title=""/>
                  <o:lock v:ext="edit" aspectratio="f"/>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0" w:afterLines="10" w:line="240" w:lineRule="auto"/>
              <w:jc w:val="center"/>
              <w:rPr>
                <w:rFonts w:cs="Times New Roman"/>
                <w:color w:val="auto"/>
                <w:szCs w:val="21"/>
              </w:rPr>
            </w:pPr>
          </w:p>
        </w:tc>
        <w:tc>
          <w:tcPr>
            <w:tcW w:w="680" w:type="pct"/>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厂区绿化</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099" o:spid="_x0000_s2099" o:spt="20" style="position:absolute;left:0pt;margin-left:6.35pt;margin-top:8.75pt;height:0.15pt;width:47.8pt;z-index:251732992;mso-width-relative:page;mso-height-relative:page;" filled="f" stroked="t" coordsize="21600,21600">
                  <v:path arrowok="t"/>
                  <v:fill on="f" focussize="0,0"/>
                  <v:stroke weight="2pt" color="#000000" dashstyle="dash"/>
                  <v:imagedata o:title=""/>
                  <o:lock v:ext="edit" aspectratio="f"/>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0" w:afterLines="10" w:line="240" w:lineRule="auto"/>
              <w:jc w:val="center"/>
              <w:rPr>
                <w:rFonts w:cs="Times New Roman"/>
                <w:color w:val="auto"/>
                <w:szCs w:val="21"/>
              </w:rPr>
            </w:pPr>
          </w:p>
        </w:tc>
        <w:tc>
          <w:tcPr>
            <w:tcW w:w="680" w:type="pct"/>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撒播草籽</w:t>
            </w: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100" o:spid="_x0000_s2100" o:spt="20" style="position:absolute;left:0pt;flip:y;margin-left:-3.3pt;margin-top:9.6pt;height:0.05pt;width:45.65pt;z-index:251734016;mso-width-relative:page;mso-height-relative:page;" coordsize="21600,21600" o:gfxdata="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TSk0DNYAAAAHAQAADwAAAAAAAAABACAAAAAiAAAAZHJzL2Rvd25y&#10;ZXYueG1sUEsBAhQAFAAAAAgAh07iQIAZsWIAAgAA8gMAAA4AAAAAAAAAAQAgAAAAJQEAAGRycy9l&#10;Mm9Eb2MueG1sUEsFBgAAAAAGAAYAWQEAAJcFAAAAAA==&#1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restart"/>
            <w:vAlign w:val="center"/>
          </w:tcPr>
          <w:p>
            <w:pPr>
              <w:pStyle w:val="184"/>
              <w:spacing w:beforeLines="10" w:afterLines="10" w:line="240" w:lineRule="auto"/>
              <w:jc w:val="center"/>
              <w:rPr>
                <w:rFonts w:cs="Times New Roman"/>
                <w:color w:val="auto"/>
                <w:szCs w:val="21"/>
              </w:rPr>
            </w:pPr>
            <w:r>
              <w:rPr>
                <w:rFonts w:hint="eastAsia" w:cs="Times New Roman"/>
                <w:color w:val="auto"/>
                <w:szCs w:val="21"/>
              </w:rPr>
              <w:t>在建工程区</w:t>
            </w:r>
          </w:p>
        </w:tc>
        <w:tc>
          <w:tcPr>
            <w:tcW w:w="992" w:type="pct"/>
            <w:gridSpan w:val="2"/>
            <w:vAlign w:val="center"/>
          </w:tcPr>
          <w:p>
            <w:pPr>
              <w:widowControl/>
              <w:jc w:val="center"/>
              <w:textAlignment w:val="center"/>
              <w:rPr>
                <w:rFonts w:ascii="Times New Roman" w:hAnsi="Times New Roman" w:eastAsia="仿宋_GB2312" w:cs="Times New Roman"/>
                <w:color w:val="auto"/>
                <w:kern w:val="0"/>
                <w:sz w:val="21"/>
                <w:szCs w:val="21"/>
              </w:rPr>
            </w:pPr>
            <w:r>
              <w:rPr>
                <w:rFonts w:hint="eastAsia" w:ascii="仿宋_GB2312" w:hAnsi="仿宋_GB2312" w:eastAsia="仿宋_GB2312" w:cs="仿宋_GB2312"/>
                <w:color w:val="auto"/>
                <w:szCs w:val="21"/>
              </w:rPr>
              <w:t>主体工程</w:t>
            </w: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shape id="_x0000_s2101" o:spid="_x0000_s2101" o:spt="32" type="#_x0000_t32" style="position:absolute;left:0pt;margin-left:-3.6pt;margin-top:6.55pt;height:1.45pt;width:312.85pt;z-index:251735040;mso-width-relative:page;mso-height-relative:page;" filled="f" stroked="t" coordsize="21600,21600">
                  <v:path arrowok="t"/>
                  <v:fill on="f" focussize="0,0"/>
                  <v:stroke weight="2pt" color="#000000"/>
                  <v:imagedata o:title=""/>
                  <o:lock v:ext="edit" aspectratio="f"/>
                </v:shap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992" w:type="pct"/>
            <w:gridSpan w:val="2"/>
            <w:vAlign w:val="center"/>
          </w:tcPr>
          <w:p>
            <w:pPr>
              <w:widowControl/>
              <w:jc w:val="center"/>
              <w:textAlignment w:val="center"/>
              <w:rPr>
                <w:rFonts w:hint="eastAsia" w:ascii="Times New Roman" w:hAnsi="Times New Roman" w:eastAsia="仿宋_GB2312" w:cs="Times New Roman"/>
                <w:color w:val="auto"/>
                <w:kern w:val="0"/>
                <w:sz w:val="21"/>
                <w:szCs w:val="21"/>
                <w:lang w:val="en-US" w:eastAsia="zh-CN"/>
              </w:rPr>
            </w:pPr>
            <w:r>
              <w:rPr>
                <w:rFonts w:hint="eastAsia" w:ascii="Times New Roman" w:hAnsi="Times New Roman" w:eastAsia="仿宋_GB2312" w:cs="Times New Roman"/>
                <w:color w:val="auto"/>
                <w:kern w:val="0"/>
                <w:sz w:val="21"/>
                <w:szCs w:val="21"/>
                <w:lang w:val="en-US" w:eastAsia="zh-CN"/>
              </w:rPr>
              <w:t>纳入其</w:t>
            </w:r>
            <w:r>
              <w:rPr>
                <w:rFonts w:hint="eastAsia" w:ascii="仿宋_GB2312" w:hAnsi="仿宋_GB2312" w:eastAsia="仿宋_GB2312" w:cs="仿宋_GB2312"/>
                <w:color w:val="auto"/>
                <w:sz w:val="21"/>
                <w:szCs w:val="21"/>
                <w:lang w:val="en-US" w:eastAsia="zh-CN"/>
              </w:rPr>
              <w:t>已批复方案措施体系中</w:t>
            </w:r>
          </w:p>
        </w:tc>
        <w:tc>
          <w:tcPr>
            <w:tcW w:w="3583" w:type="pct"/>
            <w:gridSpan w:val="22"/>
            <w:vAlign w:val="center"/>
          </w:tcPr>
          <w:p>
            <w:pPr>
              <w:pStyle w:val="184"/>
              <w:spacing w:line="240" w:lineRule="auto"/>
              <w:jc w:val="center"/>
              <w:rPr>
                <w:rFonts w:hint="eastAsia" w:eastAsia="仿宋_GB2312" w:cs="Times New Roman"/>
                <w:color w:val="auto"/>
                <w:szCs w:val="21"/>
                <w:lang w:val="en-US" w:eastAsia="zh-CN"/>
              </w:rPr>
            </w:pPr>
            <w:r>
              <w:rPr>
                <w:rFonts w:hint="eastAsia" w:cs="Times New Roman"/>
                <w:color w:val="auto"/>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restart"/>
            <w:vAlign w:val="center"/>
          </w:tcPr>
          <w:p>
            <w:pPr>
              <w:pStyle w:val="184"/>
              <w:spacing w:beforeLines="10" w:afterLines="10" w:line="240" w:lineRule="auto"/>
              <w:jc w:val="center"/>
              <w:rPr>
                <w:rFonts w:cs="Times New Roman"/>
                <w:color w:val="auto"/>
                <w:szCs w:val="21"/>
              </w:rPr>
            </w:pPr>
            <w:r>
              <w:rPr>
                <w:rFonts w:hint="eastAsia" w:cs="Times New Roman"/>
                <w:color w:val="auto"/>
                <w:szCs w:val="21"/>
                <w:lang w:eastAsia="zh-CN"/>
              </w:rPr>
              <w:t>待</w:t>
            </w:r>
            <w:r>
              <w:rPr>
                <w:rFonts w:hint="eastAsia" w:cs="Times New Roman"/>
                <w:color w:val="auto"/>
                <w:szCs w:val="21"/>
              </w:rPr>
              <w:t>建工程</w:t>
            </w:r>
            <w:r>
              <w:rPr>
                <w:rFonts w:cs="Times New Roman"/>
                <w:color w:val="auto"/>
                <w:szCs w:val="21"/>
              </w:rPr>
              <w:t>区</w:t>
            </w:r>
          </w:p>
        </w:tc>
        <w:tc>
          <w:tcPr>
            <w:tcW w:w="992" w:type="pct"/>
            <w:gridSpan w:val="2"/>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sz w:val="21"/>
                <w:szCs w:val="21"/>
              </w:rPr>
              <w:t>主体工程</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shape id="_x0000_s2102" o:spid="_x0000_s2102" o:spt="32" type="#_x0000_t32" style="position:absolute;left:0pt;margin-left:165pt;margin-top:9.7pt;height:0.7pt;width:132pt;z-index:251671552;mso-width-relative:page;mso-height-relative:page;" filled="f" stroked="t" coordsize="21600,21600">
                  <v:path arrowok="t"/>
                  <v:fill on="f" focussize="0,0"/>
                  <v:stroke weight="2pt" color="#000000"/>
                  <v:imagedata o:title=""/>
                  <o:lock v:ext="edit" aspectratio="f"/>
                </v:shap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restart"/>
            <w:vAlign w:val="center"/>
          </w:tcPr>
          <w:p>
            <w:pPr>
              <w:pStyle w:val="184"/>
              <w:spacing w:beforeLines="10" w:afterLines="10" w:line="240" w:lineRule="auto"/>
              <w:jc w:val="center"/>
              <w:rPr>
                <w:rFonts w:cs="Times New Roman"/>
                <w:color w:val="auto"/>
                <w:szCs w:val="21"/>
              </w:rPr>
            </w:pPr>
            <w:r>
              <w:rPr>
                <w:rFonts w:cs="Times New Roman"/>
                <w:color w:val="auto"/>
                <w:szCs w:val="21"/>
              </w:rPr>
              <w:t>水土保持工程</w:t>
            </w:r>
          </w:p>
        </w:tc>
        <w:tc>
          <w:tcPr>
            <w:tcW w:w="680" w:type="pct"/>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表土剥离</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103" o:spid="_x0000_s2103" o:spt="20" style="position:absolute;left:0pt;flip:y;margin-left:-4.55pt;margin-top:10.95pt;height:0.7pt;width:49.7pt;z-index:-251611136;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0" w:afterLines="10" w:line="240" w:lineRule="auto"/>
              <w:jc w:val="center"/>
              <w:rPr>
                <w:rFonts w:cs="Times New Roman"/>
                <w:color w:val="auto"/>
                <w:szCs w:val="21"/>
              </w:rPr>
            </w:pPr>
          </w:p>
        </w:tc>
        <w:tc>
          <w:tcPr>
            <w:tcW w:w="680" w:type="pct"/>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场地平整</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104" o:spid="_x0000_s2104" o:spt="20" style="position:absolute;left:0pt;flip:y;margin-left:-3.05pt;margin-top:10.45pt;height:0.7pt;width:49.7pt;z-index:-251609088;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0" w:afterLines="10" w:line="240" w:lineRule="auto"/>
              <w:jc w:val="center"/>
              <w:rPr>
                <w:rFonts w:cs="Times New Roman"/>
                <w:color w:val="auto"/>
                <w:szCs w:val="21"/>
              </w:rPr>
            </w:pPr>
          </w:p>
        </w:tc>
        <w:tc>
          <w:tcPr>
            <w:tcW w:w="680" w:type="pct"/>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撒播草籽</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105" o:spid="_x0000_s2105" o:spt="20" style="position:absolute;left:0pt;flip:y;margin-left:19.6pt;margin-top:7.4pt;height:0.7pt;width:49.7pt;z-index:-251608064;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0" w:afterLines="10" w:line="240" w:lineRule="auto"/>
              <w:jc w:val="center"/>
              <w:rPr>
                <w:rFonts w:cs="Times New Roman"/>
                <w:color w:val="auto"/>
                <w:szCs w:val="21"/>
              </w:rPr>
            </w:pPr>
          </w:p>
        </w:tc>
        <w:tc>
          <w:tcPr>
            <w:tcW w:w="680" w:type="pct"/>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临时排水沟</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106" o:spid="_x0000_s2106" o:spt="20" style="position:absolute;left:0pt;margin-left:19.3pt;margin-top:8.95pt;height:0.8pt;width:53.3pt;z-index:251681792;mso-width-relative:page;mso-height-relative:page;" coordsize="21600,21600" o:gfxdata="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7rk/19cAAAAHAQAADwAAAAAAAAABACAAAAAiAAAAZHJzL2Rv&#10;d25yZXYueG1sUEsBAhQAFAAAAAgAh07iQNqxuC4CAgAA+QMAAA4AAAAAAAAAAQAgAAAAJgEAAGRy&#10;cy9lMm9Eb2MueG1sUEsFBgAAAAAGAAYAWQEAAJoFAAAAAA==&#1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0" w:afterLines="10" w:line="240" w:lineRule="auto"/>
              <w:jc w:val="center"/>
              <w:rPr>
                <w:rFonts w:cs="Times New Roman"/>
                <w:color w:val="auto"/>
                <w:szCs w:val="21"/>
              </w:rPr>
            </w:pPr>
          </w:p>
        </w:tc>
        <w:tc>
          <w:tcPr>
            <w:tcW w:w="680" w:type="pct"/>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临时沉沙池</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107" o:spid="_x0000_s2107" o:spt="20" style="position:absolute;left:0pt;margin-left:19.3pt;margin-top:8.95pt;height:0.8pt;width:53.3pt;z-index:-251610112;mso-width-relative:page;mso-height-relative:page;" coordsize="21600,21600" o:gfxdata="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7rk/19cAAAAHAQAADwAAAAAAAAABACAAAAAiAAAAZHJzL2Rv&#10;d25yZXYueG1sUEsBAhQAFAAAAAgAh07iQNqxuC4CAgAA+QMAAA4AAAAAAAAAAQAgAAAAJgEAAGRy&#10;cy9lMm9Eb2MueG1sUEsFBgAAAAAGAAYAWQEAAJoFAAAAAA==&#1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0" w:afterLines="10" w:line="240" w:lineRule="auto"/>
              <w:jc w:val="center"/>
              <w:rPr>
                <w:rFonts w:cs="Times New Roman"/>
                <w:color w:val="auto"/>
                <w:szCs w:val="21"/>
              </w:rPr>
            </w:pPr>
          </w:p>
        </w:tc>
        <w:tc>
          <w:tcPr>
            <w:tcW w:w="680" w:type="pct"/>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苫布覆盖</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108" o:spid="_x0000_s2108" o:spt="20" style="position:absolute;left:0pt;flip:y;margin-left:-3.95pt;margin-top:7.85pt;height:1.3pt;width:99.25pt;z-index:251709440;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restart"/>
            <w:vAlign w:val="center"/>
          </w:tcPr>
          <w:p>
            <w:pPr>
              <w:pStyle w:val="184"/>
              <w:spacing w:beforeLines="10" w:afterLines="10" w:line="240" w:lineRule="auto"/>
              <w:jc w:val="center"/>
              <w:rPr>
                <w:rFonts w:cs="Times New Roman"/>
                <w:color w:val="auto"/>
                <w:szCs w:val="21"/>
              </w:rPr>
            </w:pPr>
            <w:r>
              <w:rPr>
                <w:rFonts w:cs="Times New Roman"/>
                <w:color w:val="auto"/>
                <w:szCs w:val="21"/>
              </w:rPr>
              <w:t>施工临时设施区</w:t>
            </w:r>
          </w:p>
        </w:tc>
        <w:tc>
          <w:tcPr>
            <w:tcW w:w="246" w:type="pct"/>
            <w:vMerge w:val="restart"/>
            <w:vAlign w:val="center"/>
          </w:tcPr>
          <w:p>
            <w:pPr>
              <w:pStyle w:val="184"/>
              <w:spacing w:beforeLines="10" w:afterLines="10" w:line="240" w:lineRule="auto"/>
              <w:jc w:val="center"/>
              <w:rPr>
                <w:rFonts w:cs="Times New Roman"/>
                <w:color w:val="auto"/>
                <w:szCs w:val="21"/>
              </w:rPr>
            </w:pPr>
            <w:r>
              <w:rPr>
                <w:rFonts w:cs="Times New Roman"/>
                <w:color w:val="auto"/>
                <w:szCs w:val="21"/>
              </w:rPr>
              <w:t>表土堆放场区</w:t>
            </w:r>
          </w:p>
        </w:tc>
        <w:tc>
          <w:tcPr>
            <w:tcW w:w="992" w:type="pct"/>
            <w:gridSpan w:val="2"/>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sz w:val="21"/>
                <w:szCs w:val="21"/>
              </w:rPr>
              <w:t>主体工程</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shape id="_x0000_s2109" o:spid="_x0000_s2109" o:spt="32" type="#_x0000_t32" style="position:absolute;left:0pt;margin-left:147.35pt;margin-top:9.85pt;height:1.7pt;width:276.35pt;z-index:-251649024;mso-width-relative:page;mso-height-relative:page;" filled="f" coordsize="21600,21600">
                  <v:path arrowok="t"/>
                  <v:fill on="f" focussize="0,0"/>
                  <v:stroke weight="2pt"/>
                  <v:imagedata o:title=""/>
                  <o:lock v:ext="edit"/>
                </v:shap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restart"/>
            <w:vAlign w:val="center"/>
          </w:tcPr>
          <w:p>
            <w:pPr>
              <w:pStyle w:val="184"/>
              <w:spacing w:beforeLines="10" w:afterLines="10" w:line="240" w:lineRule="auto"/>
              <w:jc w:val="center"/>
              <w:rPr>
                <w:rFonts w:cs="Times New Roman"/>
                <w:color w:val="auto"/>
                <w:szCs w:val="21"/>
              </w:rPr>
            </w:pPr>
            <w:r>
              <w:rPr>
                <w:rFonts w:cs="Times New Roman"/>
                <w:color w:val="auto"/>
                <w:szCs w:val="21"/>
              </w:rPr>
              <w:t>水土保持工程</w:t>
            </w:r>
          </w:p>
        </w:tc>
        <w:tc>
          <w:tcPr>
            <w:tcW w:w="680" w:type="pct"/>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撒播草籽</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110" o:spid="_x0000_s2110" o:spt="20" style="position:absolute;left:0pt;margin-left:18.45pt;margin-top:9.5pt;height:1.95pt;width:200.25pt;z-index:251683840;mso-width-relative:page;mso-height-relative:page;" coordsize="21600,21600" o:gfxdata="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MiFmSvYAAAACAEAAA8AAAAAAAAAAQAgAAAAIgAAAGRycy9k&#10;b3ducmV2LnhtbFBLAQIUABQAAAAIAIdO4kASh7wAAgIAAPkDAAAOAAAAAAAAAAEAIAAAACcBAABk&#10;cnMvZTJvRG9jLnhtbFBLBQYAAAAABgAGAFkBAACbBQAAAAA=&#1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0" w:afterLines="10" w:line="240" w:lineRule="auto"/>
              <w:jc w:val="center"/>
              <w:rPr>
                <w:rFonts w:cs="Times New Roman"/>
                <w:color w:val="auto"/>
                <w:szCs w:val="21"/>
              </w:rPr>
            </w:pPr>
          </w:p>
        </w:tc>
        <w:tc>
          <w:tcPr>
            <w:tcW w:w="680" w:type="pct"/>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编织袋拦挡</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111" o:spid="_x0000_s2111" o:spt="20" style="position:absolute;left:0pt;flip:y;margin-left:19.6pt;margin-top:7.4pt;height:0.7pt;width:49.7pt;z-index:251710464;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0" w:afterLines="10" w:line="240" w:lineRule="auto"/>
              <w:jc w:val="center"/>
              <w:rPr>
                <w:rFonts w:cs="Times New Roman"/>
                <w:color w:val="auto"/>
                <w:szCs w:val="21"/>
              </w:rPr>
            </w:pPr>
          </w:p>
        </w:tc>
        <w:tc>
          <w:tcPr>
            <w:tcW w:w="680" w:type="pct"/>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临时排水沟</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112" o:spid="_x0000_s2112" o:spt="20" style="position:absolute;left:0pt;flip:y;margin-left:19.6pt;margin-top:7.4pt;height:0.7pt;width:49.7pt;z-index:251711488;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0" w:afterLines="10" w:line="240" w:lineRule="auto"/>
              <w:jc w:val="center"/>
              <w:rPr>
                <w:rFonts w:cs="Times New Roman"/>
                <w:color w:val="auto"/>
                <w:szCs w:val="21"/>
              </w:rPr>
            </w:pPr>
          </w:p>
        </w:tc>
        <w:tc>
          <w:tcPr>
            <w:tcW w:w="680" w:type="pct"/>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临时沉沙池</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113" o:spid="_x0000_s2113" o:spt="20" style="position:absolute;left:0pt;flip:y;margin-left:19.6pt;margin-top:7.4pt;height:0.7pt;width:49.7pt;z-index:-251603968;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0" w:afterLines="10" w:line="240" w:lineRule="auto"/>
              <w:jc w:val="center"/>
              <w:rPr>
                <w:rFonts w:cs="Times New Roman"/>
                <w:color w:val="auto"/>
                <w:szCs w:val="21"/>
              </w:rPr>
            </w:pPr>
          </w:p>
        </w:tc>
        <w:tc>
          <w:tcPr>
            <w:tcW w:w="680" w:type="pct"/>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苫布覆盖</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114" o:spid="_x0000_s2114" o:spt="20" style="position:absolute;left:0pt;margin-left:19.6pt;margin-top:8.1pt;height:1pt;width:274.7pt;z-index:-251602944;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restart"/>
            <w:vAlign w:val="center"/>
          </w:tcPr>
          <w:p>
            <w:pPr>
              <w:pStyle w:val="184"/>
              <w:spacing w:beforeLines="10" w:afterLines="10" w:line="240" w:lineRule="auto"/>
              <w:jc w:val="center"/>
              <w:rPr>
                <w:rFonts w:cs="Times New Roman"/>
                <w:color w:val="auto"/>
                <w:szCs w:val="21"/>
              </w:rPr>
            </w:pPr>
            <w:r>
              <w:rPr>
                <w:rFonts w:hint="eastAsia" w:cs="Times New Roman"/>
                <w:color w:val="auto"/>
                <w:szCs w:val="21"/>
              </w:rPr>
              <w:t>晾干淤泥堆</w:t>
            </w:r>
            <w:r>
              <w:rPr>
                <w:rFonts w:hint="eastAsia" w:cs="Times New Roman"/>
                <w:color w:val="auto"/>
                <w:szCs w:val="21"/>
                <w:lang w:eastAsia="zh-CN"/>
              </w:rPr>
              <w:t>场</w:t>
            </w:r>
            <w:r>
              <w:rPr>
                <w:rFonts w:cs="Times New Roman"/>
                <w:color w:val="auto"/>
                <w:szCs w:val="21"/>
              </w:rPr>
              <w:t>区</w:t>
            </w:r>
          </w:p>
        </w:tc>
        <w:tc>
          <w:tcPr>
            <w:tcW w:w="992" w:type="pct"/>
            <w:gridSpan w:val="2"/>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sz w:val="21"/>
                <w:szCs w:val="21"/>
              </w:rPr>
              <w:t>主体工程</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shape id="_x0000_s2115" o:spid="_x0000_s2115" o:spt="32" type="#_x0000_t32" style="position:absolute;left:0pt;flip:y;margin-left:-2.45pt;margin-top:8.65pt;height:0.85pt;width:175.4pt;z-index:251714560;mso-width-relative:page;mso-height-relative:page;" filled="f" coordsize="21600,21600">
                  <v:path arrowok="t"/>
                  <v:fill on="f" focussize="0,0"/>
                  <v:stroke weight="2pt"/>
                  <v:imagedata o:title=""/>
                  <o:lock v:ext="edit"/>
                </v:shap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restart"/>
            <w:vAlign w:val="center"/>
          </w:tcPr>
          <w:p>
            <w:pPr>
              <w:pStyle w:val="184"/>
              <w:spacing w:beforeLines="10" w:afterLines="10" w:line="240" w:lineRule="auto"/>
              <w:jc w:val="center"/>
              <w:rPr>
                <w:rFonts w:cs="Times New Roman"/>
                <w:color w:val="auto"/>
                <w:szCs w:val="21"/>
              </w:rPr>
            </w:pPr>
            <w:r>
              <w:rPr>
                <w:rFonts w:cs="Times New Roman"/>
                <w:color w:val="auto"/>
                <w:szCs w:val="21"/>
              </w:rPr>
              <w:t>水土保持工程</w:t>
            </w:r>
          </w:p>
        </w:tc>
        <w:tc>
          <w:tcPr>
            <w:tcW w:w="680" w:type="pct"/>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编织袋拦挡</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116" o:spid="_x0000_s2116" o:spt="20" style="position:absolute;left:0pt;flip:y;margin-left:19.6pt;margin-top:7.4pt;height:0.7pt;width:49.7pt;z-index:-251600896;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0" w:afterLines="10" w:line="240" w:lineRule="auto"/>
              <w:jc w:val="center"/>
              <w:rPr>
                <w:rFonts w:cs="Times New Roman"/>
                <w:color w:val="auto"/>
                <w:szCs w:val="21"/>
              </w:rPr>
            </w:pPr>
          </w:p>
        </w:tc>
        <w:tc>
          <w:tcPr>
            <w:tcW w:w="680" w:type="pct"/>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临时排水沟</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117" o:spid="_x0000_s2117" o:spt="20" style="position:absolute;left:0pt;flip:y;margin-left:19.6pt;margin-top:7.4pt;height:0.7pt;width:49.7pt;z-index:251717632;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0" w:afterLines="10" w:line="240" w:lineRule="auto"/>
              <w:jc w:val="center"/>
              <w:rPr>
                <w:rFonts w:cs="Times New Roman"/>
                <w:color w:val="auto"/>
                <w:szCs w:val="21"/>
              </w:rPr>
            </w:pPr>
          </w:p>
        </w:tc>
        <w:tc>
          <w:tcPr>
            <w:tcW w:w="680" w:type="pct"/>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临时沉沙池</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118" o:spid="_x0000_s2118" o:spt="20" style="position:absolute;left:0pt;flip:y;margin-left:19.6pt;margin-top:7.4pt;height:0.7pt;width:49.7pt;z-index:251719680;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0" w:afterLines="10" w:line="240" w:lineRule="auto"/>
              <w:jc w:val="center"/>
              <w:rPr>
                <w:rFonts w:cs="Times New Roman"/>
                <w:color w:val="auto"/>
                <w:szCs w:val="21"/>
              </w:rPr>
            </w:pPr>
          </w:p>
        </w:tc>
        <w:tc>
          <w:tcPr>
            <w:tcW w:w="680" w:type="pct"/>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苫布覆盖</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119" o:spid="_x0000_s2119" o:spt="20" style="position:absolute;left:0pt;flip:y;margin-left:19.6pt;margin-top:7.4pt;height:0.7pt;width:49.7pt;z-index:-251597824;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restart"/>
            <w:vAlign w:val="center"/>
          </w:tcPr>
          <w:p>
            <w:pPr>
              <w:pStyle w:val="184"/>
              <w:spacing w:beforeLines="10" w:afterLines="10" w:line="240" w:lineRule="auto"/>
              <w:jc w:val="center"/>
              <w:rPr>
                <w:rFonts w:cs="Times New Roman"/>
                <w:color w:val="auto"/>
                <w:szCs w:val="21"/>
              </w:rPr>
            </w:pPr>
            <w:r>
              <w:rPr>
                <w:rFonts w:cs="Times New Roman"/>
                <w:color w:val="auto"/>
                <w:szCs w:val="21"/>
              </w:rPr>
              <w:t>苗木移栽区</w:t>
            </w:r>
          </w:p>
        </w:tc>
        <w:tc>
          <w:tcPr>
            <w:tcW w:w="992" w:type="pct"/>
            <w:gridSpan w:val="2"/>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sz w:val="21"/>
                <w:szCs w:val="21"/>
              </w:rPr>
              <w:t>主体工程</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shape id="_x0000_s2120" o:spid="_x0000_s2120" o:spt="32" type="#_x0000_t32" style="position:absolute;left:0pt;margin-left:-4.75pt;margin-top:8.75pt;height:1.75pt;width:128.05pt;z-index:-251595776;mso-width-relative:page;mso-height-relative:page;" filled="f" coordsize="21600,21600">
                  <v:path arrowok="t"/>
                  <v:fill on="f" focussize="0,0"/>
                  <v:stroke weight="2pt"/>
                  <v:imagedata o:title=""/>
                  <o:lock v:ext="edit"/>
                </v:shap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restart"/>
            <w:vAlign w:val="center"/>
          </w:tcPr>
          <w:p>
            <w:pPr>
              <w:pStyle w:val="184"/>
              <w:spacing w:beforeLines="10" w:afterLines="10" w:line="240" w:lineRule="auto"/>
              <w:jc w:val="center"/>
              <w:rPr>
                <w:rFonts w:cs="Times New Roman"/>
                <w:color w:val="auto"/>
                <w:szCs w:val="21"/>
              </w:rPr>
            </w:pPr>
            <w:r>
              <w:rPr>
                <w:rFonts w:cs="Times New Roman"/>
                <w:color w:val="auto"/>
                <w:szCs w:val="21"/>
              </w:rPr>
              <w:t>水土保持工程</w:t>
            </w:r>
          </w:p>
        </w:tc>
        <w:tc>
          <w:tcPr>
            <w:tcW w:w="680" w:type="pct"/>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临时排水沟</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121" o:spid="_x0000_s2121" o:spt="20" style="position:absolute;left:0pt;flip:y;margin-left:19.6pt;margin-top:7.4pt;height:0.7pt;width:49.7pt;z-index:251721728;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7" w:type="pct"/>
            <w:vMerge w:val="continue"/>
            <w:vAlign w:val="center"/>
          </w:tcPr>
          <w:p>
            <w:pPr>
              <w:pStyle w:val="184"/>
              <w:spacing w:beforeLines="10" w:afterLines="10" w:line="240" w:lineRule="auto"/>
              <w:jc w:val="center"/>
              <w:rPr>
                <w:rFonts w:cs="Times New Roman"/>
                <w:color w:val="auto"/>
                <w:szCs w:val="21"/>
              </w:rPr>
            </w:pPr>
          </w:p>
        </w:tc>
        <w:tc>
          <w:tcPr>
            <w:tcW w:w="246" w:type="pct"/>
            <w:vMerge w:val="continue"/>
            <w:vAlign w:val="center"/>
          </w:tcPr>
          <w:p>
            <w:pPr>
              <w:pStyle w:val="184"/>
              <w:spacing w:beforeLines="10" w:afterLines="10" w:line="240" w:lineRule="auto"/>
              <w:jc w:val="center"/>
              <w:rPr>
                <w:rFonts w:cs="Times New Roman"/>
                <w:color w:val="auto"/>
                <w:szCs w:val="21"/>
              </w:rPr>
            </w:pPr>
          </w:p>
        </w:tc>
        <w:tc>
          <w:tcPr>
            <w:tcW w:w="312" w:type="pct"/>
            <w:vMerge w:val="continue"/>
            <w:vAlign w:val="center"/>
          </w:tcPr>
          <w:p>
            <w:pPr>
              <w:pStyle w:val="184"/>
              <w:spacing w:beforeLines="10" w:afterLines="10" w:line="240" w:lineRule="auto"/>
              <w:jc w:val="center"/>
              <w:rPr>
                <w:rFonts w:cs="Times New Roman"/>
                <w:color w:val="auto"/>
                <w:szCs w:val="21"/>
              </w:rPr>
            </w:pPr>
          </w:p>
        </w:tc>
        <w:tc>
          <w:tcPr>
            <w:tcW w:w="680" w:type="pct"/>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临时沉沙池</w: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r>
              <w:rPr>
                <w:rFonts w:cs="Times New Roman"/>
                <w:color w:val="auto"/>
                <w:szCs w:val="21"/>
              </w:rPr>
              <w:pict>
                <v:line id="_x0000_s2122" o:spid="_x0000_s2122" o:spt="20" style="position:absolute;left:0pt;flip:y;margin-left:19.6pt;margin-top:7.4pt;height:0.7pt;width:49.7pt;z-index:-251599872;mso-width-relative:page;mso-height-relative:page;" coordsize="21600,21600">
                  <v:path arrowok="t"/>
                  <v:fill focussize="0,0"/>
                  <v:stroke weight="2pt" dashstyle="dash"/>
                  <v:imagedata o:title=""/>
                  <o:lock v:ext="edit"/>
                </v:line>
              </w:pict>
            </w: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2" w:type="pct"/>
            <w:vAlign w:val="center"/>
          </w:tcPr>
          <w:p>
            <w:pPr>
              <w:pStyle w:val="184"/>
              <w:spacing w:line="240" w:lineRule="auto"/>
              <w:jc w:val="center"/>
              <w:rPr>
                <w:rFonts w:cs="Times New Roman"/>
                <w:color w:val="auto"/>
                <w:szCs w:val="21"/>
              </w:rPr>
            </w:pPr>
          </w:p>
        </w:tc>
        <w:tc>
          <w:tcPr>
            <w:tcW w:w="164" w:type="pct"/>
            <w:vAlign w:val="center"/>
          </w:tcPr>
          <w:p>
            <w:pPr>
              <w:pStyle w:val="184"/>
              <w:spacing w:line="240" w:lineRule="auto"/>
              <w:jc w:val="center"/>
              <w:rPr>
                <w:rFonts w:cs="Times New Roman"/>
                <w:color w:val="auto"/>
                <w:szCs w:val="21"/>
              </w:rPr>
            </w:pPr>
          </w:p>
        </w:tc>
      </w:tr>
    </w:tbl>
    <w:p>
      <w:pPr>
        <w:spacing w:line="360" w:lineRule="auto"/>
        <w:rPr>
          <w:rFonts w:ascii="Times New Roman" w:hAnsi="Times New Roman" w:eastAsia="仿宋_GB2312" w:cs="Times New Roman"/>
          <w:color w:val="auto"/>
          <w:szCs w:val="24"/>
        </w:rPr>
      </w:pPr>
      <w:r>
        <w:rPr>
          <w:rFonts w:ascii="Times New Roman" w:hAnsi="Times New Roman" w:eastAsia="仿宋_GB2312" w:cs="Times New Roman"/>
          <w:color w:val="auto"/>
          <w:sz w:val="20"/>
        </w:rPr>
        <w:pict>
          <v:line id="_x0000_s2123" o:spid="_x0000_s2123" o:spt="20" alt="8A61E212E1E64c98AC4B306E6A233C8E# #直线 1220" style="position:absolute;left:0pt;margin-left:93.35pt;margin-top:11.65pt;height:0.05pt;width:54pt;z-index:251660288;mso-width-relative:page;mso-height-relative:page;" coordsize="21600,21600">
            <v:path arrowok="t"/>
            <v:fill focussize="0,0"/>
            <v:stroke weight="2.25pt"/>
            <v:imagedata o:title=""/>
            <o:lock v:ext="edit"/>
          </v:line>
        </w:pict>
      </w:r>
      <w:r>
        <w:rPr>
          <w:rFonts w:ascii="Times New Roman" w:hAnsi="Times New Roman" w:eastAsia="仿宋_GB2312" w:cs="Times New Roman"/>
          <w:color w:val="auto"/>
          <w:sz w:val="20"/>
        </w:rPr>
        <w:pict>
          <v:line id="_x0000_s2124" o:spid="_x0000_s2124" o:spt="20" style="position:absolute;left:0pt;flip:y;margin-left:262.15pt;margin-top:11.65pt;height:0pt;width:50.25pt;z-index:251661312;mso-width-relative:page;mso-height-relative:page;" coordsize="21600,21600">
            <v:path arrowok="t"/>
            <v:fill focussize="0,0"/>
            <v:stroke weight="2.25pt" dashstyle="dash"/>
            <v:imagedata o:title=""/>
            <o:lock v:ext="edit"/>
          </v:line>
        </w:pict>
      </w:r>
      <w:r>
        <w:rPr>
          <w:rFonts w:ascii="Times New Roman" w:hAnsi="Times New Roman" w:eastAsia="仿宋_GB2312" w:cs="Times New Roman"/>
          <w:color w:val="auto"/>
          <w:sz w:val="22"/>
        </w:rPr>
        <w:t>备注：主体工程：                 水土保持工程：</w:t>
      </w:r>
    </w:p>
    <w:p>
      <w:pPr>
        <w:spacing w:line="360" w:lineRule="auto"/>
        <w:rPr>
          <w:rFonts w:ascii="Times New Roman" w:hAnsi="Times New Roman" w:eastAsia="仿宋_GB2312" w:cs="Times New Roman"/>
          <w:color w:val="auto"/>
          <w:szCs w:val="24"/>
        </w:rPr>
        <w:sectPr>
          <w:headerReference r:id="rId36" w:type="default"/>
          <w:footerReference r:id="rId37" w:type="default"/>
          <w:pgSz w:w="16838" w:h="11906" w:orient="landscape"/>
          <w:pgMar w:top="1519" w:right="1440" w:bottom="1519" w:left="1440" w:header="851" w:footer="992" w:gutter="0"/>
          <w:pgBorders>
            <w:top w:val="none" w:sz="0" w:space="0"/>
            <w:left w:val="none" w:sz="0" w:space="0"/>
            <w:bottom w:val="none" w:sz="0" w:space="0"/>
            <w:right w:val="none" w:sz="0" w:space="0"/>
          </w:pgBorders>
          <w:cols w:space="720" w:num="1"/>
          <w:docGrid w:type="lines" w:linePitch="332" w:charSpace="0"/>
        </w:sectPr>
      </w:pPr>
    </w:p>
    <w:bookmarkEnd w:id="285"/>
    <w:bookmarkEnd w:id="286"/>
    <w:bookmarkEnd w:id="287"/>
    <w:bookmarkEnd w:id="288"/>
    <w:p>
      <w:pPr>
        <w:keepNext/>
        <w:keepLines/>
        <w:spacing w:line="360" w:lineRule="auto"/>
        <w:jc w:val="center"/>
        <w:outlineLvl w:val="0"/>
        <w:rPr>
          <w:rFonts w:ascii="Times New Roman" w:hAnsi="Times New Roman" w:cs="Times New Roman"/>
          <w:b/>
          <w:color w:val="auto"/>
          <w:kern w:val="44"/>
          <w:sz w:val="36"/>
          <w:szCs w:val="36"/>
        </w:rPr>
      </w:pPr>
      <w:bookmarkStart w:id="334" w:name="_Toc514431475"/>
      <w:bookmarkStart w:id="335" w:name="_Toc514432619"/>
      <w:bookmarkStart w:id="336" w:name="_Toc514430865"/>
      <w:bookmarkStart w:id="337" w:name="_Toc6213"/>
      <w:bookmarkStart w:id="486" w:name="_GoBack"/>
      <w:bookmarkEnd w:id="486"/>
      <w:r>
        <w:rPr>
          <w:rFonts w:ascii="Times New Roman" w:hAnsi="Times New Roman" w:cs="Times New Roman"/>
          <w:b/>
          <w:color w:val="auto"/>
          <w:kern w:val="44"/>
          <w:sz w:val="36"/>
          <w:szCs w:val="36"/>
        </w:rPr>
        <w:t>6</w:t>
      </w:r>
      <w:r>
        <w:rPr>
          <w:rFonts w:ascii="Times New Roman" w:hAnsi="Times New Roman" w:eastAsia="仿宋_GB2312" w:cs="Times New Roman"/>
          <w:b/>
          <w:color w:val="auto"/>
          <w:kern w:val="44"/>
          <w:sz w:val="36"/>
          <w:szCs w:val="36"/>
        </w:rPr>
        <w:t>水土保持监测</w:t>
      </w:r>
      <w:bookmarkEnd w:id="334"/>
      <w:bookmarkEnd w:id="335"/>
      <w:bookmarkEnd w:id="336"/>
      <w:bookmarkEnd w:id="337"/>
    </w:p>
    <w:p>
      <w:pPr>
        <w:keepNext/>
        <w:keepLines/>
        <w:spacing w:line="360" w:lineRule="auto"/>
        <w:outlineLvl w:val="1"/>
        <w:rPr>
          <w:rFonts w:ascii="Times New Roman" w:hAnsi="Times New Roman" w:cs="Times New Roman"/>
          <w:b/>
          <w:color w:val="auto"/>
          <w:sz w:val="32"/>
          <w:szCs w:val="20"/>
        </w:rPr>
      </w:pPr>
      <w:bookmarkStart w:id="338" w:name="_Toc1771"/>
      <w:bookmarkStart w:id="339" w:name="_Toc32634"/>
      <w:bookmarkStart w:id="340" w:name="_Toc499039895"/>
      <w:bookmarkStart w:id="341" w:name="_Toc439243932"/>
      <w:bookmarkStart w:id="342" w:name="_Toc514431477"/>
      <w:bookmarkStart w:id="343" w:name="_Toc514432621"/>
      <w:bookmarkStart w:id="344" w:name="_Toc451799235"/>
      <w:bookmarkStart w:id="345" w:name="_Toc514430867"/>
      <w:r>
        <w:rPr>
          <w:rFonts w:ascii="Times New Roman" w:hAnsi="Times New Roman" w:cs="Times New Roman"/>
          <w:b/>
          <w:color w:val="auto"/>
          <w:sz w:val="32"/>
          <w:szCs w:val="20"/>
        </w:rPr>
        <w:t xml:space="preserve">6.1 </w:t>
      </w:r>
      <w:r>
        <w:rPr>
          <w:rFonts w:ascii="Times New Roman" w:hAnsi="Times New Roman" w:eastAsia="仿宋_GB2312" w:cs="Times New Roman"/>
          <w:b/>
          <w:color w:val="auto"/>
          <w:sz w:val="32"/>
          <w:szCs w:val="20"/>
        </w:rPr>
        <w:t>范围与时段</w:t>
      </w:r>
      <w:bookmarkEnd w:id="338"/>
      <w:bookmarkEnd w:id="339"/>
      <w:bookmarkEnd w:id="340"/>
      <w:bookmarkEnd w:id="341"/>
      <w:bookmarkEnd w:id="342"/>
      <w:bookmarkEnd w:id="343"/>
      <w:bookmarkEnd w:id="344"/>
      <w:bookmarkEnd w:id="345"/>
    </w:p>
    <w:p>
      <w:pPr>
        <w:widowControl/>
        <w:snapToGrid w:val="0"/>
        <w:spacing w:line="360" w:lineRule="auto"/>
        <w:ind w:firstLine="482"/>
        <w:rPr>
          <w:rFonts w:ascii="Times New Roman" w:hAnsi="Times New Roman" w:eastAsia="仿宋_GB2312" w:cs="Times New Roman"/>
          <w:color w:val="auto"/>
          <w:kern w:val="0"/>
          <w:szCs w:val="24"/>
        </w:rPr>
      </w:pPr>
      <w:r>
        <w:rPr>
          <w:rFonts w:hint="eastAsia" w:ascii="Times New Roman" w:hAnsi="Times New Roman" w:eastAsia="仿宋_GB2312" w:cs="Times New Roman"/>
          <w:color w:val="auto"/>
          <w:kern w:val="0"/>
          <w:szCs w:val="24"/>
        </w:rPr>
        <w:t>水土保持监测范围为水土流失防治责任范围，</w:t>
      </w:r>
      <w:r>
        <w:rPr>
          <w:rFonts w:ascii="Times New Roman" w:hAnsi="Times New Roman" w:eastAsia="仿宋_GB2312" w:cs="Times New Roman"/>
          <w:color w:val="auto"/>
          <w:kern w:val="0"/>
          <w:szCs w:val="24"/>
        </w:rPr>
        <w:t>本</w:t>
      </w:r>
      <w:r>
        <w:rPr>
          <w:rFonts w:hint="eastAsia" w:ascii="Times New Roman" w:hAnsi="Times New Roman" w:eastAsia="仿宋_GB2312" w:cs="Times New Roman"/>
          <w:color w:val="auto"/>
          <w:kern w:val="0"/>
          <w:szCs w:val="24"/>
        </w:rPr>
        <w:t>项目水土流失防治责任范围为100</w:t>
      </w:r>
      <w:r>
        <w:rPr>
          <w:rFonts w:ascii="Times New Roman" w:hAnsi="Times New Roman" w:eastAsia="仿宋_GB2312" w:cs="Times New Roman"/>
          <w:color w:val="auto"/>
          <w:kern w:val="0"/>
          <w:szCs w:val="24"/>
        </w:rPr>
        <w:t>hm</w:t>
      </w:r>
      <w:r>
        <w:rPr>
          <w:rFonts w:ascii="Times New Roman" w:hAnsi="Times New Roman" w:eastAsia="仿宋_GB2312" w:cs="Times New Roman"/>
          <w:color w:val="auto"/>
          <w:kern w:val="0"/>
          <w:szCs w:val="24"/>
          <w:vertAlign w:val="superscript"/>
        </w:rPr>
        <w:t>2</w:t>
      </w:r>
      <w:r>
        <w:rPr>
          <w:rFonts w:ascii="Times New Roman" w:hAnsi="Times New Roman" w:eastAsia="仿宋_GB2312" w:cs="Times New Roman"/>
          <w:color w:val="auto"/>
          <w:kern w:val="0"/>
          <w:szCs w:val="24"/>
        </w:rPr>
        <w:t>，因此水土保持监测范围</w:t>
      </w:r>
      <w:r>
        <w:rPr>
          <w:rFonts w:hint="eastAsia" w:ascii="Times New Roman" w:hAnsi="Times New Roman" w:eastAsia="仿宋_GB2312" w:cs="Times New Roman"/>
          <w:color w:val="auto"/>
          <w:kern w:val="0"/>
          <w:szCs w:val="24"/>
        </w:rPr>
        <w:t>为100</w:t>
      </w:r>
      <w:r>
        <w:rPr>
          <w:rFonts w:ascii="Times New Roman" w:hAnsi="Times New Roman" w:eastAsia="仿宋_GB2312" w:cs="Times New Roman"/>
          <w:color w:val="auto"/>
          <w:kern w:val="0"/>
          <w:szCs w:val="24"/>
        </w:rPr>
        <w:t>hm</w:t>
      </w:r>
      <w:r>
        <w:rPr>
          <w:rFonts w:ascii="Times New Roman" w:hAnsi="Times New Roman" w:eastAsia="仿宋_GB2312" w:cs="Times New Roman"/>
          <w:color w:val="auto"/>
          <w:kern w:val="0"/>
          <w:szCs w:val="24"/>
          <w:vertAlign w:val="superscript"/>
        </w:rPr>
        <w:t>2</w:t>
      </w:r>
      <w:r>
        <w:rPr>
          <w:rFonts w:hint="eastAsia" w:ascii="Times New Roman" w:hAnsi="Times New Roman" w:eastAsia="仿宋_GB2312" w:cs="Times New Roman"/>
          <w:color w:val="auto"/>
          <w:kern w:val="0"/>
          <w:szCs w:val="24"/>
        </w:rPr>
        <w:t>，包括</w:t>
      </w:r>
      <w:r>
        <w:rPr>
          <w:rFonts w:hint="eastAsia" w:ascii="Times New Roman" w:hAnsi="Times New Roman" w:eastAsia="仿宋_GB2312" w:cs="Times New Roman"/>
          <w:color w:val="auto"/>
          <w:szCs w:val="24"/>
        </w:rPr>
        <w:t>公共基础设施区、区域规划功能区、施工临时设施区</w:t>
      </w:r>
      <w:r>
        <w:rPr>
          <w:rFonts w:ascii="Times New Roman" w:hAnsi="Times New Roman" w:eastAsia="仿宋_GB2312" w:cs="Times New Roman"/>
          <w:color w:val="auto"/>
          <w:kern w:val="0"/>
          <w:szCs w:val="24"/>
        </w:rPr>
        <w:t>。</w:t>
      </w:r>
    </w:p>
    <w:p>
      <w:pPr>
        <w:widowControl/>
        <w:snapToGrid w:val="0"/>
        <w:spacing w:line="360" w:lineRule="auto"/>
        <w:ind w:firstLine="482"/>
        <w:rPr>
          <w:rFonts w:ascii="Times New Roman" w:hAnsi="Times New Roman" w:eastAsia="仿宋_GB2312" w:cs="Times New Roman"/>
          <w:color w:val="auto"/>
          <w:kern w:val="0"/>
          <w:szCs w:val="24"/>
        </w:rPr>
      </w:pPr>
      <w:r>
        <w:rPr>
          <w:rFonts w:ascii="Times New Roman" w:hAnsi="Times New Roman" w:eastAsia="仿宋_GB2312" w:cs="Times New Roman"/>
          <w:color w:val="auto"/>
          <w:kern w:val="0"/>
          <w:szCs w:val="24"/>
        </w:rPr>
        <w:t>根据规划区域开发建设进度和水土保持措施实施进度安排，为保证监测的实时性和准确性，水土保持监测应与主体工程建设同步进行，监测时段从施工准备期开始至设计水平年结束，即为202</w:t>
      </w:r>
      <w:r>
        <w:rPr>
          <w:rFonts w:hint="eastAsia" w:ascii="Times New Roman" w:hAnsi="Times New Roman" w:eastAsia="仿宋_GB2312" w:cs="Times New Roman"/>
          <w:color w:val="auto"/>
          <w:kern w:val="0"/>
          <w:szCs w:val="24"/>
        </w:rPr>
        <w:t>1</w:t>
      </w:r>
      <w:r>
        <w:rPr>
          <w:rFonts w:ascii="Times New Roman" w:hAnsi="Times New Roman" w:eastAsia="仿宋_GB2312" w:cs="Times New Roman"/>
          <w:color w:val="auto"/>
          <w:kern w:val="0"/>
          <w:szCs w:val="24"/>
        </w:rPr>
        <w:t>年</w:t>
      </w:r>
      <w:r>
        <w:rPr>
          <w:rFonts w:hint="eastAsia" w:ascii="Times New Roman" w:hAnsi="Times New Roman" w:eastAsia="仿宋_GB2312" w:cs="Times New Roman"/>
          <w:color w:val="auto"/>
          <w:kern w:val="0"/>
          <w:szCs w:val="24"/>
        </w:rPr>
        <w:t>1</w:t>
      </w:r>
      <w:r>
        <w:rPr>
          <w:rFonts w:ascii="Times New Roman" w:hAnsi="Times New Roman" w:eastAsia="仿宋_GB2312" w:cs="Times New Roman"/>
          <w:color w:val="auto"/>
          <w:kern w:val="0"/>
          <w:szCs w:val="24"/>
        </w:rPr>
        <w:t>月至202</w:t>
      </w:r>
      <w:r>
        <w:rPr>
          <w:rFonts w:hint="eastAsia" w:ascii="Times New Roman" w:hAnsi="Times New Roman" w:eastAsia="仿宋_GB2312" w:cs="Times New Roman"/>
          <w:color w:val="auto"/>
          <w:kern w:val="0"/>
          <w:szCs w:val="24"/>
        </w:rPr>
        <w:t>6</w:t>
      </w:r>
      <w:r>
        <w:rPr>
          <w:rFonts w:ascii="Times New Roman" w:hAnsi="Times New Roman" w:eastAsia="仿宋_GB2312" w:cs="Times New Roman"/>
          <w:color w:val="auto"/>
          <w:kern w:val="0"/>
          <w:szCs w:val="24"/>
        </w:rPr>
        <w:t>年12月，共</w:t>
      </w:r>
      <w:r>
        <w:rPr>
          <w:rFonts w:hint="eastAsia" w:ascii="Times New Roman" w:hAnsi="Times New Roman" w:eastAsia="仿宋_GB2312" w:cs="Times New Roman"/>
          <w:color w:val="auto"/>
          <w:kern w:val="0"/>
          <w:szCs w:val="24"/>
        </w:rPr>
        <w:t>72</w:t>
      </w:r>
      <w:r>
        <w:rPr>
          <w:rFonts w:ascii="Times New Roman" w:hAnsi="Times New Roman" w:eastAsia="仿宋_GB2312" w:cs="Times New Roman"/>
          <w:color w:val="auto"/>
          <w:kern w:val="0"/>
          <w:szCs w:val="24"/>
        </w:rPr>
        <w:t>个月</w:t>
      </w:r>
      <w:r>
        <w:rPr>
          <w:rFonts w:hint="eastAsia" w:ascii="Times New Roman" w:hAnsi="Times New Roman" w:eastAsia="仿宋_GB2312" w:cs="Times New Roman"/>
          <w:color w:val="auto"/>
          <w:kern w:val="0"/>
          <w:szCs w:val="24"/>
        </w:rPr>
        <w:t>。</w:t>
      </w:r>
    </w:p>
    <w:p>
      <w:pPr>
        <w:keepNext/>
        <w:keepLines/>
        <w:spacing w:line="360" w:lineRule="auto"/>
        <w:outlineLvl w:val="1"/>
        <w:rPr>
          <w:rFonts w:ascii="Times New Roman" w:hAnsi="Times New Roman" w:eastAsia="仿宋_GB2312" w:cs="Times New Roman"/>
          <w:b/>
          <w:color w:val="auto"/>
          <w:sz w:val="32"/>
          <w:szCs w:val="20"/>
        </w:rPr>
      </w:pPr>
      <w:bookmarkStart w:id="346" w:name="_Toc15409"/>
      <w:bookmarkStart w:id="347" w:name="_Toc514432622"/>
      <w:bookmarkStart w:id="348" w:name="_Toc451799236"/>
      <w:bookmarkStart w:id="349" w:name="_Toc499039896"/>
      <w:bookmarkStart w:id="350" w:name="_Toc439243933"/>
      <w:bookmarkStart w:id="351" w:name="_Toc14461"/>
      <w:bookmarkStart w:id="352" w:name="_Toc514431478"/>
      <w:bookmarkStart w:id="353" w:name="_Toc514430868"/>
      <w:r>
        <w:rPr>
          <w:rFonts w:ascii="Times New Roman" w:hAnsi="Times New Roman" w:eastAsia="仿宋_GB2312" w:cs="Times New Roman"/>
          <w:b/>
          <w:color w:val="auto"/>
          <w:sz w:val="32"/>
          <w:szCs w:val="20"/>
        </w:rPr>
        <w:t>6.2 内容和方法</w:t>
      </w:r>
      <w:bookmarkEnd w:id="346"/>
      <w:bookmarkEnd w:id="347"/>
      <w:bookmarkEnd w:id="348"/>
      <w:bookmarkEnd w:id="349"/>
      <w:bookmarkEnd w:id="350"/>
      <w:bookmarkEnd w:id="351"/>
      <w:bookmarkEnd w:id="352"/>
      <w:bookmarkEnd w:id="353"/>
    </w:p>
    <w:p>
      <w:pPr>
        <w:spacing w:line="360" w:lineRule="auto"/>
        <w:outlineLvl w:val="2"/>
        <w:rPr>
          <w:rFonts w:ascii="Times New Roman" w:hAnsi="Times New Roman" w:eastAsia="仿宋_GB2312" w:cs="Times New Roman"/>
          <w:b/>
          <w:color w:val="auto"/>
          <w:sz w:val="30"/>
          <w:szCs w:val="30"/>
        </w:rPr>
      </w:pPr>
      <w:bookmarkStart w:id="354" w:name="_Toc28907"/>
      <w:r>
        <w:rPr>
          <w:rFonts w:ascii="Times New Roman" w:hAnsi="Times New Roman" w:eastAsia="仿宋_GB2312" w:cs="Times New Roman"/>
          <w:b/>
          <w:color w:val="auto"/>
          <w:sz w:val="30"/>
          <w:szCs w:val="30"/>
        </w:rPr>
        <w:t>6.2.1监测内容</w:t>
      </w:r>
      <w:bookmarkEnd w:id="354"/>
    </w:p>
    <w:p>
      <w:pPr>
        <w:spacing w:line="360" w:lineRule="auto"/>
        <w:ind w:firstLine="480" w:firstLineChars="200"/>
        <w:rPr>
          <w:rFonts w:ascii="Times New Roman" w:hAnsi="Times New Roman" w:eastAsia="仿宋_GB2312" w:cs="Times New Roman"/>
          <w:color w:val="auto"/>
          <w:szCs w:val="24"/>
        </w:rPr>
      </w:pPr>
      <w:bookmarkStart w:id="355" w:name="_Toc6665"/>
      <w:r>
        <w:rPr>
          <w:rFonts w:ascii="Times New Roman" w:hAnsi="Times New Roman" w:eastAsia="仿宋_GB2312" w:cs="Times New Roman"/>
          <w:color w:val="auto"/>
          <w:szCs w:val="24"/>
        </w:rPr>
        <w:t>依据《生产建设项目水土保持监测与评价标准》（GB/T51240-2018）的要求，结合工程实际情况，确定水土保持监测内容应包括水土流失自然影响因素、扰动土地、水土流失状况、水土流失防治成效和水土流失危害等。</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（1）水土流失自然影响因素监测</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①</w:t>
      </w:r>
      <w:r>
        <w:rPr>
          <w:rFonts w:ascii="Times New Roman" w:hAnsi="Times New Roman" w:eastAsia="仿宋_GB2312" w:cs="Times New Roman"/>
          <w:color w:val="auto"/>
          <w:szCs w:val="24"/>
        </w:rPr>
        <w:t>气象水文、地形地貌、地表组成物质、植被等自然影响因素；</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（2）扰动土地</w:t>
      </w:r>
      <w:r>
        <w:rPr>
          <w:rFonts w:hint="eastAsia" w:ascii="Times New Roman" w:hAnsi="Times New Roman" w:eastAsia="仿宋_GB2312" w:cs="Times New Roman"/>
          <w:color w:val="auto"/>
          <w:szCs w:val="24"/>
        </w:rPr>
        <w:t>情况监测</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①</w:t>
      </w:r>
      <w:r>
        <w:rPr>
          <w:rFonts w:ascii="Times New Roman" w:hAnsi="Times New Roman" w:eastAsia="仿宋_GB2312" w:cs="Times New Roman"/>
          <w:color w:val="auto"/>
          <w:szCs w:val="24"/>
        </w:rPr>
        <w:t>项目建设对原地表、水土保持设施、植被的占压和损毁情况；</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②</w:t>
      </w:r>
      <w:r>
        <w:rPr>
          <w:rFonts w:ascii="Times New Roman" w:hAnsi="Times New Roman" w:eastAsia="仿宋_GB2312" w:cs="Times New Roman"/>
          <w:color w:val="auto"/>
          <w:szCs w:val="24"/>
        </w:rPr>
        <w:t>项目征占地和水土流失防治责任范围变化情况；</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③</w:t>
      </w:r>
      <w:r>
        <w:rPr>
          <w:rFonts w:ascii="Times New Roman" w:hAnsi="Times New Roman" w:eastAsia="仿宋_GB2312" w:cs="Times New Roman"/>
          <w:color w:val="auto"/>
          <w:szCs w:val="24"/>
        </w:rPr>
        <w:t>项目临时堆土的占地面积、临时堆土量及堆放方式；</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（3）水土流失状况监测</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①</w:t>
      </w:r>
      <w:r>
        <w:rPr>
          <w:rFonts w:ascii="Times New Roman" w:hAnsi="Times New Roman" w:eastAsia="仿宋_GB2312" w:cs="Times New Roman"/>
          <w:color w:val="auto"/>
          <w:szCs w:val="24"/>
        </w:rPr>
        <w:t>水土流失的类型、形式、面积、分布及强度；</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②</w:t>
      </w:r>
      <w:r>
        <w:rPr>
          <w:rFonts w:ascii="Times New Roman" w:hAnsi="Times New Roman" w:eastAsia="仿宋_GB2312" w:cs="Times New Roman"/>
          <w:color w:val="auto"/>
          <w:szCs w:val="24"/>
        </w:rPr>
        <w:t>各监测分区及其重点对象的土壤流失量。</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（4）水土保持措施监测</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①</w:t>
      </w:r>
      <w:r>
        <w:rPr>
          <w:rFonts w:ascii="Times New Roman" w:hAnsi="Times New Roman" w:eastAsia="仿宋_GB2312" w:cs="Times New Roman"/>
          <w:color w:val="auto"/>
          <w:szCs w:val="24"/>
        </w:rPr>
        <w:t>植物措施的种类、面积、分布、生长状况、成活率、保存率和林草覆盖率；</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②</w:t>
      </w:r>
      <w:r>
        <w:rPr>
          <w:rFonts w:ascii="Times New Roman" w:hAnsi="Times New Roman" w:eastAsia="仿宋_GB2312" w:cs="Times New Roman"/>
          <w:color w:val="auto"/>
          <w:szCs w:val="24"/>
        </w:rPr>
        <w:t>工程措施的类型、数量、分布和完好程度；</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③</w:t>
      </w:r>
      <w:r>
        <w:rPr>
          <w:rFonts w:ascii="Times New Roman" w:hAnsi="Times New Roman" w:eastAsia="仿宋_GB2312" w:cs="Times New Roman"/>
          <w:color w:val="auto"/>
          <w:szCs w:val="24"/>
        </w:rPr>
        <w:t>临时措施的类型、数量和分布；</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④</w:t>
      </w:r>
      <w:r>
        <w:rPr>
          <w:rFonts w:ascii="Times New Roman" w:hAnsi="Times New Roman" w:eastAsia="仿宋_GB2312" w:cs="Times New Roman"/>
          <w:color w:val="auto"/>
          <w:szCs w:val="24"/>
        </w:rPr>
        <w:t>主体工程和各项水土保持措施的实施进展情况；</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⑤</w:t>
      </w:r>
      <w:r>
        <w:rPr>
          <w:rFonts w:ascii="Times New Roman" w:hAnsi="Times New Roman" w:eastAsia="仿宋_GB2312" w:cs="Times New Roman"/>
          <w:color w:val="auto"/>
          <w:szCs w:val="24"/>
        </w:rPr>
        <w:t>水土保持措施度对主体工程安全建设和运行发挥的作用；</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⑥</w:t>
      </w:r>
      <w:r>
        <w:rPr>
          <w:rFonts w:ascii="Times New Roman" w:hAnsi="Times New Roman" w:eastAsia="仿宋_GB2312" w:cs="Times New Roman"/>
          <w:color w:val="auto"/>
          <w:szCs w:val="24"/>
        </w:rPr>
        <w:t>水土保持措施对周边生态环境发挥的作用。</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（5）水土流失危害监测</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①</w:t>
      </w:r>
      <w:r>
        <w:rPr>
          <w:rFonts w:ascii="Times New Roman" w:hAnsi="Times New Roman" w:eastAsia="仿宋_GB2312" w:cs="Times New Roman"/>
          <w:color w:val="auto"/>
          <w:szCs w:val="24"/>
        </w:rPr>
        <w:t>水土流失对主体工程造成危害的方式、数量和程度；</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②</w:t>
      </w:r>
      <w:r>
        <w:rPr>
          <w:rFonts w:ascii="Times New Roman" w:hAnsi="Times New Roman" w:eastAsia="仿宋_GB2312" w:cs="Times New Roman"/>
          <w:color w:val="auto"/>
          <w:szCs w:val="24"/>
        </w:rPr>
        <w:t>水土流失掩埋冲毁道路、居民点等的数量、程度；</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③</w:t>
      </w:r>
      <w:r>
        <w:rPr>
          <w:rFonts w:ascii="Times New Roman" w:hAnsi="Times New Roman" w:eastAsia="仿宋_GB2312" w:cs="Times New Roman"/>
          <w:color w:val="auto"/>
          <w:szCs w:val="24"/>
        </w:rPr>
        <w:t>生产建设项目造成的沙化、崩塌、滑坡、泥石流等灾害；</w:t>
      </w:r>
    </w:p>
    <w:p>
      <w:pPr>
        <w:spacing w:line="360" w:lineRule="auto"/>
        <w:ind w:firstLine="480" w:firstLineChars="200"/>
        <w:rPr>
          <w:rFonts w:ascii="Times New Roman" w:hAnsi="Times New Roman" w:eastAsia="仿宋_GB2312" w:cs="Times New Roman"/>
          <w:color w:val="auto"/>
        </w:rPr>
      </w:pPr>
      <w:r>
        <w:rPr>
          <w:rFonts w:hint="eastAsia" w:ascii="宋体" w:hAnsi="宋体" w:cs="宋体"/>
          <w:color w:val="auto"/>
          <w:szCs w:val="24"/>
        </w:rPr>
        <w:t>④</w:t>
      </w:r>
      <w:r>
        <w:rPr>
          <w:rFonts w:ascii="Times New Roman" w:hAnsi="Times New Roman" w:eastAsia="仿宋_GB2312" w:cs="Times New Roman"/>
          <w:color w:val="auto"/>
          <w:szCs w:val="24"/>
        </w:rPr>
        <w:t>对水源地、生态保护区、江河湖泊、水库、塘坝、航道的危害，有可能直接进入江河湖泊或产生行洪安全影响的弃渣情况。</w:t>
      </w:r>
    </w:p>
    <w:p>
      <w:pPr>
        <w:spacing w:line="360" w:lineRule="auto"/>
        <w:outlineLvl w:val="2"/>
        <w:rPr>
          <w:rFonts w:ascii="Times New Roman" w:hAnsi="Times New Roman" w:cs="Times New Roman"/>
          <w:b/>
          <w:color w:val="auto"/>
          <w:sz w:val="30"/>
          <w:szCs w:val="30"/>
        </w:rPr>
      </w:pPr>
      <w:r>
        <w:rPr>
          <w:rFonts w:ascii="Times New Roman" w:hAnsi="Times New Roman" w:cs="Times New Roman"/>
          <w:b/>
          <w:color w:val="auto"/>
          <w:sz w:val="30"/>
          <w:szCs w:val="30"/>
        </w:rPr>
        <w:t>6.2.2</w:t>
      </w:r>
      <w:r>
        <w:rPr>
          <w:rFonts w:ascii="Times New Roman" w:hAnsi="Times New Roman" w:eastAsia="仿宋_GB2312" w:cs="Times New Roman"/>
          <w:b/>
          <w:color w:val="auto"/>
          <w:sz w:val="30"/>
          <w:szCs w:val="30"/>
        </w:rPr>
        <w:t>监测方法</w:t>
      </w:r>
      <w:bookmarkEnd w:id="355"/>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针对不同水土保持监测分区，以各项监测指标为主线，制定不同的监测方法。水土保持监测的基本方法包括地面观测、调查监测、遥感监测及视频监测。根据监测任务要求及《生产建设项目水土保持监测与评价标准》（GBT51240-2018）的规定，本</w:t>
      </w:r>
      <w:r>
        <w:rPr>
          <w:rFonts w:hint="eastAsia" w:ascii="Times New Roman" w:hAnsi="Times New Roman" w:eastAsia="仿宋_GB2312" w:cs="Times New Roman"/>
          <w:color w:val="auto"/>
          <w:szCs w:val="24"/>
          <w:lang w:val="en-US" w:eastAsia="zh-CN"/>
        </w:rPr>
        <w:t>区域评估报告</w:t>
      </w:r>
      <w:r>
        <w:rPr>
          <w:rFonts w:ascii="Times New Roman" w:hAnsi="Times New Roman" w:eastAsia="仿宋_GB2312" w:cs="Times New Roman"/>
          <w:color w:val="auto"/>
          <w:szCs w:val="24"/>
        </w:rPr>
        <w:t>监测工作采用调查监测、定位监测、遥感监测及视频监测相结合的方法进行。</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（一）调查监测</w:t>
      </w:r>
    </w:p>
    <w:p>
      <w:pPr>
        <w:adjustRightIn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主要对水土流失因子、不同施工区的水土流失防治效果和基本状况采用调查的方法获得数据，采用实地勘察、抽样调查、典型调查、巡查等方法，结合本工程水土保持</w:t>
      </w:r>
      <w:r>
        <w:rPr>
          <w:rFonts w:hint="eastAsia" w:ascii="Times New Roman" w:hAnsi="Times New Roman" w:eastAsia="仿宋_GB2312" w:cs="Times New Roman"/>
          <w:color w:val="auto"/>
          <w:szCs w:val="24"/>
          <w:lang w:val="en-US" w:eastAsia="zh-CN"/>
        </w:rPr>
        <w:t>区域评估报告</w:t>
      </w:r>
      <w:r>
        <w:rPr>
          <w:rFonts w:ascii="Times New Roman" w:hAnsi="Times New Roman" w:eastAsia="仿宋_GB2312" w:cs="Times New Roman"/>
          <w:color w:val="auto"/>
          <w:szCs w:val="24"/>
        </w:rPr>
        <w:t>、水土保持设计文件对监测地域的地形、地貌、坡度、水系的变化、土壤、植被、土地利用、工程扰动、防护工程建设等各方面情况进行全面调查和相应的量测，获取主要的水土流失因子变化和水土保持防治效益的数据，同时，查阅设计文件，在建设单位的协助下，获取施工过程中有关土石方挖填数量及弃土弃渣量，进行实地调查，以评估工程施工引起的水土流失及影响。</w:t>
      </w:r>
    </w:p>
    <w:p>
      <w:pPr>
        <w:adjustRightInd w:val="0"/>
        <w:spacing w:line="360" w:lineRule="auto"/>
        <w:ind w:firstLine="480" w:firstLineChars="200"/>
        <w:jc w:val="left"/>
        <w:rPr>
          <w:rFonts w:ascii="Times New Roman" w:hAnsi="Times New Roman" w:eastAsia="仿宋_GB2312" w:cs="Times New Roman"/>
          <w:color w:val="auto"/>
        </w:rPr>
      </w:pPr>
      <w:r>
        <w:rPr>
          <w:rFonts w:hint="eastAsia" w:ascii="Times New Roman" w:hAnsi="Times New Roman" w:eastAsia="仿宋_GB2312" w:cs="Times New Roman"/>
          <w:color w:val="auto"/>
        </w:rPr>
        <w:t>（1）</w:t>
      </w:r>
      <w:r>
        <w:rPr>
          <w:rFonts w:ascii="Times New Roman" w:hAnsi="Times New Roman" w:eastAsia="仿宋_GB2312" w:cs="Times New Roman"/>
          <w:color w:val="auto"/>
        </w:rPr>
        <w:t>现场调查</w:t>
      </w:r>
    </w:p>
    <w:p>
      <w:pPr>
        <w:adjustRightInd w:val="0"/>
        <w:spacing w:line="360" w:lineRule="auto"/>
        <w:ind w:firstLine="480" w:firstLineChars="200"/>
        <w:jc w:val="left"/>
        <w:rPr>
          <w:rFonts w:ascii="Times New Roman" w:hAnsi="Times New Roman" w:eastAsia="仿宋_GB2312" w:cs="Times New Roman"/>
          <w:color w:val="auto"/>
        </w:rPr>
      </w:pPr>
      <w:r>
        <w:rPr>
          <w:rFonts w:ascii="Times New Roman" w:hAnsi="Times New Roman" w:eastAsia="仿宋_GB2312" w:cs="Times New Roman"/>
          <w:color w:val="auto"/>
        </w:rPr>
        <w:t>对工程施工期间的水土流失情况主要采取进场前遥感影像的调取、现场查看、走访，主要调查工程施工期的水土流失及其防治方面的经验和教训，并分析目前存在的隐患，调查总结水土流失及其防治方面的经验，存在的问题和解决办法。</w:t>
      </w:r>
    </w:p>
    <w:p>
      <w:pPr>
        <w:adjustRightInd w:val="0"/>
        <w:spacing w:line="360" w:lineRule="auto"/>
        <w:ind w:firstLine="480" w:firstLineChars="200"/>
        <w:jc w:val="left"/>
        <w:rPr>
          <w:rFonts w:ascii="Times New Roman" w:hAnsi="Times New Roman" w:eastAsia="仿宋_GB2312" w:cs="Times New Roman"/>
          <w:color w:val="auto"/>
        </w:rPr>
      </w:pPr>
      <w:r>
        <w:rPr>
          <w:rFonts w:hint="eastAsia" w:ascii="Times New Roman" w:hAnsi="Times New Roman" w:eastAsia="仿宋_GB2312" w:cs="Times New Roman"/>
          <w:color w:val="auto"/>
        </w:rPr>
        <w:t>（2）</w:t>
      </w:r>
      <w:r>
        <w:rPr>
          <w:rFonts w:ascii="Times New Roman" w:hAnsi="Times New Roman" w:eastAsia="仿宋_GB2312" w:cs="Times New Roman"/>
          <w:color w:val="auto"/>
        </w:rPr>
        <w:t>收集资料</w:t>
      </w:r>
    </w:p>
    <w:p>
      <w:pPr>
        <w:adjustRightInd w:val="0"/>
        <w:spacing w:line="360" w:lineRule="auto"/>
        <w:ind w:firstLine="480" w:firstLineChars="200"/>
        <w:jc w:val="left"/>
        <w:rPr>
          <w:rFonts w:ascii="Times New Roman" w:hAnsi="Times New Roman" w:eastAsia="仿宋_GB2312" w:cs="Times New Roman"/>
          <w:color w:val="auto"/>
        </w:rPr>
      </w:pPr>
      <w:r>
        <w:rPr>
          <w:rFonts w:ascii="Times New Roman" w:hAnsi="Times New Roman" w:eastAsia="仿宋_GB2312" w:cs="Times New Roman"/>
          <w:color w:val="auto"/>
        </w:rPr>
        <w:t>对影响工程区水土流失的相关因子资料，包括地质、地貌、土壤、植被、水文、土地利用及与水土保持相关的社会经济资料等方面进行全面收集和整理分析。</w:t>
      </w:r>
    </w:p>
    <w:p>
      <w:pPr>
        <w:adjustRightInd w:val="0"/>
        <w:spacing w:line="360" w:lineRule="auto"/>
        <w:ind w:firstLine="480" w:firstLineChars="200"/>
        <w:jc w:val="left"/>
        <w:rPr>
          <w:rFonts w:ascii="Times New Roman" w:hAnsi="Times New Roman" w:eastAsia="仿宋_GB2312" w:cs="Times New Roman"/>
          <w:color w:val="auto"/>
        </w:rPr>
      </w:pPr>
      <w:r>
        <w:rPr>
          <w:rFonts w:ascii="Times New Roman" w:hAnsi="Times New Roman" w:eastAsia="仿宋_GB2312" w:cs="Times New Roman"/>
          <w:color w:val="auto"/>
        </w:rPr>
        <w:t>资料收集采用工程设计单位、当地政府相关业务部门和工程区涉及乡镇人民政府提供等方式，以最大程度的保证资料数据的可靠性、完整性和代表性。对收集的资料均进行分类、编目、汇总和必要的统计分析，剔除不可考的资料数据。</w:t>
      </w:r>
    </w:p>
    <w:p>
      <w:pPr>
        <w:adjustRightInd w:val="0"/>
        <w:spacing w:line="360" w:lineRule="auto"/>
        <w:ind w:firstLine="480" w:firstLineChars="200"/>
        <w:jc w:val="left"/>
        <w:rPr>
          <w:rFonts w:ascii="Times New Roman" w:hAnsi="Times New Roman" w:eastAsia="仿宋_GB2312" w:cs="Times New Roman"/>
          <w:color w:val="auto"/>
        </w:rPr>
      </w:pPr>
      <w:r>
        <w:rPr>
          <w:rFonts w:ascii="Times New Roman" w:hAnsi="Times New Roman" w:eastAsia="仿宋_GB2312" w:cs="Times New Roman"/>
          <w:color w:val="auto"/>
        </w:rPr>
        <w:t>对施工开挖、弃渣临时对方情况进行调查，主要通过查阅施工设计、监理文件等资料，并结合抽查部分主体工程重点区域的实测资料，通过计算、分析确定建设过程中的挖填方量及弃土、弃渣量。</w:t>
      </w:r>
    </w:p>
    <w:p>
      <w:pPr>
        <w:adjustRightInd w:val="0"/>
        <w:spacing w:line="360" w:lineRule="auto"/>
        <w:ind w:firstLine="480" w:firstLineChars="200"/>
        <w:jc w:val="left"/>
        <w:rPr>
          <w:rFonts w:ascii="Times New Roman" w:hAnsi="Times New Roman" w:eastAsia="仿宋_GB2312" w:cs="Times New Roman"/>
          <w:color w:val="auto"/>
        </w:rPr>
      </w:pPr>
      <w:r>
        <w:rPr>
          <w:rFonts w:ascii="Times New Roman" w:hAnsi="Times New Roman" w:eastAsia="仿宋_GB2312" w:cs="Times New Roman"/>
          <w:color w:val="auto"/>
        </w:rPr>
        <w:t>扰动土地面积和程度监测，采用统计设计资料和抽查的方式，并对重点区域实际调查情况进行对比分析后综合确定，主要包括边坡侵蚀面积、范围和侵蚀量及变化情况，水土流失程度变化量及对周边地区造成的影响、趋势等多个方面。同时，充分利用建设单位的工程质量、安全监测和监理资料，并结合抽样调查结果，综合分析评价施工过程中的新建水土保持设施质量、运行情况及其稳定性。</w:t>
      </w:r>
    </w:p>
    <w:p>
      <w:pPr>
        <w:adjustRightInd w:val="0"/>
        <w:spacing w:line="360" w:lineRule="auto"/>
        <w:ind w:firstLine="480" w:firstLineChars="200"/>
        <w:jc w:val="left"/>
        <w:rPr>
          <w:rFonts w:ascii="Times New Roman" w:hAnsi="Times New Roman" w:eastAsia="仿宋_GB2312" w:cs="Times New Roman"/>
          <w:color w:val="auto"/>
        </w:rPr>
      </w:pPr>
      <w:r>
        <w:rPr>
          <w:rFonts w:hint="eastAsia" w:ascii="Times New Roman" w:hAnsi="Times New Roman" w:eastAsia="仿宋_GB2312" w:cs="Times New Roman"/>
          <w:color w:val="auto"/>
        </w:rPr>
        <w:t>（3）</w:t>
      </w:r>
      <w:r>
        <w:rPr>
          <w:rFonts w:ascii="Times New Roman" w:hAnsi="Times New Roman" w:eastAsia="仿宋_GB2312" w:cs="Times New Roman"/>
          <w:color w:val="auto"/>
        </w:rPr>
        <w:t>抽样调查</w:t>
      </w:r>
    </w:p>
    <w:p>
      <w:pPr>
        <w:adjustRightInd w:val="0"/>
        <w:spacing w:line="360" w:lineRule="auto"/>
        <w:ind w:firstLine="480" w:firstLineChars="200"/>
        <w:jc w:val="left"/>
        <w:rPr>
          <w:rFonts w:ascii="Times New Roman" w:hAnsi="Times New Roman" w:eastAsia="仿宋_GB2312" w:cs="Times New Roman"/>
          <w:color w:val="auto"/>
        </w:rPr>
      </w:pPr>
      <w:r>
        <w:rPr>
          <w:rFonts w:hint="eastAsia" w:ascii="Times New Roman" w:hAnsi="Times New Roman" w:eastAsia="仿宋_GB2312" w:cs="Times New Roman"/>
          <w:color w:val="auto"/>
        </w:rPr>
        <w:t>①</w:t>
      </w:r>
      <w:r>
        <w:rPr>
          <w:rFonts w:ascii="Times New Roman" w:hAnsi="Times New Roman" w:eastAsia="仿宋_GB2312" w:cs="Times New Roman"/>
          <w:color w:val="auto"/>
        </w:rPr>
        <w:t>工程措施抽样调查</w:t>
      </w:r>
      <w:r>
        <w:rPr>
          <w:rFonts w:hint="eastAsia" w:ascii="Times New Roman" w:hAnsi="Times New Roman" w:eastAsia="仿宋_GB2312" w:cs="Times New Roman"/>
          <w:color w:val="auto"/>
        </w:rPr>
        <w:t>：</w:t>
      </w:r>
      <w:r>
        <w:rPr>
          <w:rFonts w:ascii="Times New Roman" w:hAnsi="Times New Roman" w:eastAsia="仿宋_GB2312" w:cs="Times New Roman"/>
          <w:color w:val="auto"/>
        </w:rPr>
        <w:t>在监测工作中，具体量测水土保持工程措施的数量、规格、质量等情况，单个工程作为一个独立的样地，按照《水土保持监测技术规程》确定工程质量检查的抽样比例。抽查过程中做好记录，根据数据分析得出结论，以保证对设施质量、运行情况及其稳定性监测的真实性。</w:t>
      </w:r>
    </w:p>
    <w:p>
      <w:pPr>
        <w:adjustRightInd w:val="0"/>
        <w:spacing w:line="360" w:lineRule="auto"/>
        <w:ind w:firstLine="480" w:firstLineChars="200"/>
        <w:jc w:val="left"/>
        <w:rPr>
          <w:rFonts w:ascii="Times New Roman" w:hAnsi="Times New Roman" w:eastAsia="仿宋_GB2312" w:cs="Times New Roman"/>
          <w:color w:val="auto"/>
        </w:rPr>
      </w:pPr>
      <w:r>
        <w:rPr>
          <w:rFonts w:hint="eastAsia" w:ascii="Times New Roman" w:hAnsi="Times New Roman" w:eastAsia="仿宋_GB2312" w:cs="Times New Roman"/>
          <w:color w:val="auto"/>
        </w:rPr>
        <w:t>②</w:t>
      </w:r>
      <w:r>
        <w:rPr>
          <w:rFonts w:ascii="Times New Roman" w:hAnsi="Times New Roman" w:eastAsia="仿宋_GB2312" w:cs="Times New Roman"/>
          <w:color w:val="auto"/>
        </w:rPr>
        <w:t>植被措施抽样调查</w:t>
      </w:r>
      <w:r>
        <w:rPr>
          <w:rFonts w:hint="eastAsia" w:ascii="Times New Roman" w:hAnsi="Times New Roman" w:eastAsia="仿宋_GB2312" w:cs="Times New Roman"/>
          <w:color w:val="auto"/>
        </w:rPr>
        <w:t>：</w:t>
      </w:r>
      <w:r>
        <w:rPr>
          <w:rFonts w:ascii="Times New Roman" w:hAnsi="Times New Roman" w:eastAsia="仿宋_GB2312" w:cs="Times New Roman"/>
          <w:color w:val="auto"/>
        </w:rPr>
        <w:t>选择有代表性的地块作为样地，样地的面积为投影面积，选取带状绿化、面状绿化、点状绿化等不同类型样地，分别取样地进行观测并计算林地郁闭度、植被覆盖度、成活率及保存率等。</w:t>
      </w:r>
    </w:p>
    <w:p>
      <w:pPr>
        <w:adjustRightInd w:val="0"/>
        <w:spacing w:line="360" w:lineRule="auto"/>
        <w:ind w:firstLine="480" w:firstLineChars="200"/>
        <w:jc w:val="left"/>
        <w:rPr>
          <w:rFonts w:ascii="Times New Roman" w:hAnsi="Times New Roman" w:eastAsia="仿宋_GB2312" w:cs="Times New Roman"/>
          <w:color w:val="auto"/>
        </w:rPr>
      </w:pPr>
      <w:r>
        <w:rPr>
          <w:rFonts w:hint="eastAsia" w:ascii="Times New Roman" w:hAnsi="Times New Roman" w:eastAsia="仿宋_GB2312" w:cs="Times New Roman"/>
          <w:color w:val="auto"/>
        </w:rPr>
        <w:t>（4）</w:t>
      </w:r>
      <w:r>
        <w:rPr>
          <w:rFonts w:ascii="Times New Roman" w:hAnsi="Times New Roman" w:eastAsia="仿宋_GB2312" w:cs="Times New Roman"/>
          <w:color w:val="auto"/>
        </w:rPr>
        <w:t>巡查</w:t>
      </w:r>
    </w:p>
    <w:p>
      <w:pPr>
        <w:adjustRightInd w:val="0"/>
        <w:spacing w:line="360" w:lineRule="auto"/>
        <w:ind w:firstLine="480" w:firstLineChars="200"/>
        <w:jc w:val="left"/>
        <w:rPr>
          <w:rFonts w:ascii="Times New Roman" w:hAnsi="Times New Roman" w:eastAsia="仿宋_GB2312" w:cs="Times New Roman"/>
          <w:color w:val="auto"/>
        </w:rPr>
      </w:pPr>
      <w:r>
        <w:rPr>
          <w:rFonts w:ascii="Times New Roman" w:hAnsi="Times New Roman" w:eastAsia="仿宋_GB2312" w:cs="Times New Roman"/>
          <w:color w:val="auto"/>
        </w:rPr>
        <w:t>根据工程的实际情况，特别是主要工程建设及水土保持工程建设期间，对施工扰动区域，进行不定期全面巡查，每季度不少于一次；对水土保持措施的实施过程按监测频次进行巡查。</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（二）定点监测</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对不同地表扰动类型，侵蚀强度的监测，水力侵蚀采用地面监测方法，如测钎法、侵蚀沟量测法、简易小区法，同时采用自记雨量计观测降水量和降雨强度。</w:t>
      </w:r>
    </w:p>
    <w:p>
      <w:pPr>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（1）</w:t>
      </w:r>
      <w:r>
        <w:rPr>
          <w:rFonts w:ascii="Times New Roman" w:hAnsi="Times New Roman" w:eastAsia="仿宋_GB2312" w:cs="Times New Roman"/>
          <w:color w:val="auto"/>
          <w:szCs w:val="24"/>
        </w:rPr>
        <w:t>简易水土流失观测场法</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在土质的坡面，将直径为0.5cm-1cm，长50cm-100cm钢钎按照一定距离分上中下、右中左纵横3排共9根布设。钢钎沿前置方向打入坡面，钉帽与坡面齐平，并在钉帽上涂上红漆，编号登记入册，每次大暴雨后和汛期结束后，观察钉帽距离地面高度，计算土壤侵蚀厚度和总的土壤流失量。计算公式采用：</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A=ZS/1000cosθ</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式中：A－土壤侵蚀量（m</w:t>
      </w:r>
      <w:r>
        <w:rPr>
          <w:rFonts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Z－平均侵蚀深度（mm）</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S－侵蚀面积（m</w:t>
      </w:r>
      <w:r>
        <w:rPr>
          <w:rFonts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θ－平均坡度值</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填方区域要考虑沉降产生的影响，需在平坦地段设置对照观测或应用沉降率计算沉降高度。若钢钉不与土体同时沉降，则实际侵蚀厚度计算公式为：</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drawing>
          <wp:inline distT="0" distB="0" distL="0" distR="0">
            <wp:extent cx="695325" cy="219075"/>
            <wp:effectExtent l="0" t="0" r="9525" b="8255"/>
            <wp:docPr id="5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695325" cy="219075"/>
                    </a:xfrm>
                    <a:prstGeom prst="rect">
                      <a:avLst/>
                    </a:prstGeom>
                    <a:noFill/>
                    <a:ln>
                      <a:noFill/>
                    </a:ln>
                  </pic:spPr>
                </pic:pic>
              </a:graphicData>
            </a:graphic>
          </wp:inline>
        </w:drawing>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Z ---实际侵蚀厚度（mm）；</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Z0---观测值（mm）；</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β---沉降高度（mm）；</w:t>
      </w:r>
    </w:p>
    <w:p>
      <w:pPr>
        <w:autoSpaceDE w:val="0"/>
        <w:autoSpaceDN w:val="0"/>
        <w:adjustRightInd w:val="0"/>
        <w:jc w:val="center"/>
        <w:rPr>
          <w:rFonts w:ascii="Times New Roman" w:hAnsi="Times New Roman" w:eastAsia="仿宋_GB2312" w:cs="Times New Roman"/>
          <w:color w:val="auto"/>
          <w:kern w:val="0"/>
          <w:szCs w:val="24"/>
        </w:rPr>
      </w:pPr>
      <w:r>
        <w:rPr>
          <w:rFonts w:ascii="Times New Roman" w:hAnsi="Times New Roman" w:eastAsia="仿宋_GB2312" w:cs="Times New Roman"/>
          <w:color w:val="auto"/>
        </w:rPr>
        <w:drawing>
          <wp:inline distT="0" distB="0" distL="0" distR="0">
            <wp:extent cx="4458970" cy="1905000"/>
            <wp:effectExtent l="0" t="0" r="17780" b="0"/>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noChangeArrowheads="1"/>
                    </pic:cNvPicPr>
                  </pic:nvPicPr>
                  <pic:blipFill>
                    <a:blip r:embed="rId107" cstate="print"/>
                    <a:srcRect/>
                    <a:stretch>
                      <a:fillRect/>
                    </a:stretch>
                  </pic:blipFill>
                  <pic:spPr>
                    <a:xfrm>
                      <a:off x="0" y="0"/>
                      <a:ext cx="4459598" cy="1905000"/>
                    </a:xfrm>
                    <a:prstGeom prst="rect">
                      <a:avLst/>
                    </a:prstGeom>
                    <a:noFill/>
                    <a:ln w="9525">
                      <a:noFill/>
                      <a:miter lim="800000"/>
                      <a:headEnd/>
                      <a:tailEnd/>
                    </a:ln>
                  </pic:spPr>
                </pic:pic>
              </a:graphicData>
            </a:graphic>
          </wp:inline>
        </w:drawing>
      </w:r>
    </w:p>
    <w:p>
      <w:pPr>
        <w:adjustRightInd w:val="0"/>
        <w:snapToGrid w:val="0"/>
        <w:spacing w:line="360" w:lineRule="auto"/>
        <w:ind w:firstLine="482" w:firstLineChars="200"/>
        <w:jc w:val="center"/>
        <w:rPr>
          <w:rFonts w:ascii="Times New Roman" w:hAnsi="Times New Roman" w:eastAsia="仿宋_GB2312" w:cs="Times New Roman"/>
          <w:b/>
          <w:bCs/>
          <w:color w:val="auto"/>
          <w:szCs w:val="24"/>
        </w:rPr>
      </w:pPr>
      <w:r>
        <w:rPr>
          <w:rFonts w:ascii="Times New Roman" w:hAnsi="Times New Roman" w:eastAsia="仿宋_GB2312" w:cs="Times New Roman"/>
          <w:b/>
          <w:bCs/>
          <w:color w:val="auto"/>
          <w:szCs w:val="24"/>
        </w:rPr>
        <w:t>图6</w:t>
      </w:r>
      <w:r>
        <w:rPr>
          <w:rFonts w:hint="eastAsia" w:ascii="Times New Roman" w:hAnsi="Times New Roman" w:eastAsia="仿宋_GB2312" w:cs="Times New Roman"/>
          <w:b/>
          <w:bCs/>
          <w:color w:val="auto"/>
          <w:szCs w:val="24"/>
        </w:rPr>
        <w:t>.2</w:t>
      </w:r>
      <w:r>
        <w:rPr>
          <w:rFonts w:ascii="Times New Roman" w:hAnsi="Times New Roman" w:eastAsia="仿宋_GB2312" w:cs="Times New Roman"/>
          <w:b/>
          <w:bCs/>
          <w:color w:val="auto"/>
          <w:szCs w:val="24"/>
        </w:rPr>
        <w:t>-1</w:t>
      </w:r>
      <w:r>
        <w:rPr>
          <w:rFonts w:hint="eastAsia" w:ascii="Times New Roman" w:hAnsi="Times New Roman" w:eastAsia="仿宋_GB2312" w:cs="Times New Roman"/>
          <w:b/>
          <w:bCs/>
          <w:color w:val="auto"/>
          <w:szCs w:val="24"/>
        </w:rPr>
        <w:t>：</w:t>
      </w:r>
      <w:r>
        <w:rPr>
          <w:rFonts w:ascii="Times New Roman" w:hAnsi="Times New Roman" w:eastAsia="仿宋_GB2312" w:cs="Times New Roman"/>
          <w:b/>
          <w:bCs/>
          <w:color w:val="auto"/>
          <w:szCs w:val="24"/>
        </w:rPr>
        <w:t>水土流失简易观测场示意图</w:t>
      </w:r>
    </w:p>
    <w:p>
      <w:pPr>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（2）</w:t>
      </w:r>
      <w:r>
        <w:rPr>
          <w:rFonts w:ascii="Times New Roman" w:hAnsi="Times New Roman" w:eastAsia="仿宋_GB2312" w:cs="Times New Roman"/>
          <w:color w:val="auto"/>
          <w:szCs w:val="24"/>
        </w:rPr>
        <w:t>沉沙池法</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对于汇水面积不大、有集中出口的地方。一般修建在坡面下方、排水沟出口等部位。沉沙池的规格应根据控制的集水面积、降水强度、泥沙颗粒和沉沙时间确定。按照设计频次或在每次降雨后及时观测沉沙池中泥沙的厚度，通常是在沉沙池的四个角及中心分别量测泥沙的厚度，并测得泥沙容重，然后推算土壤流失量。</w:t>
      </w:r>
    </w:p>
    <w:p>
      <w:pPr>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（3）</w:t>
      </w:r>
      <w:r>
        <w:rPr>
          <w:rFonts w:ascii="Times New Roman" w:hAnsi="Times New Roman" w:eastAsia="仿宋_GB2312" w:cs="Times New Roman"/>
          <w:color w:val="auto"/>
          <w:szCs w:val="24"/>
        </w:rPr>
        <w:t>侵蚀沟量测法</w:t>
      </w:r>
    </w:p>
    <w:p>
      <w:pPr>
        <w:adjustRightInd w:val="0"/>
        <w:spacing w:line="360" w:lineRule="auto"/>
        <w:ind w:firstLine="480" w:firstLineChars="200"/>
        <w:jc w:val="left"/>
        <w:rPr>
          <w:rFonts w:ascii="Times New Roman" w:hAnsi="Times New Roman" w:eastAsia="仿宋_GB2312" w:cs="Times New Roman"/>
          <w:color w:val="auto"/>
        </w:rPr>
      </w:pPr>
      <w:r>
        <w:rPr>
          <w:rFonts w:ascii="Times New Roman" w:hAnsi="Times New Roman" w:eastAsia="仿宋_GB2312" w:cs="Times New Roman"/>
          <w:color w:val="auto"/>
          <w:szCs w:val="24"/>
        </w:rPr>
        <w:t>主要适用于临时堆土、堆料、新修坡面等坡面的水土流失量测定。在已经发生侵蚀的地方，通过选定样方，测定样方内侵蚀沟的数量和大小来确定侵蚀量。样方大小取5～10m宽的坡面，每条沟测定沟长和上、中上、中、中下、下各部位的沟顶宽、底宽、沟深，再量测侵蚀沟曲线长，计算样带内流失土壤总体积，推算流失量。</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（三）遥感监测</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遥感监测在开发建设项目水土保持监测中主要采用人机交互式解译的方法。在GIS和RS软件平台上，由水土保持和遥感专业人员进行遥感信息全数字解译，通过人脑和电脑相结合，对计算机储存的遥感信息和人所掌握的知识、经验进行推理、判断的过程。</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①</w:t>
      </w:r>
      <w:r>
        <w:rPr>
          <w:rFonts w:ascii="Times New Roman" w:hAnsi="Times New Roman" w:eastAsia="仿宋_GB2312" w:cs="Times New Roman"/>
          <w:color w:val="auto"/>
          <w:szCs w:val="24"/>
        </w:rPr>
        <w:t>确定项目区坐标，准备1:1万地形图，同时购买SPOT或TM影像，并查阅有关本项目区的各种基础资料，作好准备工作。</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②</w:t>
      </w:r>
      <w:r>
        <w:rPr>
          <w:rFonts w:ascii="Times New Roman" w:hAnsi="Times New Roman" w:eastAsia="仿宋_GB2312" w:cs="Times New Roman"/>
          <w:color w:val="auto"/>
          <w:szCs w:val="24"/>
        </w:rPr>
        <w:t>现场勘测项目区土地利用状况、植被覆盖度等地理信息，采用高精度GPS仪重点定位，在地形图上结合高精度GPS仪进行粗略勾绘项目区各种地况，并采集一些地面覆盖标志。</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③</w:t>
      </w:r>
      <w:r>
        <w:rPr>
          <w:rFonts w:ascii="Times New Roman" w:hAnsi="Times New Roman" w:eastAsia="仿宋_GB2312" w:cs="Times New Roman"/>
          <w:color w:val="auto"/>
          <w:szCs w:val="24"/>
        </w:rPr>
        <w:t>室内在GIS平台上进行地物分类，用扫描后的地形图经大地坐标矫正后叠加到影像上，提取坡度因子，当地块表土母质和坡度确定后，图斑勾绘和侵蚀等级判定的指标就是植被。植被覆盖度及植被结构的信息可直接或间接从影像色调深浅及色相确定，根据地物类型和地表组成、坡度确定土壤侵蚀强度的级别其分布状况。</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（四）无人机航拍法</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无人机监测可以用来监测典型地区的地形地貌，水土流失类型与面积，土地利用状况，植被的分布、类型与面积，水土保持工程措施的分布及其数量、面积等。本项目主要通过无人机成像数据进行分析处理。</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无人机搭载自动驾驶仪、GPS接收机、高分辨率专用数码相机等专业设备结合地面控制系统，能够对项目区内地表扰动情况、弃土堆放情况、水土保持工程、林草、临时措施实施情况等进行全方位拍摄。拍摄完成后，应用地理信息软件ArcGIS对数据进行处理分析，解译出土壤侵蚀、地表扰动、防治责任范围等数据，通过与过去同期数据的比分析，获取相关信息的变化数据，大大提升水土保持监测工作的科技含量和精准度。</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无人机监测的主要技术路线是：</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①</w:t>
      </w:r>
      <w:r>
        <w:rPr>
          <w:rFonts w:ascii="Times New Roman" w:hAnsi="Times New Roman" w:eastAsia="仿宋_GB2312" w:cs="Times New Roman"/>
          <w:color w:val="auto"/>
          <w:szCs w:val="24"/>
        </w:rPr>
        <w:t>航摄方案设计：以监测区地形图为基础，根据监测区域地形、地貌设计航摄方案。主要包括航摄比例尺、重叠度、航摄时间等。</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②</w:t>
      </w:r>
      <w:r>
        <w:rPr>
          <w:rFonts w:ascii="Times New Roman" w:hAnsi="Times New Roman" w:eastAsia="仿宋_GB2312" w:cs="Times New Roman"/>
          <w:color w:val="auto"/>
          <w:szCs w:val="24"/>
        </w:rPr>
        <w:t>外业工作：在航摄区域布设一定数量的地面标志，检测无人机起飞后即可野外航摄。</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③</w:t>
      </w:r>
      <w:r>
        <w:rPr>
          <w:rFonts w:ascii="Times New Roman" w:hAnsi="Times New Roman" w:eastAsia="仿宋_GB2312" w:cs="Times New Roman"/>
          <w:color w:val="auto"/>
          <w:szCs w:val="24"/>
        </w:rPr>
        <w:t>数据预处理及格式标准化：整理航摄范围内航片、清除异常航片、错误纠正、重复航片的清除等。</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④</w:t>
      </w:r>
      <w:r>
        <w:rPr>
          <w:rFonts w:ascii="Times New Roman" w:hAnsi="Times New Roman" w:eastAsia="仿宋_GB2312" w:cs="Times New Roman"/>
          <w:color w:val="auto"/>
          <w:szCs w:val="24"/>
        </w:rPr>
        <w:t>数据处理及解译校对：利用遥感影像处理软件对影像进行拼接、纠正、调色等处理；通过野外调查，建立解译标志；依据解译标志针对影像提取植被覆盖度及土地利用信息；利用GIS坡度分析功能从DEM数据空间分析获取坡度信息。</w:t>
      </w:r>
    </w:p>
    <w:p>
      <w:pPr>
        <w:adjustRightIn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⑤</w:t>
      </w:r>
      <w:r>
        <w:rPr>
          <w:rFonts w:ascii="Times New Roman" w:hAnsi="Times New Roman" w:eastAsia="仿宋_GB2312" w:cs="Times New Roman"/>
          <w:color w:val="auto"/>
          <w:szCs w:val="24"/>
        </w:rPr>
        <w:t>分析比对叠加及成果输出：结合土壤侵蚀分级指标，在建立的土地利用、植被覆盖和坡度三类信息的矢量图层基础上，利用GIS矢量图层叠加分析，根据土壤侵蚀分类分级标准判别各划分单元的土壤侵蚀强度。</w:t>
      </w:r>
    </w:p>
    <w:p>
      <w:pPr>
        <w:spacing w:line="360" w:lineRule="auto"/>
        <w:outlineLvl w:val="2"/>
        <w:rPr>
          <w:rFonts w:ascii="Times New Roman" w:hAnsi="Times New Roman" w:cs="Times New Roman"/>
          <w:b/>
          <w:color w:val="auto"/>
          <w:sz w:val="30"/>
          <w:szCs w:val="30"/>
        </w:rPr>
      </w:pPr>
      <w:bookmarkStart w:id="356" w:name="_Toc14846"/>
      <w:r>
        <w:rPr>
          <w:rFonts w:ascii="Times New Roman" w:hAnsi="Times New Roman" w:cs="Times New Roman"/>
          <w:b/>
          <w:color w:val="auto"/>
          <w:sz w:val="30"/>
          <w:szCs w:val="30"/>
        </w:rPr>
        <w:t>6.2.3</w:t>
      </w:r>
      <w:r>
        <w:rPr>
          <w:rFonts w:ascii="Times New Roman" w:hAnsi="Times New Roman" w:eastAsia="仿宋_GB2312" w:cs="Times New Roman"/>
          <w:b/>
          <w:color w:val="auto"/>
          <w:sz w:val="30"/>
          <w:szCs w:val="30"/>
        </w:rPr>
        <w:t>监测频次</w:t>
      </w:r>
      <w:bookmarkEnd w:id="356"/>
    </w:p>
    <w:p>
      <w:pPr>
        <w:spacing w:line="360" w:lineRule="auto"/>
        <w:ind w:firstLine="480" w:firstLineChars="200"/>
        <w:rPr>
          <w:rFonts w:ascii="Times New Roman" w:hAnsi="Times New Roman" w:eastAsia="仿宋_GB2312" w:cs="Times New Roman"/>
          <w:color w:val="auto"/>
          <w:szCs w:val="24"/>
        </w:rPr>
      </w:pPr>
      <w:bookmarkStart w:id="357" w:name="_Toc29855"/>
      <w:r>
        <w:rPr>
          <w:rFonts w:ascii="Times New Roman" w:hAnsi="Times New Roman" w:eastAsia="仿宋_GB2312" w:cs="Times New Roman"/>
          <w:color w:val="auto"/>
          <w:szCs w:val="24"/>
        </w:rPr>
        <w:t>（1）水土流失影响因素监测</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①</w:t>
      </w:r>
      <w:r>
        <w:rPr>
          <w:rFonts w:ascii="Times New Roman" w:hAnsi="Times New Roman" w:eastAsia="仿宋_GB2312" w:cs="Times New Roman"/>
          <w:color w:val="auto"/>
          <w:szCs w:val="24"/>
        </w:rPr>
        <w:t>植被状况应采用实地调查的方法获取，主要确定植被类型和优势种。应按植被类型选择2~3个有代表性的样地，测定林地郁闭度和灌草地盖度，取其计算平均值作为植被郁闭度（或盖度）。施工准备期前测定1次。监测记录表格式应按《生产建设项目水土保持监测与评价标准》（GB/T51240-2018）执行。郁闭度可采用样线法和照相法测定。盖度可采用针刺法、网格法和照相法测定。</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②</w:t>
      </w:r>
      <w:r>
        <w:rPr>
          <w:rFonts w:ascii="Times New Roman" w:hAnsi="Times New Roman" w:eastAsia="仿宋_GB2312" w:cs="Times New Roman"/>
          <w:color w:val="auto"/>
          <w:szCs w:val="24"/>
        </w:rPr>
        <w:t>地表扰动情况和水土流失防治责任范围应采用实地调查并结合查阅资料的方法进行监测。调查中，可采用实测法、填图法和遥感监测法。实测法宜采用测绳、测尺、全站仪、GPS或其他测量设备；填图法宜应用大比例尺地形图现场勾绘，并进行室内量算；遥感监测法宜采用高分辨率遥感影像。监测记录表格式应按《生产建设项目水土保持监测与评价标准》（GB/T51240-2018）执行。每个月监测一次。</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③</w:t>
      </w:r>
      <w:r>
        <w:rPr>
          <w:rFonts w:ascii="Times New Roman" w:hAnsi="Times New Roman" w:eastAsia="仿宋_GB2312" w:cs="Times New Roman"/>
          <w:color w:val="auto"/>
          <w:szCs w:val="24"/>
        </w:rPr>
        <w:t>临时堆土应在查阅资料的基础上，以实地量测为主，监测临时堆土量及占地面积。工程正在使用的临时堆土场，应每10天监测1次。其他时段应每季度监测不少于一次。临时堆土占地面积可采用实测法、填图法，有条件的可采用遥感监测。临时堆土量应根据堆土面积，结合占地地形、堆渣体形状测算。</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（2）水土流失状况监测</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①</w:t>
      </w:r>
      <w:r>
        <w:rPr>
          <w:rFonts w:ascii="Times New Roman" w:hAnsi="Times New Roman" w:eastAsia="仿宋_GB2312" w:cs="Times New Roman"/>
          <w:color w:val="auto"/>
          <w:szCs w:val="24"/>
        </w:rPr>
        <w:t>水土流失类型及形式应在综合分析相关材料的基础上，实地调查确定。每年不应少于1次。</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②</w:t>
      </w:r>
      <w:r>
        <w:rPr>
          <w:rFonts w:ascii="Times New Roman" w:hAnsi="Times New Roman" w:eastAsia="仿宋_GB2312" w:cs="Times New Roman"/>
          <w:color w:val="auto"/>
          <w:szCs w:val="24"/>
        </w:rPr>
        <w:t>水土流失面积监测应采用普查法，每季度不应少于1次。</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③</w:t>
      </w:r>
      <w:r>
        <w:rPr>
          <w:rFonts w:ascii="Times New Roman" w:hAnsi="Times New Roman" w:eastAsia="仿宋_GB2312" w:cs="Times New Roman"/>
          <w:color w:val="auto"/>
          <w:szCs w:val="24"/>
        </w:rPr>
        <w:t>土壤侵蚀强度应根据现行行业标准《土壤侵蚀分类分级标准》SL190按照监测分区分别确定，施工准备期前和监测期末各1次，施工期每年不应少于1次。</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④</w:t>
      </w:r>
      <w:r>
        <w:rPr>
          <w:rFonts w:ascii="Times New Roman" w:hAnsi="Times New Roman" w:eastAsia="仿宋_GB2312" w:cs="Times New Roman"/>
          <w:color w:val="auto"/>
          <w:szCs w:val="24"/>
        </w:rPr>
        <w:t>重点区域和重点对象不同时段的土壤流失量应通过监测点观测获得，在综合分析的基础上，项目建设过程中产生的土壤流失量按《生产建设项目水土保持监测与评价标准》（GB/T51240-2018）方法计算。</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本工程水土流失以水力侵蚀为主的区域，根据监测区域的特点、条件和降雨情况，选择不同方法进行观测，统计每月的土壤流失量；</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（3）水土流失情况监测频次</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水土流失情况监测采用地面观测、实地量测和资料分析的方法。水土流失情况监测频次应符合以下要求：</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①</w:t>
      </w:r>
      <w:r>
        <w:rPr>
          <w:rFonts w:ascii="Times New Roman" w:hAnsi="Times New Roman" w:eastAsia="仿宋_GB2312" w:cs="Times New Roman"/>
          <w:color w:val="auto"/>
          <w:szCs w:val="24"/>
        </w:rPr>
        <w:t>土壤流失面积监测应不少于每季度</w:t>
      </w:r>
      <w:r>
        <w:rPr>
          <w:rFonts w:hint="eastAsia" w:ascii="Times New Roman" w:hAnsi="Times New Roman" w:eastAsia="仿宋_GB2312" w:cs="Times New Roman"/>
          <w:color w:val="auto"/>
          <w:szCs w:val="24"/>
        </w:rPr>
        <w:t>1</w:t>
      </w:r>
      <w:r>
        <w:rPr>
          <w:rFonts w:ascii="Times New Roman" w:hAnsi="Times New Roman" w:eastAsia="仿宋_GB2312" w:cs="Times New Roman"/>
          <w:color w:val="auto"/>
          <w:szCs w:val="24"/>
        </w:rPr>
        <w:t>次。</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②</w:t>
      </w:r>
      <w:r>
        <w:rPr>
          <w:rFonts w:ascii="Times New Roman" w:hAnsi="Times New Roman" w:eastAsia="仿宋_GB2312" w:cs="Times New Roman"/>
          <w:color w:val="auto"/>
          <w:szCs w:val="24"/>
        </w:rPr>
        <w:t>土壤流失量、临时堆土潜在土壤流失量应不少于每月</w:t>
      </w:r>
      <w:r>
        <w:rPr>
          <w:rFonts w:hint="eastAsia" w:ascii="Times New Roman" w:hAnsi="Times New Roman" w:eastAsia="仿宋_GB2312" w:cs="Times New Roman"/>
          <w:color w:val="auto"/>
          <w:szCs w:val="24"/>
        </w:rPr>
        <w:t>1</w:t>
      </w:r>
      <w:r>
        <w:rPr>
          <w:rFonts w:ascii="Times New Roman" w:hAnsi="Times New Roman" w:eastAsia="仿宋_GB2312" w:cs="Times New Roman"/>
          <w:color w:val="auto"/>
          <w:szCs w:val="24"/>
        </w:rPr>
        <w:t>次。遇暴雨、大风等应加测。</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（4）水土保持措施监测频次</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水土保持措施监测内容包括措施类型、开（完）工日期、位置、规格、尺寸、数量、林草覆盖度（郁闭度）、防治效果、运行状况等。水土保持措施监测采用实地量测和资料分析的方法。监测频次应达到以下要求：</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①</w:t>
      </w:r>
      <w:r>
        <w:rPr>
          <w:rFonts w:ascii="Times New Roman" w:hAnsi="Times New Roman" w:eastAsia="仿宋_GB2312" w:cs="Times New Roman"/>
          <w:color w:val="auto"/>
          <w:szCs w:val="24"/>
        </w:rPr>
        <w:t>工程措施及防治效果不少于每月监测记录</w:t>
      </w:r>
      <w:r>
        <w:rPr>
          <w:rFonts w:hint="eastAsia" w:ascii="Times New Roman" w:hAnsi="Times New Roman" w:eastAsia="仿宋_GB2312" w:cs="Times New Roman"/>
          <w:color w:val="auto"/>
          <w:szCs w:val="24"/>
        </w:rPr>
        <w:t>1</w:t>
      </w:r>
      <w:r>
        <w:rPr>
          <w:rFonts w:ascii="Times New Roman" w:hAnsi="Times New Roman" w:eastAsia="仿宋_GB2312" w:cs="Times New Roman"/>
          <w:color w:val="auto"/>
          <w:szCs w:val="24"/>
        </w:rPr>
        <w:t>次。</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②</w:t>
      </w:r>
      <w:r>
        <w:rPr>
          <w:rFonts w:ascii="Times New Roman" w:hAnsi="Times New Roman" w:eastAsia="仿宋_GB2312" w:cs="Times New Roman"/>
          <w:color w:val="auto"/>
          <w:szCs w:val="24"/>
        </w:rPr>
        <w:t>植物措施及生长情况不少于每季度监测记录</w:t>
      </w:r>
      <w:r>
        <w:rPr>
          <w:rFonts w:hint="eastAsia" w:ascii="Times New Roman" w:hAnsi="Times New Roman" w:eastAsia="仿宋_GB2312" w:cs="Times New Roman"/>
          <w:color w:val="auto"/>
          <w:szCs w:val="24"/>
        </w:rPr>
        <w:t>1</w:t>
      </w:r>
      <w:r>
        <w:rPr>
          <w:rFonts w:ascii="Times New Roman" w:hAnsi="Times New Roman" w:eastAsia="仿宋_GB2312" w:cs="Times New Roman"/>
          <w:color w:val="auto"/>
          <w:szCs w:val="24"/>
        </w:rPr>
        <w:t>次。</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③</w:t>
      </w:r>
      <w:r>
        <w:rPr>
          <w:rFonts w:ascii="Times New Roman" w:hAnsi="Times New Roman" w:eastAsia="仿宋_GB2312" w:cs="Times New Roman"/>
          <w:color w:val="auto"/>
          <w:szCs w:val="24"/>
        </w:rPr>
        <w:t>临时措施不少于每月监测记录</w:t>
      </w:r>
      <w:r>
        <w:rPr>
          <w:rFonts w:hint="eastAsia" w:ascii="Times New Roman" w:hAnsi="Times New Roman" w:eastAsia="仿宋_GB2312" w:cs="Times New Roman"/>
          <w:color w:val="auto"/>
          <w:szCs w:val="24"/>
        </w:rPr>
        <w:t>1</w:t>
      </w:r>
      <w:r>
        <w:rPr>
          <w:rFonts w:ascii="Times New Roman" w:hAnsi="Times New Roman" w:eastAsia="仿宋_GB2312" w:cs="Times New Roman"/>
          <w:color w:val="auto"/>
          <w:szCs w:val="24"/>
        </w:rPr>
        <w:t>次。</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评估区内各建设项目在整个建设期（含施工准备期）内必须开展监测。</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（3）水土流失危害监测</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①</w:t>
      </w:r>
      <w:r>
        <w:rPr>
          <w:rFonts w:ascii="Times New Roman" w:hAnsi="Times New Roman" w:eastAsia="仿宋_GB2312" w:cs="Times New Roman"/>
          <w:color w:val="auto"/>
          <w:szCs w:val="24"/>
        </w:rPr>
        <w:t>水土流失危害的面积可采用实测法或遥感监测法进行监测。</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②</w:t>
      </w:r>
      <w:r>
        <w:rPr>
          <w:rFonts w:ascii="Times New Roman" w:hAnsi="Times New Roman" w:eastAsia="仿宋_GB2312" w:cs="Times New Roman"/>
          <w:color w:val="auto"/>
          <w:szCs w:val="24"/>
        </w:rPr>
        <w:t>水土流失危害的其他指标和危害程度可采用实地调查、量测和询问等方法进行。</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③</w:t>
      </w:r>
      <w:r>
        <w:rPr>
          <w:rFonts w:ascii="Times New Roman" w:hAnsi="Times New Roman" w:eastAsia="仿宋_GB2312" w:cs="Times New Roman"/>
          <w:color w:val="auto"/>
          <w:szCs w:val="24"/>
        </w:rPr>
        <w:t>水土流失危害事件发生后1周内应完成监测工作。</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（4）水土保持措施监测</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①</w:t>
      </w:r>
      <w:r>
        <w:rPr>
          <w:rFonts w:ascii="Times New Roman" w:hAnsi="Times New Roman" w:eastAsia="仿宋_GB2312" w:cs="Times New Roman"/>
          <w:color w:val="auto"/>
          <w:szCs w:val="24"/>
        </w:rPr>
        <w:t>植物措施监测应符合下列规定：</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a.植物类型及面积应在综合分析相关技术资料的基础上，实地调查确定。应每季度调查1次。</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b.成活率、保存率及生产状况宜采用抽样调查的方法确定，应在栽植6个月后调查成活率，且每年调查1次保存率及生长状况。乔木的成活率与保存率应采用样地或样线调查法。灌木的成活率与保存率应采用样地调查法。</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c.郁闭度与盖度监测方法参照水土流失影响因素植被状况方法监测。应每年在植被生长最茂盛的季节监测1次。</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d.林草覆盖度应在统计林草地面积的基础上分析计算获得。植物措施监测记录表格式应按《生产建设项目水土保持监测与评价标准》（GB/T51240-2018）执行。</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②</w:t>
      </w:r>
      <w:r>
        <w:rPr>
          <w:rFonts w:ascii="Times New Roman" w:hAnsi="Times New Roman" w:eastAsia="仿宋_GB2312" w:cs="Times New Roman"/>
          <w:color w:val="auto"/>
          <w:szCs w:val="24"/>
        </w:rPr>
        <w:t>工程措施监测应符合下列规定：</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a.措施的数量、分布和运行状况应在查阅工程设计、监理、施工等资料的基础上，结合实地勘测与全面巡查确定。</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b.重点区域应每月监测1次，整体状况应每季度1次。</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c.对于措施运行状况，可设立监测点进行定期观测。工程措施监测记录表格式应按《生产建设项目水土保持监测与评价标准》（GB/T51240-2018）执行。</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③</w:t>
      </w:r>
      <w:r>
        <w:rPr>
          <w:rFonts w:ascii="Times New Roman" w:hAnsi="Times New Roman" w:eastAsia="仿宋_GB2312" w:cs="Times New Roman"/>
          <w:color w:val="auto"/>
          <w:szCs w:val="24"/>
        </w:rPr>
        <w:t>临时措施可在查阅工程施工、监理等资料的基础上，实地调查，并拍摄照片或录像等影像资料。</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④</w:t>
      </w:r>
      <w:r>
        <w:rPr>
          <w:rFonts w:ascii="Times New Roman" w:hAnsi="Times New Roman" w:eastAsia="仿宋_GB2312" w:cs="Times New Roman"/>
          <w:color w:val="auto"/>
          <w:szCs w:val="24"/>
        </w:rPr>
        <w:t>措施实施情况可在查阅工程施工、监理等资料的基础上，结合调查询问与实地调查确定。应每季度统计1次。措施实施情况统计表格式应按《生产建设项目水土保持监测与评价标准》（GB/T51240-2018）附录N执行。</w:t>
      </w:r>
    </w:p>
    <w:p>
      <w:pPr>
        <w:spacing w:line="360" w:lineRule="auto"/>
        <w:ind w:firstLine="480" w:firstLineChars="200"/>
        <w:rPr>
          <w:rFonts w:ascii="Times New Roman" w:hAnsi="Times New Roman" w:eastAsia="仿宋_GB2312" w:cs="Times New Roman"/>
          <w:color w:val="auto"/>
          <w:szCs w:val="24"/>
        </w:rPr>
      </w:pPr>
      <w:r>
        <w:rPr>
          <w:rFonts w:hint="eastAsia" w:ascii="宋体" w:hAnsi="宋体" w:cs="宋体"/>
          <w:color w:val="auto"/>
          <w:szCs w:val="24"/>
        </w:rPr>
        <w:t>⑤</w:t>
      </w:r>
      <w:r>
        <w:rPr>
          <w:rFonts w:ascii="Times New Roman" w:hAnsi="Times New Roman" w:eastAsia="仿宋_GB2312" w:cs="Times New Roman"/>
          <w:color w:val="auto"/>
          <w:szCs w:val="24"/>
        </w:rPr>
        <w:t>水土保持措施对主体工程安全建设和运行发挥的作用应以巡查为主。每年汛前后及大风、暴雨后进行调查。</w:t>
      </w:r>
    </w:p>
    <w:p>
      <w:pPr>
        <w:snapToGrid w:val="0"/>
        <w:spacing w:line="360" w:lineRule="auto"/>
        <w:ind w:firstLine="560"/>
        <w:rPr>
          <w:rFonts w:ascii="Times New Roman" w:hAnsi="Times New Roman" w:eastAsia="仿宋_GB2312" w:cs="Times New Roman"/>
          <w:color w:val="auto"/>
          <w:szCs w:val="24"/>
        </w:rPr>
      </w:pPr>
      <w:r>
        <w:rPr>
          <w:rFonts w:hint="eastAsia" w:ascii="宋体" w:hAnsi="宋体" w:cs="宋体"/>
          <w:color w:val="auto"/>
          <w:szCs w:val="24"/>
        </w:rPr>
        <w:t>⑥</w:t>
      </w:r>
      <w:r>
        <w:rPr>
          <w:rFonts w:ascii="Times New Roman" w:hAnsi="Times New Roman" w:eastAsia="仿宋_GB2312" w:cs="Times New Roman"/>
          <w:color w:val="auto"/>
          <w:szCs w:val="24"/>
        </w:rPr>
        <w:t>水土保持措施对周边水土保持生态环境发挥的作用应以巡查为主。每年汛期前后及大风、暴雨后进行调查。</w:t>
      </w:r>
    </w:p>
    <w:p>
      <w:pPr>
        <w:snapToGrid w:val="0"/>
        <w:spacing w:line="360" w:lineRule="auto"/>
        <w:ind w:firstLine="56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区域内各区域的水土保持监测安排见表6</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2-1。</w:t>
      </w:r>
    </w:p>
    <w:p>
      <w:pPr>
        <w:snapToGrid w:val="0"/>
        <w:spacing w:line="360" w:lineRule="auto"/>
        <w:jc w:val="center"/>
        <w:rPr>
          <w:rFonts w:ascii="Times New Roman" w:hAnsi="Times New Roman" w:eastAsia="仿宋_GB2312" w:cs="Times New Roman"/>
          <w:b/>
          <w:bCs/>
          <w:color w:val="auto"/>
          <w:kern w:val="10"/>
          <w:szCs w:val="24"/>
        </w:rPr>
      </w:pPr>
      <w:r>
        <w:rPr>
          <w:rFonts w:ascii="Times New Roman" w:hAnsi="Times New Roman" w:eastAsia="仿宋_GB2312" w:cs="Times New Roman"/>
          <w:b/>
          <w:bCs/>
          <w:color w:val="auto"/>
          <w:kern w:val="10"/>
          <w:szCs w:val="24"/>
        </w:rPr>
        <w:t>表6.2-1：水土保持监测频次安排表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7" w:type="dxa"/>
          <w:bottom w:w="0" w:type="dxa"/>
          <w:right w:w="57" w:type="dxa"/>
        </w:tblCellMar>
      </w:tblPr>
      <w:tblGrid>
        <w:gridCol w:w="542"/>
        <w:gridCol w:w="591"/>
        <w:gridCol w:w="625"/>
        <w:gridCol w:w="1551"/>
        <w:gridCol w:w="1426"/>
        <w:gridCol w:w="368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22" w:type="pct"/>
            <w:vAlign w:val="center"/>
          </w:tcPr>
          <w:p>
            <w:pPr>
              <w:widowControl/>
              <w:adjustRightInd w:val="0"/>
              <w:snapToGrid w:val="0"/>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监测区域</w:t>
            </w:r>
          </w:p>
        </w:tc>
        <w:tc>
          <w:tcPr>
            <w:tcW w:w="1643" w:type="pct"/>
            <w:gridSpan w:val="3"/>
            <w:vAlign w:val="center"/>
          </w:tcPr>
          <w:p>
            <w:pPr>
              <w:widowControl/>
              <w:adjustRightInd w:val="0"/>
              <w:snapToGrid w:val="0"/>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监测内容</w:t>
            </w:r>
          </w:p>
        </w:tc>
        <w:tc>
          <w:tcPr>
            <w:tcW w:w="847" w:type="pct"/>
            <w:vAlign w:val="center"/>
          </w:tcPr>
          <w:p>
            <w:pPr>
              <w:widowControl/>
              <w:adjustRightInd w:val="0"/>
              <w:snapToGrid w:val="0"/>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监测方法</w:t>
            </w:r>
          </w:p>
        </w:tc>
        <w:tc>
          <w:tcPr>
            <w:tcW w:w="2188" w:type="pct"/>
            <w:vAlign w:val="center"/>
          </w:tcPr>
          <w:p>
            <w:pPr>
              <w:widowControl/>
              <w:adjustRightInd w:val="0"/>
              <w:snapToGrid w:val="0"/>
              <w:jc w:val="center"/>
              <w:rPr>
                <w:rFonts w:ascii="Times New Roman" w:hAnsi="Times New Roman" w:eastAsia="仿宋_GB2312" w:cs="Times New Roman"/>
                <w:b/>
                <w:color w:val="auto"/>
                <w:kern w:val="0"/>
                <w:sz w:val="21"/>
                <w:szCs w:val="21"/>
              </w:rPr>
            </w:pPr>
            <w:r>
              <w:rPr>
                <w:rFonts w:ascii="Times New Roman" w:hAnsi="Times New Roman" w:eastAsia="仿宋_GB2312" w:cs="Times New Roman"/>
                <w:b/>
                <w:color w:val="auto"/>
                <w:kern w:val="0"/>
                <w:sz w:val="21"/>
                <w:szCs w:val="21"/>
              </w:rPr>
              <w:t>监测频次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22" w:type="pct"/>
            <w:vMerge w:val="restar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区域规划功能区/</w:t>
            </w:r>
          </w:p>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公共基础设施区/</w:t>
            </w:r>
          </w:p>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施工临时设施区</w:t>
            </w:r>
          </w:p>
        </w:tc>
        <w:tc>
          <w:tcPr>
            <w:tcW w:w="351" w:type="pct"/>
            <w:vMerge w:val="restar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水土流失影响因素监测</w:t>
            </w:r>
          </w:p>
        </w:tc>
        <w:tc>
          <w:tcPr>
            <w:tcW w:w="1292" w:type="pct"/>
            <w:gridSpan w:val="2"/>
            <w:vAlign w:val="center"/>
          </w:tcPr>
          <w:p>
            <w:pPr>
              <w:widowControl/>
              <w:adjustRightInd w:val="0"/>
              <w:snapToGrid w:val="0"/>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①降雨等气象</w:t>
            </w:r>
          </w:p>
        </w:tc>
        <w:tc>
          <w:tcPr>
            <w:tcW w:w="847"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查阅资料</w:t>
            </w:r>
          </w:p>
        </w:tc>
        <w:tc>
          <w:tcPr>
            <w:tcW w:w="2188"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每月1次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22"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351"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1292" w:type="pct"/>
            <w:gridSpan w:val="2"/>
            <w:vAlign w:val="center"/>
          </w:tcPr>
          <w:p>
            <w:pPr>
              <w:widowControl/>
              <w:adjustRightInd w:val="0"/>
              <w:snapToGrid w:val="0"/>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②地形地貌</w:t>
            </w:r>
          </w:p>
        </w:tc>
        <w:tc>
          <w:tcPr>
            <w:tcW w:w="847"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实地调查、查阅资料</w:t>
            </w:r>
          </w:p>
        </w:tc>
        <w:tc>
          <w:tcPr>
            <w:tcW w:w="2188"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整个监测期应监测</w:t>
            </w:r>
            <w:r>
              <w:rPr>
                <w:rFonts w:hint="eastAsia" w:ascii="Times New Roman" w:hAnsi="Times New Roman" w:eastAsia="仿宋_GB2312" w:cs="Times New Roman"/>
                <w:color w:val="auto"/>
                <w:kern w:val="0"/>
                <w:sz w:val="21"/>
                <w:szCs w:val="21"/>
              </w:rPr>
              <w:t>1</w:t>
            </w:r>
            <w:r>
              <w:rPr>
                <w:rFonts w:ascii="Times New Roman" w:hAnsi="Times New Roman" w:eastAsia="仿宋_GB2312" w:cs="Times New Roman"/>
                <w:color w:val="auto"/>
                <w:kern w:val="0"/>
                <w:sz w:val="21"/>
                <w:szCs w:val="21"/>
              </w:rPr>
              <w:t>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22"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351"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1292" w:type="pct"/>
            <w:gridSpan w:val="2"/>
            <w:vAlign w:val="center"/>
          </w:tcPr>
          <w:p>
            <w:pPr>
              <w:widowControl/>
              <w:adjustRightInd w:val="0"/>
              <w:snapToGrid w:val="0"/>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③地表组成物质</w:t>
            </w:r>
          </w:p>
        </w:tc>
        <w:tc>
          <w:tcPr>
            <w:tcW w:w="847"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实地调查</w:t>
            </w:r>
          </w:p>
        </w:tc>
        <w:tc>
          <w:tcPr>
            <w:tcW w:w="2188"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施工准备期前和试运行期各监测1次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22"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351"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1292" w:type="pct"/>
            <w:gridSpan w:val="2"/>
            <w:vAlign w:val="center"/>
          </w:tcPr>
          <w:p>
            <w:pPr>
              <w:widowControl/>
              <w:adjustRightInd w:val="0"/>
              <w:snapToGrid w:val="0"/>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④植被状况</w:t>
            </w:r>
          </w:p>
        </w:tc>
        <w:tc>
          <w:tcPr>
            <w:tcW w:w="847"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实地调查</w:t>
            </w:r>
          </w:p>
        </w:tc>
        <w:tc>
          <w:tcPr>
            <w:tcW w:w="2188"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施工准备期前测定1次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22"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351"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1292" w:type="pct"/>
            <w:gridSpan w:val="2"/>
            <w:vAlign w:val="center"/>
          </w:tcPr>
          <w:p>
            <w:pPr>
              <w:widowControl/>
              <w:adjustRightInd w:val="0"/>
              <w:snapToGrid w:val="0"/>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⑤地表扰动情况和水土流失防治责任范围</w:t>
            </w:r>
          </w:p>
        </w:tc>
        <w:tc>
          <w:tcPr>
            <w:tcW w:w="847"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实地调查、查阅资料</w:t>
            </w:r>
          </w:p>
        </w:tc>
        <w:tc>
          <w:tcPr>
            <w:tcW w:w="2188"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每月监测1次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90" w:hRule="atLeast"/>
          <w:jc w:val="center"/>
        </w:trPr>
        <w:tc>
          <w:tcPr>
            <w:tcW w:w="322"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351"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1292" w:type="pct"/>
            <w:gridSpan w:val="2"/>
            <w:vAlign w:val="center"/>
          </w:tcPr>
          <w:p>
            <w:pPr>
              <w:widowControl/>
              <w:adjustRightInd w:val="0"/>
              <w:snapToGrid w:val="0"/>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⑥临时堆土</w:t>
            </w:r>
          </w:p>
        </w:tc>
        <w:tc>
          <w:tcPr>
            <w:tcW w:w="847"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查阅资料、实地量测</w:t>
            </w:r>
          </w:p>
        </w:tc>
        <w:tc>
          <w:tcPr>
            <w:tcW w:w="2188"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正在使用的临时堆土场每10天监测1次，其他时段应每季度监测不少于1次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73" w:hRule="atLeast"/>
          <w:jc w:val="center"/>
        </w:trPr>
        <w:tc>
          <w:tcPr>
            <w:tcW w:w="322"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351" w:type="pct"/>
            <w:vMerge w:val="restar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水土流失状况监测</w:t>
            </w:r>
          </w:p>
        </w:tc>
        <w:tc>
          <w:tcPr>
            <w:tcW w:w="1292" w:type="pct"/>
            <w:gridSpan w:val="2"/>
            <w:vAlign w:val="center"/>
          </w:tcPr>
          <w:p>
            <w:pPr>
              <w:widowControl/>
              <w:adjustRightInd w:val="0"/>
              <w:snapToGrid w:val="0"/>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①水土流失类型及形式</w:t>
            </w:r>
          </w:p>
        </w:tc>
        <w:tc>
          <w:tcPr>
            <w:tcW w:w="847"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实地调查</w:t>
            </w:r>
          </w:p>
        </w:tc>
        <w:tc>
          <w:tcPr>
            <w:tcW w:w="2188"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每年不应少于1次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22"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351"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1292" w:type="pct"/>
            <w:gridSpan w:val="2"/>
            <w:vAlign w:val="center"/>
          </w:tcPr>
          <w:p>
            <w:pPr>
              <w:widowControl/>
              <w:adjustRightInd w:val="0"/>
              <w:snapToGrid w:val="0"/>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②水土流失面积</w:t>
            </w:r>
          </w:p>
        </w:tc>
        <w:tc>
          <w:tcPr>
            <w:tcW w:w="847"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普查法</w:t>
            </w:r>
          </w:p>
        </w:tc>
        <w:tc>
          <w:tcPr>
            <w:tcW w:w="2188"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每季度不应少于1次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22"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351"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1292" w:type="pct"/>
            <w:gridSpan w:val="2"/>
            <w:vAlign w:val="center"/>
          </w:tcPr>
          <w:p>
            <w:pPr>
              <w:widowControl/>
              <w:adjustRightInd w:val="0"/>
              <w:snapToGrid w:val="0"/>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③土壤侵蚀强度</w:t>
            </w:r>
          </w:p>
        </w:tc>
        <w:tc>
          <w:tcPr>
            <w:tcW w:w="847"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查阅资料</w:t>
            </w:r>
          </w:p>
        </w:tc>
        <w:tc>
          <w:tcPr>
            <w:tcW w:w="2188"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施工准备期前和监测期末各1次，施工期每年不应少于1次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22"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351" w:type="pct"/>
            <w:vMerge w:val="restar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水土流失危害监测</w:t>
            </w:r>
          </w:p>
        </w:tc>
        <w:tc>
          <w:tcPr>
            <w:tcW w:w="1292" w:type="pct"/>
            <w:gridSpan w:val="2"/>
            <w:vAlign w:val="center"/>
          </w:tcPr>
          <w:p>
            <w:pPr>
              <w:widowControl/>
              <w:adjustRightInd w:val="0"/>
              <w:snapToGrid w:val="0"/>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①水土流失危害的面积</w:t>
            </w:r>
          </w:p>
        </w:tc>
        <w:tc>
          <w:tcPr>
            <w:tcW w:w="847"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实地量测</w:t>
            </w:r>
          </w:p>
        </w:tc>
        <w:tc>
          <w:tcPr>
            <w:tcW w:w="2188" w:type="pct"/>
            <w:vMerge w:val="restar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1周内应完成监测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90" w:hRule="atLeast"/>
          <w:jc w:val="center"/>
        </w:trPr>
        <w:tc>
          <w:tcPr>
            <w:tcW w:w="322" w:type="pct"/>
            <w:vMerge w:val="continue"/>
            <w:vAlign w:val="center"/>
          </w:tcPr>
          <w:p>
            <w:pPr>
              <w:widowControl/>
              <w:snapToGrid w:val="0"/>
              <w:jc w:val="center"/>
              <w:rPr>
                <w:rFonts w:ascii="Times New Roman" w:hAnsi="Times New Roman" w:eastAsia="仿宋_GB2312" w:cs="Times New Roman"/>
                <w:color w:val="auto"/>
                <w:kern w:val="0"/>
                <w:sz w:val="21"/>
                <w:szCs w:val="21"/>
              </w:rPr>
            </w:pPr>
          </w:p>
        </w:tc>
        <w:tc>
          <w:tcPr>
            <w:tcW w:w="351"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1292" w:type="pct"/>
            <w:gridSpan w:val="2"/>
            <w:vAlign w:val="center"/>
          </w:tcPr>
          <w:p>
            <w:pPr>
              <w:widowControl/>
              <w:adjustRightInd w:val="0"/>
              <w:snapToGrid w:val="0"/>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②水土流失危害的其他指标和危害程度</w:t>
            </w:r>
          </w:p>
        </w:tc>
        <w:tc>
          <w:tcPr>
            <w:tcW w:w="847"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实地调查、实地量测</w:t>
            </w:r>
          </w:p>
        </w:tc>
        <w:tc>
          <w:tcPr>
            <w:tcW w:w="2188"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22" w:type="pct"/>
            <w:vMerge w:val="continue"/>
            <w:vAlign w:val="center"/>
          </w:tcPr>
          <w:p>
            <w:pPr>
              <w:widowControl/>
              <w:snapToGrid w:val="0"/>
              <w:jc w:val="center"/>
              <w:rPr>
                <w:rFonts w:ascii="Times New Roman" w:hAnsi="Times New Roman" w:eastAsia="仿宋_GB2312" w:cs="Times New Roman"/>
                <w:color w:val="auto"/>
                <w:kern w:val="0"/>
                <w:sz w:val="21"/>
                <w:szCs w:val="21"/>
              </w:rPr>
            </w:pPr>
          </w:p>
        </w:tc>
        <w:tc>
          <w:tcPr>
            <w:tcW w:w="351" w:type="pct"/>
            <w:vMerge w:val="restar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水土保持措施监测</w:t>
            </w:r>
          </w:p>
        </w:tc>
        <w:tc>
          <w:tcPr>
            <w:tcW w:w="371" w:type="pct"/>
            <w:vMerge w:val="restart"/>
            <w:vAlign w:val="center"/>
          </w:tcPr>
          <w:p>
            <w:pPr>
              <w:widowControl/>
              <w:adjustRightInd w:val="0"/>
              <w:snapToGrid w:val="0"/>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①植物措施</w:t>
            </w:r>
          </w:p>
        </w:tc>
        <w:tc>
          <w:tcPr>
            <w:tcW w:w="921" w:type="pct"/>
            <w:vAlign w:val="center"/>
          </w:tcPr>
          <w:p>
            <w:pPr>
              <w:widowControl/>
              <w:adjustRightInd w:val="0"/>
              <w:snapToGrid w:val="0"/>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类型及面积</w:t>
            </w:r>
          </w:p>
        </w:tc>
        <w:tc>
          <w:tcPr>
            <w:tcW w:w="847" w:type="pct"/>
            <w:vMerge w:val="restar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实地调查、抽样调查</w:t>
            </w:r>
          </w:p>
        </w:tc>
        <w:tc>
          <w:tcPr>
            <w:tcW w:w="2188"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每季度1次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22" w:type="pct"/>
            <w:vMerge w:val="continue"/>
            <w:vAlign w:val="center"/>
          </w:tcPr>
          <w:p>
            <w:pPr>
              <w:widowControl/>
              <w:snapToGrid w:val="0"/>
              <w:jc w:val="center"/>
              <w:rPr>
                <w:rFonts w:ascii="Times New Roman" w:hAnsi="Times New Roman" w:eastAsia="仿宋_GB2312" w:cs="Times New Roman"/>
                <w:color w:val="auto"/>
                <w:kern w:val="0"/>
                <w:sz w:val="21"/>
                <w:szCs w:val="21"/>
              </w:rPr>
            </w:pPr>
          </w:p>
        </w:tc>
        <w:tc>
          <w:tcPr>
            <w:tcW w:w="351"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371" w:type="pct"/>
            <w:vMerge w:val="continue"/>
            <w:vAlign w:val="center"/>
          </w:tcPr>
          <w:p>
            <w:pPr>
              <w:widowControl/>
              <w:adjustRightInd w:val="0"/>
              <w:snapToGrid w:val="0"/>
              <w:jc w:val="center"/>
              <w:rPr>
                <w:rFonts w:ascii="仿宋_GB2312" w:hAnsi="Times New Roman" w:eastAsia="仿宋_GB2312" w:cs="Times New Roman"/>
                <w:color w:val="auto"/>
                <w:kern w:val="0"/>
                <w:sz w:val="21"/>
                <w:szCs w:val="21"/>
              </w:rPr>
            </w:pPr>
          </w:p>
        </w:tc>
        <w:tc>
          <w:tcPr>
            <w:tcW w:w="921" w:type="pct"/>
            <w:vAlign w:val="center"/>
          </w:tcPr>
          <w:p>
            <w:pPr>
              <w:widowControl/>
              <w:adjustRightInd w:val="0"/>
              <w:snapToGrid w:val="0"/>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成活率、保存率及生长状况</w:t>
            </w:r>
          </w:p>
        </w:tc>
        <w:tc>
          <w:tcPr>
            <w:tcW w:w="847"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2188"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栽植6个月后调查成活率，且每年1次保存率及生长状况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22" w:type="pct"/>
            <w:vMerge w:val="continue"/>
            <w:vAlign w:val="center"/>
          </w:tcPr>
          <w:p>
            <w:pPr>
              <w:widowControl/>
              <w:snapToGrid w:val="0"/>
              <w:jc w:val="center"/>
              <w:rPr>
                <w:rFonts w:ascii="Times New Roman" w:hAnsi="Times New Roman" w:eastAsia="仿宋_GB2312" w:cs="Times New Roman"/>
                <w:color w:val="auto"/>
                <w:kern w:val="0"/>
                <w:sz w:val="21"/>
                <w:szCs w:val="21"/>
              </w:rPr>
            </w:pPr>
          </w:p>
        </w:tc>
        <w:tc>
          <w:tcPr>
            <w:tcW w:w="351"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371" w:type="pct"/>
            <w:vMerge w:val="continue"/>
            <w:vAlign w:val="center"/>
          </w:tcPr>
          <w:p>
            <w:pPr>
              <w:widowControl/>
              <w:adjustRightInd w:val="0"/>
              <w:snapToGrid w:val="0"/>
              <w:jc w:val="center"/>
              <w:rPr>
                <w:rFonts w:ascii="仿宋_GB2312" w:hAnsi="Times New Roman" w:eastAsia="仿宋_GB2312" w:cs="Times New Roman"/>
                <w:color w:val="auto"/>
                <w:kern w:val="0"/>
                <w:sz w:val="21"/>
                <w:szCs w:val="21"/>
              </w:rPr>
            </w:pPr>
          </w:p>
        </w:tc>
        <w:tc>
          <w:tcPr>
            <w:tcW w:w="921" w:type="pct"/>
            <w:vAlign w:val="center"/>
          </w:tcPr>
          <w:p>
            <w:pPr>
              <w:widowControl/>
              <w:adjustRightInd w:val="0"/>
              <w:snapToGrid w:val="0"/>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郁闭度与盖度</w:t>
            </w:r>
          </w:p>
        </w:tc>
        <w:tc>
          <w:tcPr>
            <w:tcW w:w="847"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2188"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每年在植被生长最茂盛的季节监测1次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22" w:type="pct"/>
            <w:vMerge w:val="continue"/>
            <w:vAlign w:val="center"/>
          </w:tcPr>
          <w:p>
            <w:pPr>
              <w:widowControl/>
              <w:snapToGrid w:val="0"/>
              <w:jc w:val="center"/>
              <w:rPr>
                <w:rFonts w:ascii="Times New Roman" w:hAnsi="Times New Roman" w:eastAsia="仿宋_GB2312" w:cs="Times New Roman"/>
                <w:color w:val="auto"/>
                <w:kern w:val="0"/>
                <w:sz w:val="21"/>
                <w:szCs w:val="21"/>
              </w:rPr>
            </w:pPr>
          </w:p>
        </w:tc>
        <w:tc>
          <w:tcPr>
            <w:tcW w:w="351"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1292" w:type="pct"/>
            <w:gridSpan w:val="2"/>
            <w:vAlign w:val="center"/>
          </w:tcPr>
          <w:p>
            <w:pPr>
              <w:widowControl/>
              <w:adjustRightInd w:val="0"/>
              <w:snapToGrid w:val="0"/>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②工程措施</w:t>
            </w:r>
          </w:p>
        </w:tc>
        <w:tc>
          <w:tcPr>
            <w:tcW w:w="847"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查阅资料、实地量测、巡查法</w:t>
            </w:r>
          </w:p>
        </w:tc>
        <w:tc>
          <w:tcPr>
            <w:tcW w:w="2188"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重点区域每月监测1次，整体状况应每季度1次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22" w:type="pct"/>
            <w:vMerge w:val="continue"/>
            <w:vAlign w:val="center"/>
          </w:tcPr>
          <w:p>
            <w:pPr>
              <w:widowControl/>
              <w:snapToGrid w:val="0"/>
              <w:jc w:val="center"/>
              <w:rPr>
                <w:rFonts w:ascii="Times New Roman" w:hAnsi="Times New Roman" w:eastAsia="仿宋_GB2312" w:cs="Times New Roman"/>
                <w:color w:val="auto"/>
                <w:kern w:val="0"/>
                <w:sz w:val="21"/>
                <w:szCs w:val="21"/>
              </w:rPr>
            </w:pPr>
          </w:p>
        </w:tc>
        <w:tc>
          <w:tcPr>
            <w:tcW w:w="351"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1292" w:type="pct"/>
            <w:gridSpan w:val="2"/>
            <w:vAlign w:val="center"/>
          </w:tcPr>
          <w:p>
            <w:pPr>
              <w:widowControl/>
              <w:adjustRightInd w:val="0"/>
              <w:snapToGrid w:val="0"/>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③临时措施</w:t>
            </w:r>
          </w:p>
        </w:tc>
        <w:tc>
          <w:tcPr>
            <w:tcW w:w="847"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查阅资料、实地调查</w:t>
            </w:r>
          </w:p>
        </w:tc>
        <w:tc>
          <w:tcPr>
            <w:tcW w:w="2188"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每月监测1次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22" w:type="pct"/>
            <w:vMerge w:val="continue"/>
            <w:vAlign w:val="center"/>
          </w:tcPr>
          <w:p>
            <w:pPr>
              <w:widowControl/>
              <w:snapToGrid w:val="0"/>
              <w:jc w:val="center"/>
              <w:rPr>
                <w:rFonts w:ascii="Times New Roman" w:hAnsi="Times New Roman" w:eastAsia="仿宋_GB2312" w:cs="Times New Roman"/>
                <w:color w:val="auto"/>
                <w:kern w:val="0"/>
                <w:sz w:val="21"/>
                <w:szCs w:val="21"/>
              </w:rPr>
            </w:pPr>
          </w:p>
        </w:tc>
        <w:tc>
          <w:tcPr>
            <w:tcW w:w="351"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1292" w:type="pct"/>
            <w:gridSpan w:val="2"/>
            <w:vAlign w:val="center"/>
          </w:tcPr>
          <w:p>
            <w:pPr>
              <w:widowControl/>
              <w:adjustRightInd w:val="0"/>
              <w:snapToGrid w:val="0"/>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④对主体工程安全建设和运行发挥的作用</w:t>
            </w:r>
          </w:p>
        </w:tc>
        <w:tc>
          <w:tcPr>
            <w:tcW w:w="847"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巡查法</w:t>
            </w:r>
          </w:p>
        </w:tc>
        <w:tc>
          <w:tcPr>
            <w:tcW w:w="2188" w:type="pct"/>
            <w:vMerge w:val="restar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每年汛期前后及大风、暴雨后进行调查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22" w:type="pct"/>
            <w:vMerge w:val="continue"/>
            <w:vAlign w:val="center"/>
          </w:tcPr>
          <w:p>
            <w:pPr>
              <w:widowControl/>
              <w:snapToGrid w:val="0"/>
              <w:jc w:val="center"/>
              <w:rPr>
                <w:rFonts w:ascii="Times New Roman" w:hAnsi="Times New Roman" w:eastAsia="仿宋_GB2312" w:cs="Times New Roman"/>
                <w:color w:val="auto"/>
                <w:kern w:val="0"/>
                <w:sz w:val="21"/>
                <w:szCs w:val="21"/>
              </w:rPr>
            </w:pPr>
          </w:p>
        </w:tc>
        <w:tc>
          <w:tcPr>
            <w:tcW w:w="351"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c>
          <w:tcPr>
            <w:tcW w:w="1292" w:type="pct"/>
            <w:gridSpan w:val="2"/>
            <w:vAlign w:val="center"/>
          </w:tcPr>
          <w:p>
            <w:pPr>
              <w:widowControl/>
              <w:adjustRightInd w:val="0"/>
              <w:snapToGrid w:val="0"/>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⑤对周边水土保持生态环境发挥的作用</w:t>
            </w:r>
          </w:p>
        </w:tc>
        <w:tc>
          <w:tcPr>
            <w:tcW w:w="847" w:type="pct"/>
            <w:vAlign w:val="center"/>
          </w:tcPr>
          <w:p>
            <w:pPr>
              <w:widowControl/>
              <w:adjustRightInd w:val="0"/>
              <w:snapToGrid w:val="0"/>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巡查法</w:t>
            </w:r>
          </w:p>
        </w:tc>
        <w:tc>
          <w:tcPr>
            <w:tcW w:w="2188" w:type="pct"/>
            <w:vMerge w:val="continue"/>
            <w:vAlign w:val="center"/>
          </w:tcPr>
          <w:p>
            <w:pPr>
              <w:widowControl/>
              <w:adjustRightInd w:val="0"/>
              <w:snapToGrid w:val="0"/>
              <w:jc w:val="center"/>
              <w:rPr>
                <w:rFonts w:ascii="Times New Roman" w:hAnsi="Times New Roman" w:eastAsia="仿宋_GB2312" w:cs="Times New Roman"/>
                <w:color w:val="auto"/>
                <w:kern w:val="0"/>
                <w:sz w:val="21"/>
                <w:szCs w:val="21"/>
              </w:rPr>
            </w:pPr>
          </w:p>
        </w:tc>
      </w:tr>
    </w:tbl>
    <w:p>
      <w:pPr>
        <w:keepNext/>
        <w:keepLines/>
        <w:spacing w:line="360" w:lineRule="auto"/>
        <w:outlineLvl w:val="1"/>
        <w:rPr>
          <w:rFonts w:ascii="Times New Roman" w:hAnsi="Times New Roman" w:eastAsia="仿宋_GB2312" w:cs="Times New Roman"/>
          <w:b/>
          <w:color w:val="auto"/>
          <w:sz w:val="32"/>
          <w:szCs w:val="20"/>
        </w:rPr>
      </w:pPr>
      <w:bookmarkStart w:id="358" w:name="_Toc26818"/>
      <w:r>
        <w:rPr>
          <w:rFonts w:ascii="Times New Roman" w:hAnsi="Times New Roman" w:eastAsia="仿宋_GB2312" w:cs="Times New Roman"/>
          <w:b/>
          <w:color w:val="auto"/>
          <w:sz w:val="32"/>
          <w:szCs w:val="20"/>
        </w:rPr>
        <w:t>6.3 点位布设</w:t>
      </w:r>
      <w:bookmarkEnd w:id="357"/>
      <w:bookmarkEnd w:id="358"/>
    </w:p>
    <w:p>
      <w:pPr>
        <w:widowControl/>
        <w:snapToGrid w:val="0"/>
        <w:spacing w:line="360" w:lineRule="auto"/>
        <w:ind w:firstLine="482"/>
        <w:rPr>
          <w:rFonts w:ascii="Times New Roman" w:hAnsi="Times New Roman" w:eastAsia="仿宋_GB2312" w:cs="Times New Roman"/>
          <w:color w:val="auto"/>
          <w:szCs w:val="24"/>
        </w:rPr>
      </w:pPr>
      <w:bookmarkStart w:id="359" w:name="_Toc451799237"/>
      <w:bookmarkStart w:id="360" w:name="_Toc514431479"/>
      <w:bookmarkStart w:id="361" w:name="_Toc439243934"/>
      <w:bookmarkStart w:id="362" w:name="_Toc514432623"/>
      <w:bookmarkStart w:id="363" w:name="_Toc514430869"/>
      <w:bookmarkStart w:id="364" w:name="_Toc19536"/>
      <w:bookmarkStart w:id="365" w:name="_Toc499039897"/>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监测点的布设依据主体工程功能布局、地貌特点以及水土保持措施类型确定，监测点位主要布设在原地貌、土地、植被受扰动或损坏、易发生侵蚀的区域，监测重点为施工造成的裸露面等。根据监测需要本项目共布设</w:t>
      </w:r>
      <w:r>
        <w:rPr>
          <w:rFonts w:hint="eastAsia" w:ascii="Times New Roman" w:hAnsi="Times New Roman" w:eastAsia="仿宋_GB2312" w:cs="Times New Roman"/>
          <w:color w:val="auto"/>
          <w:szCs w:val="24"/>
        </w:rPr>
        <w:t>1</w:t>
      </w:r>
      <w:r>
        <w:rPr>
          <w:rFonts w:hint="eastAsia" w:ascii="Times New Roman" w:hAnsi="Times New Roman" w:eastAsia="仿宋_GB2312" w:cs="Times New Roman"/>
          <w:color w:val="auto"/>
          <w:szCs w:val="24"/>
          <w:lang w:val="en-US" w:eastAsia="zh-CN"/>
        </w:rPr>
        <w:t>9</w:t>
      </w:r>
      <w:r>
        <w:rPr>
          <w:rFonts w:ascii="Times New Roman" w:hAnsi="Times New Roman" w:eastAsia="仿宋_GB2312" w:cs="Times New Roman"/>
          <w:color w:val="auto"/>
          <w:szCs w:val="24"/>
        </w:rPr>
        <w:t>个调查样监测点和</w:t>
      </w:r>
      <w:r>
        <w:rPr>
          <w:rFonts w:hint="eastAsia" w:ascii="Times New Roman" w:hAnsi="Times New Roman" w:eastAsia="仿宋_GB2312" w:cs="Times New Roman"/>
          <w:color w:val="auto"/>
          <w:szCs w:val="24"/>
        </w:rPr>
        <w:t>9</w:t>
      </w:r>
      <w:r>
        <w:rPr>
          <w:rFonts w:ascii="Times New Roman" w:hAnsi="Times New Roman" w:eastAsia="仿宋_GB2312" w:cs="Times New Roman"/>
          <w:color w:val="auto"/>
          <w:szCs w:val="24"/>
        </w:rPr>
        <w:t>个观测样监测点。监测点布设情况见表6</w:t>
      </w:r>
      <w:r>
        <w:rPr>
          <w:rFonts w:hint="eastAsia" w:ascii="Times New Roman" w:hAnsi="Times New Roman" w:eastAsia="仿宋_GB2312" w:cs="Times New Roman"/>
          <w:color w:val="auto"/>
          <w:szCs w:val="24"/>
        </w:rPr>
        <w:t>.3-1和附图</w:t>
      </w:r>
      <w:r>
        <w:rPr>
          <w:rFonts w:ascii="Times New Roman" w:hAnsi="Times New Roman" w:eastAsia="仿宋_GB2312" w:cs="Times New Roman"/>
          <w:color w:val="auto"/>
          <w:szCs w:val="24"/>
        </w:rPr>
        <w:t>。</w:t>
      </w:r>
    </w:p>
    <w:p>
      <w:pPr>
        <w:widowControl/>
        <w:spacing w:line="360" w:lineRule="auto"/>
        <w:jc w:val="center"/>
        <w:rPr>
          <w:rFonts w:ascii="Times New Roman" w:hAnsi="Times New Roman" w:eastAsia="仿宋_GB2312" w:cs="Times New Roman"/>
          <w:b/>
          <w:bCs/>
          <w:color w:val="auto"/>
          <w:kern w:val="0"/>
          <w:szCs w:val="24"/>
        </w:rPr>
      </w:pPr>
      <w:r>
        <w:rPr>
          <w:rFonts w:ascii="Times New Roman" w:hAnsi="Times New Roman" w:eastAsia="仿宋_GB2312" w:cs="Times New Roman"/>
          <w:b/>
          <w:color w:val="auto"/>
          <w:kern w:val="0"/>
          <w:szCs w:val="24"/>
        </w:rPr>
        <w:t>表6</w:t>
      </w:r>
      <w:r>
        <w:rPr>
          <w:rFonts w:hint="eastAsia" w:ascii="Times New Roman" w:hAnsi="Times New Roman" w:eastAsia="仿宋_GB2312" w:cs="Times New Roman"/>
          <w:b/>
          <w:color w:val="auto"/>
          <w:kern w:val="0"/>
          <w:szCs w:val="24"/>
        </w:rPr>
        <w:t>.</w:t>
      </w:r>
      <w:r>
        <w:rPr>
          <w:rFonts w:ascii="Times New Roman" w:hAnsi="Times New Roman" w:eastAsia="仿宋_GB2312" w:cs="Times New Roman"/>
          <w:b/>
          <w:color w:val="auto"/>
          <w:kern w:val="0"/>
          <w:szCs w:val="24"/>
        </w:rPr>
        <w:t>3-1：</w:t>
      </w:r>
      <w:r>
        <w:rPr>
          <w:rFonts w:ascii="Times New Roman" w:hAnsi="Times New Roman" w:eastAsia="仿宋_GB2312" w:cs="Times New Roman"/>
          <w:b/>
          <w:bCs/>
          <w:color w:val="auto"/>
          <w:kern w:val="0"/>
          <w:szCs w:val="24"/>
        </w:rPr>
        <w:t>水土保持监测点布设情况</w:t>
      </w:r>
    </w:p>
    <w:tbl>
      <w:tblPr>
        <w:tblStyle w:val="37"/>
        <w:tblW w:w="5196"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15" w:type="dxa"/>
          <w:left w:w="15" w:type="dxa"/>
          <w:bottom w:w="15" w:type="dxa"/>
          <w:right w:w="15" w:type="dxa"/>
        </w:tblCellMar>
      </w:tblPr>
      <w:tblGrid>
        <w:gridCol w:w="1008"/>
        <w:gridCol w:w="1365"/>
        <w:gridCol w:w="3604"/>
        <w:gridCol w:w="1516"/>
        <w:gridCol w:w="117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1369" w:type="pct"/>
            <w:gridSpan w:val="2"/>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监测区域</w:t>
            </w:r>
          </w:p>
        </w:tc>
        <w:tc>
          <w:tcPr>
            <w:tcW w:w="2080" w:type="pct"/>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监测地点</w:t>
            </w:r>
          </w:p>
        </w:tc>
        <w:tc>
          <w:tcPr>
            <w:tcW w:w="874" w:type="pct"/>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监测点类型</w:t>
            </w:r>
          </w:p>
        </w:tc>
        <w:tc>
          <w:tcPr>
            <w:tcW w:w="675" w:type="pct"/>
            <w:noWrap/>
            <w:vAlign w:val="center"/>
          </w:tcPr>
          <w:p>
            <w:pPr>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监测点数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restar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公共基础设施区</w:t>
            </w:r>
          </w:p>
        </w:tc>
        <w:tc>
          <w:tcPr>
            <w:tcW w:w="787" w:type="pct"/>
            <w:vMerge w:val="restar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道路与交通设施用地区</w:t>
            </w:r>
          </w:p>
        </w:tc>
        <w:tc>
          <w:tcPr>
            <w:tcW w:w="2080"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尤氨公路底部综合管廊基坑沉沙池处</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观测样地</w:t>
            </w:r>
          </w:p>
        </w:tc>
        <w:tc>
          <w:tcPr>
            <w:tcW w:w="675" w:type="pct"/>
            <w:noWrap/>
            <w:vAlign w:val="center"/>
          </w:tcPr>
          <w:p>
            <w:pPr>
              <w:jc w:val="center"/>
              <w:rPr>
                <w:rFonts w:hint="eastAsia"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continue"/>
            <w:noWrap/>
            <w:vAlign w:val="center"/>
          </w:tcPr>
          <w:p>
            <w:pPr>
              <w:jc w:val="center"/>
              <w:rPr>
                <w:rFonts w:ascii="Times New Roman" w:hAnsi="Times New Roman" w:eastAsia="仿宋_GB2312" w:cs="Times New Roman"/>
                <w:color w:val="auto"/>
                <w:sz w:val="21"/>
                <w:szCs w:val="21"/>
              </w:rPr>
            </w:pPr>
          </w:p>
        </w:tc>
        <w:tc>
          <w:tcPr>
            <w:tcW w:w="787" w:type="pct"/>
            <w:vMerge w:val="continue"/>
            <w:noWrap/>
            <w:vAlign w:val="center"/>
          </w:tcPr>
          <w:p>
            <w:pPr>
              <w:jc w:val="center"/>
              <w:rPr>
                <w:rFonts w:ascii="Times New Roman" w:hAnsi="Times New Roman" w:eastAsia="仿宋_GB2312" w:cs="Times New Roman"/>
                <w:color w:val="auto"/>
                <w:sz w:val="21"/>
                <w:szCs w:val="21"/>
              </w:rPr>
            </w:pPr>
          </w:p>
        </w:tc>
        <w:tc>
          <w:tcPr>
            <w:tcW w:w="2080" w:type="pct"/>
            <w:noWrap/>
            <w:vAlign w:val="center"/>
          </w:tcPr>
          <w:p>
            <w:pPr>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杨家山路排水工程雨水箱涵处</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调查样地</w:t>
            </w:r>
          </w:p>
        </w:tc>
        <w:tc>
          <w:tcPr>
            <w:tcW w:w="675" w:type="pct"/>
            <w:noWrap/>
            <w:vAlign w:val="center"/>
          </w:tcPr>
          <w:p>
            <w:pPr>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continue"/>
            <w:noWrap/>
            <w:vAlign w:val="center"/>
          </w:tcPr>
          <w:p>
            <w:pPr>
              <w:jc w:val="center"/>
              <w:rPr>
                <w:rFonts w:ascii="Times New Roman" w:hAnsi="Times New Roman" w:eastAsia="仿宋_GB2312" w:cs="Times New Roman"/>
                <w:color w:val="auto"/>
                <w:sz w:val="21"/>
                <w:szCs w:val="21"/>
              </w:rPr>
            </w:pPr>
          </w:p>
        </w:tc>
        <w:tc>
          <w:tcPr>
            <w:tcW w:w="787" w:type="pct"/>
            <w:vMerge w:val="continue"/>
            <w:noWrap/>
            <w:vAlign w:val="center"/>
          </w:tcPr>
          <w:p>
            <w:pPr>
              <w:jc w:val="center"/>
              <w:rPr>
                <w:rFonts w:ascii="Times New Roman" w:hAnsi="Times New Roman" w:eastAsia="仿宋_GB2312" w:cs="Times New Roman"/>
                <w:color w:val="auto"/>
                <w:sz w:val="21"/>
                <w:szCs w:val="21"/>
              </w:rPr>
            </w:pPr>
          </w:p>
        </w:tc>
        <w:tc>
          <w:tcPr>
            <w:tcW w:w="2080"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尤氨公路路基回填坡面</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调查样地</w:t>
            </w:r>
          </w:p>
        </w:tc>
        <w:tc>
          <w:tcPr>
            <w:tcW w:w="675"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continue"/>
            <w:noWrap/>
            <w:vAlign w:val="center"/>
          </w:tcPr>
          <w:p>
            <w:pPr>
              <w:jc w:val="center"/>
              <w:rPr>
                <w:rFonts w:ascii="Times New Roman" w:hAnsi="Times New Roman" w:eastAsia="仿宋_GB2312" w:cs="Times New Roman"/>
                <w:color w:val="auto"/>
                <w:sz w:val="21"/>
                <w:szCs w:val="21"/>
              </w:rPr>
            </w:pPr>
          </w:p>
        </w:tc>
        <w:tc>
          <w:tcPr>
            <w:tcW w:w="787" w:type="pct"/>
            <w:vMerge w:val="continue"/>
            <w:noWrap/>
            <w:vAlign w:val="center"/>
          </w:tcPr>
          <w:p>
            <w:pPr>
              <w:jc w:val="center"/>
              <w:rPr>
                <w:rFonts w:ascii="Times New Roman" w:hAnsi="Times New Roman" w:eastAsia="仿宋_GB2312" w:cs="Times New Roman"/>
                <w:color w:val="auto"/>
                <w:sz w:val="21"/>
                <w:szCs w:val="21"/>
              </w:rPr>
            </w:pPr>
          </w:p>
        </w:tc>
        <w:tc>
          <w:tcPr>
            <w:tcW w:w="2080"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尤氨公路绿化分隔带</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调查样地</w:t>
            </w:r>
          </w:p>
        </w:tc>
        <w:tc>
          <w:tcPr>
            <w:tcW w:w="675"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continue"/>
            <w:noWrap/>
            <w:vAlign w:val="center"/>
          </w:tcPr>
          <w:p>
            <w:pPr>
              <w:jc w:val="center"/>
              <w:rPr>
                <w:rFonts w:ascii="Times New Roman" w:hAnsi="Times New Roman" w:eastAsia="仿宋_GB2312" w:cs="Times New Roman"/>
                <w:color w:val="auto"/>
                <w:sz w:val="21"/>
                <w:szCs w:val="21"/>
              </w:rPr>
            </w:pPr>
          </w:p>
        </w:tc>
        <w:tc>
          <w:tcPr>
            <w:tcW w:w="787" w:type="pct"/>
            <w:vMerge w:val="continue"/>
            <w:noWrap/>
            <w:vAlign w:val="center"/>
          </w:tcPr>
          <w:p>
            <w:pPr>
              <w:jc w:val="center"/>
              <w:rPr>
                <w:rFonts w:ascii="Times New Roman" w:hAnsi="Times New Roman" w:eastAsia="仿宋_GB2312" w:cs="Times New Roman"/>
                <w:color w:val="auto"/>
                <w:sz w:val="21"/>
                <w:szCs w:val="21"/>
              </w:rPr>
            </w:pPr>
          </w:p>
        </w:tc>
        <w:tc>
          <w:tcPr>
            <w:tcW w:w="2080" w:type="pct"/>
            <w:noWrap/>
            <w:vAlign w:val="center"/>
          </w:tcPr>
          <w:p>
            <w:pP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经十六路路基坡底排水出口沉沙池</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观测样地</w:t>
            </w:r>
          </w:p>
        </w:tc>
        <w:tc>
          <w:tcPr>
            <w:tcW w:w="675"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continue"/>
            <w:noWrap/>
            <w:vAlign w:val="center"/>
          </w:tcPr>
          <w:p>
            <w:pPr>
              <w:jc w:val="center"/>
              <w:rPr>
                <w:rFonts w:ascii="Times New Roman" w:hAnsi="Times New Roman" w:eastAsia="仿宋_GB2312" w:cs="Times New Roman"/>
                <w:color w:val="auto"/>
                <w:sz w:val="21"/>
                <w:szCs w:val="21"/>
              </w:rPr>
            </w:pPr>
          </w:p>
        </w:tc>
        <w:tc>
          <w:tcPr>
            <w:tcW w:w="787" w:type="pct"/>
            <w:vMerge w:val="continue"/>
            <w:noWrap/>
            <w:vAlign w:val="center"/>
          </w:tcPr>
          <w:p>
            <w:pPr>
              <w:jc w:val="center"/>
              <w:rPr>
                <w:rFonts w:ascii="Times New Roman" w:hAnsi="Times New Roman" w:eastAsia="仿宋_GB2312" w:cs="Times New Roman"/>
                <w:color w:val="auto"/>
                <w:sz w:val="21"/>
                <w:szCs w:val="21"/>
              </w:rPr>
            </w:pPr>
          </w:p>
        </w:tc>
        <w:tc>
          <w:tcPr>
            <w:tcW w:w="2080"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经十七路人行道栽植行道树</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调查样地</w:t>
            </w:r>
          </w:p>
        </w:tc>
        <w:tc>
          <w:tcPr>
            <w:tcW w:w="675"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continue"/>
            <w:noWrap/>
            <w:vAlign w:val="center"/>
          </w:tcPr>
          <w:p>
            <w:pPr>
              <w:jc w:val="center"/>
              <w:rPr>
                <w:rFonts w:ascii="Times New Roman" w:hAnsi="Times New Roman" w:eastAsia="仿宋_GB2312" w:cs="Times New Roman"/>
                <w:color w:val="auto"/>
                <w:sz w:val="21"/>
                <w:szCs w:val="21"/>
              </w:rPr>
            </w:pPr>
          </w:p>
        </w:tc>
        <w:tc>
          <w:tcPr>
            <w:tcW w:w="787" w:type="pct"/>
            <w:vMerge w:val="continue"/>
            <w:noWrap/>
            <w:vAlign w:val="center"/>
          </w:tcPr>
          <w:p>
            <w:pPr>
              <w:jc w:val="center"/>
              <w:rPr>
                <w:rFonts w:ascii="Times New Roman" w:hAnsi="Times New Roman" w:eastAsia="仿宋_GB2312" w:cs="Times New Roman"/>
                <w:color w:val="auto"/>
                <w:sz w:val="21"/>
                <w:szCs w:val="21"/>
              </w:rPr>
            </w:pPr>
          </w:p>
        </w:tc>
        <w:tc>
          <w:tcPr>
            <w:tcW w:w="2080" w:type="pct"/>
            <w:noWrap/>
            <w:vAlign w:val="center"/>
          </w:tcPr>
          <w:p>
            <w:pPr>
              <w:widowControl/>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经十八路人行道透水铺装</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调查样地</w:t>
            </w:r>
          </w:p>
        </w:tc>
        <w:tc>
          <w:tcPr>
            <w:tcW w:w="675"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continue"/>
            <w:noWrap/>
            <w:vAlign w:val="center"/>
          </w:tcPr>
          <w:p>
            <w:pPr>
              <w:jc w:val="center"/>
              <w:rPr>
                <w:rFonts w:ascii="Times New Roman" w:hAnsi="Times New Roman" w:eastAsia="仿宋_GB2312" w:cs="Times New Roman"/>
                <w:color w:val="auto"/>
                <w:sz w:val="21"/>
                <w:szCs w:val="21"/>
              </w:rPr>
            </w:pPr>
          </w:p>
        </w:tc>
        <w:tc>
          <w:tcPr>
            <w:tcW w:w="787" w:type="pct"/>
            <w:vMerge w:val="continue"/>
            <w:noWrap/>
            <w:vAlign w:val="center"/>
          </w:tcPr>
          <w:p>
            <w:pPr>
              <w:jc w:val="center"/>
              <w:rPr>
                <w:rFonts w:ascii="Times New Roman" w:hAnsi="Times New Roman" w:eastAsia="仿宋_GB2312" w:cs="Times New Roman"/>
                <w:color w:val="auto"/>
                <w:sz w:val="21"/>
                <w:szCs w:val="21"/>
              </w:rPr>
            </w:pPr>
          </w:p>
        </w:tc>
        <w:tc>
          <w:tcPr>
            <w:tcW w:w="2080" w:type="pct"/>
            <w:noWrap/>
            <w:vAlign w:val="center"/>
          </w:tcPr>
          <w:p>
            <w:pPr>
              <w:widowControl/>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kern w:val="0"/>
                <w:sz w:val="21"/>
                <w:szCs w:val="21"/>
              </w:rPr>
              <w:t>梧岗南路雨水管线</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调查样地</w:t>
            </w:r>
          </w:p>
        </w:tc>
        <w:tc>
          <w:tcPr>
            <w:tcW w:w="675"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continue"/>
            <w:noWrap/>
            <w:vAlign w:val="center"/>
          </w:tcPr>
          <w:p>
            <w:pPr>
              <w:jc w:val="center"/>
              <w:rPr>
                <w:rFonts w:ascii="Times New Roman" w:hAnsi="Times New Roman" w:eastAsia="仿宋_GB2312" w:cs="Times New Roman"/>
                <w:color w:val="auto"/>
                <w:sz w:val="21"/>
                <w:szCs w:val="21"/>
              </w:rPr>
            </w:pPr>
          </w:p>
        </w:tc>
        <w:tc>
          <w:tcPr>
            <w:tcW w:w="787" w:type="pct"/>
            <w:vMerge w:val="restar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公用设施用地区</w:t>
            </w:r>
          </w:p>
        </w:tc>
        <w:tc>
          <w:tcPr>
            <w:tcW w:w="2080" w:type="pct"/>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w:t>
            </w:r>
            <w:r>
              <w:rPr>
                <w:rFonts w:hint="eastAsia" w:ascii="Times New Roman" w:hAnsi="Times New Roman" w:eastAsia="仿宋_GB2312" w:cs="Times New Roman"/>
                <w:color w:val="auto"/>
                <w:kern w:val="0"/>
                <w:sz w:val="21"/>
                <w:szCs w:val="21"/>
                <w:lang w:val="en-US" w:eastAsia="zh-CN"/>
              </w:rPr>
              <w:t>18</w:t>
            </w:r>
            <w:r>
              <w:rPr>
                <w:rFonts w:hint="eastAsia" w:ascii="Times New Roman" w:hAnsi="Times New Roman" w:eastAsia="仿宋_GB2312" w:cs="Times New Roman"/>
                <w:color w:val="auto"/>
                <w:kern w:val="0"/>
                <w:sz w:val="21"/>
                <w:szCs w:val="21"/>
              </w:rPr>
              <w:t>地块表土剥离区域</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调查样地</w:t>
            </w:r>
          </w:p>
        </w:tc>
        <w:tc>
          <w:tcPr>
            <w:tcW w:w="675"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continue"/>
            <w:noWrap/>
            <w:vAlign w:val="center"/>
          </w:tcPr>
          <w:p>
            <w:pPr>
              <w:jc w:val="center"/>
              <w:rPr>
                <w:rFonts w:ascii="Times New Roman" w:hAnsi="Times New Roman" w:eastAsia="仿宋_GB2312" w:cs="Times New Roman"/>
                <w:color w:val="auto"/>
                <w:sz w:val="21"/>
                <w:szCs w:val="21"/>
              </w:rPr>
            </w:pPr>
          </w:p>
        </w:tc>
        <w:tc>
          <w:tcPr>
            <w:tcW w:w="787" w:type="pct"/>
            <w:vMerge w:val="continue"/>
            <w:noWrap/>
            <w:vAlign w:val="center"/>
          </w:tcPr>
          <w:p>
            <w:pPr>
              <w:jc w:val="center"/>
              <w:rPr>
                <w:rFonts w:ascii="Times New Roman" w:hAnsi="Times New Roman" w:eastAsia="仿宋_GB2312" w:cs="Times New Roman"/>
                <w:color w:val="auto"/>
                <w:sz w:val="21"/>
                <w:szCs w:val="21"/>
              </w:rPr>
            </w:pPr>
          </w:p>
        </w:tc>
        <w:tc>
          <w:tcPr>
            <w:tcW w:w="2080" w:type="pct"/>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w:t>
            </w:r>
            <w:r>
              <w:rPr>
                <w:rFonts w:hint="eastAsia" w:ascii="Times New Roman" w:hAnsi="Times New Roman" w:eastAsia="仿宋_GB2312" w:cs="Times New Roman"/>
                <w:color w:val="auto"/>
                <w:kern w:val="0"/>
                <w:sz w:val="21"/>
                <w:szCs w:val="21"/>
                <w:lang w:val="en-US" w:eastAsia="zh-CN"/>
              </w:rPr>
              <w:t>04</w:t>
            </w:r>
            <w:r>
              <w:rPr>
                <w:rFonts w:hint="eastAsia" w:ascii="Times New Roman" w:hAnsi="Times New Roman" w:eastAsia="仿宋_GB2312" w:cs="Times New Roman"/>
                <w:color w:val="auto"/>
                <w:kern w:val="0"/>
                <w:sz w:val="21"/>
                <w:szCs w:val="21"/>
              </w:rPr>
              <w:t>地块临时排水出口沉沙池处</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观测样地</w:t>
            </w:r>
          </w:p>
        </w:tc>
        <w:tc>
          <w:tcPr>
            <w:tcW w:w="675"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continue"/>
            <w:noWrap/>
            <w:vAlign w:val="center"/>
          </w:tcPr>
          <w:p>
            <w:pPr>
              <w:jc w:val="center"/>
              <w:rPr>
                <w:rFonts w:ascii="Times New Roman" w:hAnsi="Times New Roman" w:eastAsia="仿宋_GB2312" w:cs="Times New Roman"/>
                <w:color w:val="auto"/>
                <w:sz w:val="21"/>
                <w:szCs w:val="21"/>
              </w:rPr>
            </w:pPr>
          </w:p>
        </w:tc>
        <w:tc>
          <w:tcPr>
            <w:tcW w:w="787" w:type="pct"/>
            <w:vMerge w:val="continue"/>
            <w:noWrap/>
            <w:vAlign w:val="center"/>
          </w:tcPr>
          <w:p>
            <w:pPr>
              <w:jc w:val="center"/>
              <w:rPr>
                <w:rFonts w:ascii="Times New Roman" w:hAnsi="Times New Roman" w:eastAsia="仿宋_GB2312" w:cs="Times New Roman"/>
                <w:color w:val="auto"/>
                <w:sz w:val="21"/>
                <w:szCs w:val="21"/>
              </w:rPr>
            </w:pPr>
          </w:p>
        </w:tc>
        <w:tc>
          <w:tcPr>
            <w:tcW w:w="2080" w:type="pct"/>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w:t>
            </w:r>
            <w:r>
              <w:rPr>
                <w:rFonts w:hint="eastAsia" w:ascii="Times New Roman" w:hAnsi="Times New Roman" w:eastAsia="仿宋_GB2312" w:cs="Times New Roman"/>
                <w:color w:val="auto"/>
                <w:kern w:val="0"/>
                <w:sz w:val="21"/>
                <w:szCs w:val="21"/>
                <w:lang w:val="en-US" w:eastAsia="zh-CN"/>
              </w:rPr>
              <w:t>13</w:t>
            </w:r>
            <w:r>
              <w:rPr>
                <w:rFonts w:hint="eastAsia" w:ascii="Times New Roman" w:hAnsi="Times New Roman" w:eastAsia="仿宋_GB2312" w:cs="Times New Roman"/>
                <w:color w:val="auto"/>
                <w:kern w:val="0"/>
                <w:sz w:val="21"/>
                <w:szCs w:val="21"/>
              </w:rPr>
              <w:t>地块撒播草籽复绿处</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调查样地</w:t>
            </w:r>
          </w:p>
        </w:tc>
        <w:tc>
          <w:tcPr>
            <w:tcW w:w="675"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continue"/>
            <w:noWrap/>
            <w:vAlign w:val="center"/>
          </w:tcPr>
          <w:p>
            <w:pPr>
              <w:jc w:val="center"/>
              <w:rPr>
                <w:rFonts w:ascii="Times New Roman" w:hAnsi="Times New Roman" w:eastAsia="仿宋_GB2312" w:cs="Times New Roman"/>
                <w:color w:val="auto"/>
                <w:sz w:val="21"/>
                <w:szCs w:val="21"/>
              </w:rPr>
            </w:pPr>
          </w:p>
        </w:tc>
        <w:tc>
          <w:tcPr>
            <w:tcW w:w="787" w:type="pct"/>
            <w:vMerge w:val="restar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绿地区</w:t>
            </w:r>
          </w:p>
        </w:tc>
        <w:tc>
          <w:tcPr>
            <w:tcW w:w="2080" w:type="pct"/>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公园绿地景观绿化处</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调查样地</w:t>
            </w:r>
          </w:p>
        </w:tc>
        <w:tc>
          <w:tcPr>
            <w:tcW w:w="675"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continue"/>
            <w:noWrap/>
            <w:vAlign w:val="center"/>
          </w:tcPr>
          <w:p>
            <w:pPr>
              <w:jc w:val="center"/>
              <w:rPr>
                <w:rFonts w:ascii="Times New Roman" w:hAnsi="Times New Roman" w:eastAsia="仿宋_GB2312" w:cs="Times New Roman"/>
                <w:color w:val="auto"/>
                <w:sz w:val="21"/>
                <w:szCs w:val="21"/>
              </w:rPr>
            </w:pPr>
          </w:p>
        </w:tc>
        <w:tc>
          <w:tcPr>
            <w:tcW w:w="787" w:type="pct"/>
            <w:vMerge w:val="continue"/>
            <w:noWrap/>
            <w:vAlign w:val="center"/>
          </w:tcPr>
          <w:p>
            <w:pPr>
              <w:jc w:val="center"/>
              <w:rPr>
                <w:rFonts w:ascii="Times New Roman" w:hAnsi="Times New Roman" w:eastAsia="仿宋_GB2312" w:cs="Times New Roman"/>
                <w:color w:val="auto"/>
                <w:sz w:val="21"/>
                <w:szCs w:val="21"/>
              </w:rPr>
            </w:pPr>
          </w:p>
        </w:tc>
        <w:tc>
          <w:tcPr>
            <w:tcW w:w="2080" w:type="pct"/>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公园绿地透水铺装处</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调查样地</w:t>
            </w:r>
          </w:p>
        </w:tc>
        <w:tc>
          <w:tcPr>
            <w:tcW w:w="675"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continue"/>
            <w:noWrap/>
            <w:vAlign w:val="center"/>
          </w:tcPr>
          <w:p>
            <w:pPr>
              <w:jc w:val="center"/>
              <w:rPr>
                <w:rFonts w:ascii="Times New Roman" w:hAnsi="Times New Roman" w:eastAsia="仿宋_GB2312" w:cs="Times New Roman"/>
                <w:color w:val="auto"/>
                <w:sz w:val="21"/>
                <w:szCs w:val="21"/>
              </w:rPr>
            </w:pPr>
          </w:p>
        </w:tc>
        <w:tc>
          <w:tcPr>
            <w:tcW w:w="787" w:type="pct"/>
            <w:vMerge w:val="continue"/>
            <w:noWrap/>
            <w:vAlign w:val="center"/>
          </w:tcPr>
          <w:p>
            <w:pPr>
              <w:jc w:val="center"/>
              <w:rPr>
                <w:rFonts w:ascii="Times New Roman" w:hAnsi="Times New Roman" w:eastAsia="仿宋_GB2312" w:cs="Times New Roman"/>
                <w:color w:val="auto"/>
                <w:sz w:val="21"/>
                <w:szCs w:val="21"/>
              </w:rPr>
            </w:pPr>
          </w:p>
        </w:tc>
        <w:tc>
          <w:tcPr>
            <w:tcW w:w="2080" w:type="pct"/>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公园绿地表土剥离区域</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调查样地</w:t>
            </w:r>
          </w:p>
        </w:tc>
        <w:tc>
          <w:tcPr>
            <w:tcW w:w="675"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continue"/>
            <w:noWrap/>
            <w:vAlign w:val="center"/>
          </w:tcPr>
          <w:p>
            <w:pPr>
              <w:jc w:val="center"/>
              <w:rPr>
                <w:rFonts w:ascii="Times New Roman" w:hAnsi="Times New Roman" w:eastAsia="仿宋_GB2312" w:cs="Times New Roman"/>
                <w:color w:val="auto"/>
                <w:sz w:val="21"/>
                <w:szCs w:val="21"/>
              </w:rPr>
            </w:pPr>
          </w:p>
        </w:tc>
        <w:tc>
          <w:tcPr>
            <w:tcW w:w="787" w:type="pct"/>
            <w:vMerge w:val="continue"/>
            <w:noWrap/>
            <w:vAlign w:val="center"/>
          </w:tcPr>
          <w:p>
            <w:pPr>
              <w:jc w:val="center"/>
              <w:rPr>
                <w:rFonts w:ascii="Times New Roman" w:hAnsi="Times New Roman" w:eastAsia="仿宋_GB2312" w:cs="Times New Roman"/>
                <w:color w:val="auto"/>
                <w:sz w:val="21"/>
                <w:szCs w:val="21"/>
              </w:rPr>
            </w:pPr>
          </w:p>
        </w:tc>
        <w:tc>
          <w:tcPr>
            <w:tcW w:w="2080" w:type="pct"/>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防护绿地分隔绿地植被</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调查样地</w:t>
            </w:r>
          </w:p>
        </w:tc>
        <w:tc>
          <w:tcPr>
            <w:tcW w:w="675"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continue"/>
            <w:noWrap/>
            <w:vAlign w:val="center"/>
          </w:tcPr>
          <w:p>
            <w:pPr>
              <w:jc w:val="center"/>
              <w:rPr>
                <w:rFonts w:ascii="Times New Roman" w:hAnsi="Times New Roman" w:eastAsia="仿宋_GB2312" w:cs="Times New Roman"/>
                <w:color w:val="auto"/>
                <w:sz w:val="21"/>
                <w:szCs w:val="21"/>
              </w:rPr>
            </w:pPr>
          </w:p>
        </w:tc>
        <w:tc>
          <w:tcPr>
            <w:tcW w:w="787" w:type="pct"/>
            <w:vMerge w:val="continue"/>
            <w:noWrap/>
            <w:vAlign w:val="center"/>
          </w:tcPr>
          <w:p>
            <w:pPr>
              <w:jc w:val="center"/>
              <w:rPr>
                <w:rFonts w:ascii="Times New Roman" w:hAnsi="Times New Roman" w:eastAsia="仿宋_GB2312" w:cs="Times New Roman"/>
                <w:color w:val="auto"/>
                <w:sz w:val="21"/>
                <w:szCs w:val="21"/>
              </w:rPr>
            </w:pPr>
          </w:p>
        </w:tc>
        <w:tc>
          <w:tcPr>
            <w:tcW w:w="2080" w:type="pct"/>
            <w:noWrap/>
            <w:vAlign w:val="center"/>
          </w:tcPr>
          <w:p>
            <w:pPr>
              <w:widowControl/>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防护绿地周边临时排水出口沉沙池处</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观测样地</w:t>
            </w:r>
          </w:p>
        </w:tc>
        <w:tc>
          <w:tcPr>
            <w:tcW w:w="675"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restar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区域规划功能区</w:t>
            </w:r>
          </w:p>
        </w:tc>
        <w:tc>
          <w:tcPr>
            <w:tcW w:w="787"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eastAsia="zh-CN"/>
              </w:rPr>
              <w:t>已建工程</w:t>
            </w:r>
            <w:r>
              <w:rPr>
                <w:rFonts w:ascii="Times New Roman" w:hAnsi="Times New Roman" w:eastAsia="仿宋_GB2312" w:cs="Times New Roman"/>
                <w:color w:val="auto"/>
                <w:sz w:val="21"/>
                <w:szCs w:val="21"/>
              </w:rPr>
              <w:t>区</w:t>
            </w:r>
          </w:p>
        </w:tc>
        <w:tc>
          <w:tcPr>
            <w:tcW w:w="2080" w:type="pct"/>
            <w:noWrap/>
            <w:vAlign w:val="center"/>
          </w:tcPr>
          <w:p>
            <w:pPr>
              <w:widowControl/>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E</w:t>
            </w:r>
            <w:r>
              <w:rPr>
                <w:rFonts w:hint="eastAsia" w:ascii="Times New Roman" w:hAnsi="Times New Roman" w:eastAsia="仿宋_GB2312" w:cs="Times New Roman"/>
                <w:color w:val="auto"/>
                <w:kern w:val="0"/>
                <w:sz w:val="21"/>
                <w:szCs w:val="21"/>
                <w:lang w:val="en-US" w:eastAsia="zh-CN"/>
              </w:rPr>
              <w:t>09</w:t>
            </w:r>
            <w:r>
              <w:rPr>
                <w:rFonts w:hint="eastAsia" w:ascii="Times New Roman" w:hAnsi="Times New Roman" w:eastAsia="仿宋_GB2312" w:cs="Times New Roman"/>
                <w:color w:val="auto"/>
                <w:kern w:val="0"/>
                <w:sz w:val="21"/>
                <w:szCs w:val="21"/>
              </w:rPr>
              <w:t>地块</w:t>
            </w:r>
            <w:r>
              <w:rPr>
                <w:rFonts w:hint="eastAsia" w:ascii="Times New Roman" w:hAnsi="Times New Roman" w:eastAsia="仿宋_GB2312" w:cs="Times New Roman"/>
                <w:color w:val="auto"/>
                <w:kern w:val="0"/>
                <w:sz w:val="21"/>
                <w:szCs w:val="21"/>
                <w:lang w:eastAsia="zh-CN"/>
              </w:rPr>
              <w:t>现状植被覆盖区域</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调查样地</w:t>
            </w:r>
          </w:p>
        </w:tc>
        <w:tc>
          <w:tcPr>
            <w:tcW w:w="675"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continue"/>
            <w:noWrap/>
            <w:vAlign w:val="center"/>
          </w:tcPr>
          <w:p>
            <w:pPr>
              <w:jc w:val="center"/>
              <w:rPr>
                <w:rFonts w:ascii="Times New Roman" w:hAnsi="Times New Roman" w:eastAsia="仿宋_GB2312" w:cs="Times New Roman"/>
                <w:color w:val="auto"/>
                <w:sz w:val="21"/>
                <w:szCs w:val="21"/>
              </w:rPr>
            </w:pPr>
          </w:p>
        </w:tc>
        <w:tc>
          <w:tcPr>
            <w:tcW w:w="787" w:type="pct"/>
            <w:vMerge w:val="restar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eastAsia="zh-CN"/>
              </w:rPr>
              <w:t>待建工程</w:t>
            </w:r>
            <w:r>
              <w:rPr>
                <w:rFonts w:ascii="Times New Roman" w:hAnsi="Times New Roman" w:eastAsia="仿宋_GB2312" w:cs="Times New Roman"/>
                <w:color w:val="auto"/>
                <w:sz w:val="21"/>
                <w:szCs w:val="21"/>
              </w:rPr>
              <w:t>区</w:t>
            </w:r>
          </w:p>
        </w:tc>
        <w:tc>
          <w:tcPr>
            <w:tcW w:w="2080"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kern w:val="0"/>
                <w:sz w:val="21"/>
                <w:szCs w:val="21"/>
                <w:lang w:val="en-US" w:eastAsia="zh-CN"/>
              </w:rPr>
              <w:t>E06地块</w:t>
            </w:r>
            <w:r>
              <w:rPr>
                <w:rFonts w:hint="eastAsia" w:ascii="Times New Roman" w:hAnsi="Times New Roman" w:eastAsia="仿宋_GB2312" w:cs="Times New Roman"/>
                <w:color w:val="auto"/>
                <w:kern w:val="0"/>
                <w:sz w:val="21"/>
                <w:szCs w:val="21"/>
              </w:rPr>
              <w:t>周边临时排水出口沉沙池处</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观测样地</w:t>
            </w:r>
          </w:p>
        </w:tc>
        <w:tc>
          <w:tcPr>
            <w:tcW w:w="675"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continue"/>
            <w:noWrap/>
            <w:vAlign w:val="center"/>
          </w:tcPr>
          <w:p>
            <w:pPr>
              <w:jc w:val="center"/>
              <w:rPr>
                <w:rFonts w:ascii="Times New Roman" w:hAnsi="Times New Roman" w:eastAsia="仿宋_GB2312" w:cs="Times New Roman"/>
                <w:color w:val="auto"/>
                <w:sz w:val="21"/>
                <w:szCs w:val="21"/>
              </w:rPr>
            </w:pPr>
          </w:p>
        </w:tc>
        <w:tc>
          <w:tcPr>
            <w:tcW w:w="787" w:type="pct"/>
            <w:vMerge w:val="continue"/>
            <w:noWrap/>
            <w:vAlign w:val="center"/>
          </w:tcPr>
          <w:p>
            <w:pPr>
              <w:jc w:val="center"/>
              <w:rPr>
                <w:rFonts w:hint="eastAsia" w:ascii="Times New Roman" w:hAnsi="Times New Roman" w:eastAsia="仿宋_GB2312" w:cs="Times New Roman"/>
                <w:color w:val="auto"/>
                <w:sz w:val="21"/>
                <w:szCs w:val="21"/>
                <w:lang w:eastAsia="zh-CN"/>
              </w:rPr>
            </w:pPr>
          </w:p>
        </w:tc>
        <w:tc>
          <w:tcPr>
            <w:tcW w:w="2080" w:type="pct"/>
            <w:noWrap/>
            <w:vAlign w:val="center"/>
          </w:tcPr>
          <w:p>
            <w:pPr>
              <w:jc w:val="center"/>
              <w:rPr>
                <w:rFonts w:hint="eastAsia" w:ascii="Times New Roman" w:hAnsi="Times New Roman" w:eastAsia="仿宋_GB2312" w:cs="Times New Roman"/>
                <w:color w:val="auto"/>
                <w:kern w:val="0"/>
                <w:sz w:val="21"/>
                <w:szCs w:val="21"/>
                <w:lang w:val="en-US" w:eastAsia="zh-CN"/>
              </w:rPr>
            </w:pPr>
            <w:r>
              <w:rPr>
                <w:rFonts w:hint="eastAsia" w:ascii="Times New Roman" w:hAnsi="Times New Roman" w:eastAsia="仿宋_GB2312" w:cs="Times New Roman"/>
                <w:color w:val="auto"/>
                <w:kern w:val="0"/>
                <w:sz w:val="21"/>
                <w:szCs w:val="21"/>
                <w:lang w:val="en-US" w:eastAsia="zh-CN"/>
              </w:rPr>
              <w:t>E06地块</w:t>
            </w:r>
            <w:r>
              <w:rPr>
                <w:rFonts w:hint="eastAsia" w:ascii="Times New Roman" w:hAnsi="Times New Roman" w:eastAsia="仿宋_GB2312" w:cs="Times New Roman"/>
                <w:color w:val="auto"/>
                <w:kern w:val="0"/>
                <w:sz w:val="21"/>
                <w:szCs w:val="21"/>
                <w:lang w:eastAsia="zh-CN"/>
              </w:rPr>
              <w:t>范围表土剥离区域</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调查样地</w:t>
            </w:r>
          </w:p>
        </w:tc>
        <w:tc>
          <w:tcPr>
            <w:tcW w:w="675" w:type="pct"/>
            <w:noWrap/>
            <w:vAlign w:val="center"/>
          </w:tcPr>
          <w:p>
            <w:pPr>
              <w:jc w:val="center"/>
              <w:rPr>
                <w:rFonts w:hint="eastAsia"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continue"/>
            <w:noWrap/>
            <w:vAlign w:val="center"/>
          </w:tcPr>
          <w:p>
            <w:pPr>
              <w:jc w:val="center"/>
              <w:rPr>
                <w:rFonts w:ascii="Times New Roman" w:hAnsi="Times New Roman" w:eastAsia="仿宋_GB2312" w:cs="Times New Roman"/>
                <w:color w:val="auto"/>
                <w:sz w:val="21"/>
                <w:szCs w:val="21"/>
              </w:rPr>
            </w:pPr>
          </w:p>
        </w:tc>
        <w:tc>
          <w:tcPr>
            <w:tcW w:w="787" w:type="pct"/>
            <w:vMerge w:val="continue"/>
            <w:noWrap/>
            <w:vAlign w:val="center"/>
          </w:tcPr>
          <w:p>
            <w:pPr>
              <w:jc w:val="center"/>
              <w:rPr>
                <w:rFonts w:hint="eastAsia" w:ascii="Times New Roman" w:hAnsi="Times New Roman" w:eastAsia="仿宋_GB2312" w:cs="Times New Roman"/>
                <w:color w:val="auto"/>
                <w:sz w:val="21"/>
                <w:szCs w:val="21"/>
                <w:lang w:eastAsia="zh-CN"/>
              </w:rPr>
            </w:pPr>
          </w:p>
        </w:tc>
        <w:tc>
          <w:tcPr>
            <w:tcW w:w="2080" w:type="pct"/>
            <w:noWrap/>
            <w:vAlign w:val="center"/>
          </w:tcPr>
          <w:p>
            <w:pPr>
              <w:jc w:val="center"/>
              <w:rPr>
                <w:rFonts w:hint="eastAsia" w:ascii="Times New Roman" w:hAnsi="Times New Roman" w:eastAsia="仿宋_GB2312" w:cs="Times New Roman"/>
                <w:color w:val="auto"/>
                <w:kern w:val="0"/>
                <w:sz w:val="21"/>
                <w:szCs w:val="21"/>
                <w:lang w:val="en-US" w:eastAsia="zh-CN"/>
              </w:rPr>
            </w:pPr>
            <w:r>
              <w:rPr>
                <w:rFonts w:hint="eastAsia" w:ascii="Times New Roman" w:hAnsi="Times New Roman" w:eastAsia="仿宋_GB2312" w:cs="Times New Roman"/>
                <w:color w:val="auto"/>
                <w:kern w:val="0"/>
                <w:sz w:val="21"/>
                <w:szCs w:val="21"/>
                <w:lang w:val="en-US" w:eastAsia="zh-CN"/>
              </w:rPr>
              <w:t>E02地块</w:t>
            </w:r>
            <w:r>
              <w:rPr>
                <w:rFonts w:hint="eastAsia" w:ascii="Times New Roman" w:hAnsi="Times New Roman" w:eastAsia="仿宋_GB2312" w:cs="Times New Roman"/>
                <w:color w:val="auto"/>
                <w:sz w:val="21"/>
                <w:szCs w:val="21"/>
              </w:rPr>
              <w:t>撒播草籽复绿处</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调查样地</w:t>
            </w:r>
          </w:p>
        </w:tc>
        <w:tc>
          <w:tcPr>
            <w:tcW w:w="675" w:type="pct"/>
            <w:noWrap/>
            <w:vAlign w:val="center"/>
          </w:tcPr>
          <w:p>
            <w:pPr>
              <w:jc w:val="center"/>
              <w:rPr>
                <w:rFonts w:hint="eastAsia"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restar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施工临时设施区</w:t>
            </w:r>
          </w:p>
        </w:tc>
        <w:tc>
          <w:tcPr>
            <w:tcW w:w="787" w:type="pct"/>
            <w:vMerge w:val="restar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eastAsia="zh-CN"/>
              </w:rPr>
              <w:t>临时堆土</w:t>
            </w:r>
            <w:r>
              <w:rPr>
                <w:rFonts w:ascii="Times New Roman" w:hAnsi="Times New Roman" w:eastAsia="仿宋_GB2312" w:cs="Times New Roman"/>
                <w:color w:val="auto"/>
                <w:sz w:val="21"/>
                <w:szCs w:val="21"/>
              </w:rPr>
              <w:t>场区</w:t>
            </w:r>
          </w:p>
        </w:tc>
        <w:tc>
          <w:tcPr>
            <w:tcW w:w="2080"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lang w:eastAsia="zh-CN"/>
              </w:rPr>
              <w:t>临时表土堆放场</w:t>
            </w:r>
            <w:r>
              <w:rPr>
                <w:rFonts w:hint="eastAsia" w:ascii="Times New Roman" w:hAnsi="Times New Roman" w:eastAsia="仿宋_GB2312" w:cs="Times New Roman"/>
                <w:color w:val="auto"/>
                <w:sz w:val="21"/>
                <w:szCs w:val="21"/>
              </w:rPr>
              <w:t>排水出口沉沙池处</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观测样地</w:t>
            </w:r>
          </w:p>
        </w:tc>
        <w:tc>
          <w:tcPr>
            <w:tcW w:w="675"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continue"/>
            <w:noWrap/>
            <w:vAlign w:val="center"/>
          </w:tcPr>
          <w:p>
            <w:pPr>
              <w:jc w:val="center"/>
              <w:rPr>
                <w:rFonts w:ascii="Times New Roman" w:hAnsi="Times New Roman" w:eastAsia="仿宋_GB2312" w:cs="Times New Roman"/>
                <w:color w:val="auto"/>
                <w:sz w:val="21"/>
                <w:szCs w:val="21"/>
              </w:rPr>
            </w:pPr>
          </w:p>
        </w:tc>
        <w:tc>
          <w:tcPr>
            <w:tcW w:w="787" w:type="pct"/>
            <w:vMerge w:val="continue"/>
            <w:noWrap/>
            <w:vAlign w:val="center"/>
          </w:tcPr>
          <w:p>
            <w:pPr>
              <w:jc w:val="center"/>
              <w:rPr>
                <w:rFonts w:hint="eastAsia" w:ascii="Times New Roman" w:hAnsi="Times New Roman" w:eastAsia="仿宋_GB2312" w:cs="Times New Roman"/>
                <w:color w:val="auto"/>
                <w:sz w:val="21"/>
                <w:szCs w:val="21"/>
                <w:lang w:eastAsia="zh-CN"/>
              </w:rPr>
            </w:pPr>
          </w:p>
        </w:tc>
        <w:tc>
          <w:tcPr>
            <w:tcW w:w="2080" w:type="pct"/>
            <w:noWrap/>
            <w:vAlign w:val="center"/>
          </w:tcPr>
          <w:p>
            <w:pPr>
              <w:jc w:val="center"/>
              <w:rPr>
                <w:rFonts w:hint="eastAsia" w:ascii="Times New Roman" w:hAnsi="Times New Roman" w:eastAsia="仿宋_GB2312" w:cs="Times New Roman"/>
                <w:color w:val="auto"/>
                <w:sz w:val="21"/>
                <w:szCs w:val="21"/>
                <w:lang w:eastAsia="zh-CN"/>
              </w:rPr>
            </w:pPr>
            <w:r>
              <w:rPr>
                <w:rFonts w:hint="eastAsia" w:ascii="Times New Roman" w:hAnsi="Times New Roman" w:eastAsia="仿宋_GB2312" w:cs="Times New Roman"/>
                <w:color w:val="auto"/>
                <w:sz w:val="21"/>
                <w:szCs w:val="21"/>
                <w:lang w:eastAsia="zh-CN"/>
              </w:rPr>
              <w:t>临时表土堆放场顶部撒播草籽处</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调查样地</w:t>
            </w:r>
          </w:p>
        </w:tc>
        <w:tc>
          <w:tcPr>
            <w:tcW w:w="675" w:type="pct"/>
            <w:noWrap/>
            <w:vAlign w:val="center"/>
          </w:tcPr>
          <w:p>
            <w:pPr>
              <w:jc w:val="center"/>
              <w:rPr>
                <w:rFonts w:hint="eastAsia"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continue"/>
            <w:noWrap/>
            <w:vAlign w:val="center"/>
          </w:tcPr>
          <w:p>
            <w:pPr>
              <w:jc w:val="center"/>
              <w:rPr>
                <w:rFonts w:ascii="Times New Roman" w:hAnsi="Times New Roman" w:eastAsia="仿宋_GB2312" w:cs="Times New Roman"/>
                <w:color w:val="auto"/>
                <w:sz w:val="21"/>
                <w:szCs w:val="21"/>
              </w:rPr>
            </w:pPr>
          </w:p>
        </w:tc>
        <w:tc>
          <w:tcPr>
            <w:tcW w:w="787" w:type="pct"/>
            <w:vMerge w:val="continue"/>
            <w:noWrap/>
            <w:vAlign w:val="center"/>
          </w:tcPr>
          <w:p>
            <w:pPr>
              <w:jc w:val="center"/>
              <w:rPr>
                <w:rFonts w:ascii="Times New Roman" w:hAnsi="Times New Roman" w:eastAsia="仿宋_GB2312" w:cs="Times New Roman"/>
                <w:color w:val="auto"/>
                <w:sz w:val="21"/>
                <w:szCs w:val="21"/>
              </w:rPr>
            </w:pPr>
          </w:p>
        </w:tc>
        <w:tc>
          <w:tcPr>
            <w:tcW w:w="2080"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晾干淤泥堆场排水出口沉沙池处</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观测样地</w:t>
            </w:r>
          </w:p>
        </w:tc>
        <w:tc>
          <w:tcPr>
            <w:tcW w:w="675"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continue"/>
            <w:noWrap/>
            <w:vAlign w:val="center"/>
          </w:tcPr>
          <w:p>
            <w:pPr>
              <w:jc w:val="center"/>
              <w:rPr>
                <w:rFonts w:ascii="Times New Roman" w:hAnsi="Times New Roman" w:eastAsia="仿宋_GB2312" w:cs="Times New Roman"/>
                <w:color w:val="auto"/>
                <w:sz w:val="21"/>
                <w:szCs w:val="21"/>
              </w:rPr>
            </w:pPr>
          </w:p>
        </w:tc>
        <w:tc>
          <w:tcPr>
            <w:tcW w:w="787" w:type="pct"/>
            <w:vMerge w:val="continue"/>
            <w:noWrap/>
            <w:vAlign w:val="center"/>
          </w:tcPr>
          <w:p>
            <w:pPr>
              <w:jc w:val="center"/>
              <w:rPr>
                <w:rFonts w:ascii="Times New Roman" w:hAnsi="Times New Roman" w:eastAsia="仿宋_GB2312" w:cs="Times New Roman"/>
                <w:color w:val="auto"/>
                <w:sz w:val="21"/>
                <w:szCs w:val="21"/>
              </w:rPr>
            </w:pPr>
          </w:p>
        </w:tc>
        <w:tc>
          <w:tcPr>
            <w:tcW w:w="2080" w:type="pct"/>
            <w:noWrap/>
            <w:vAlign w:val="center"/>
          </w:tcPr>
          <w:p>
            <w:pPr>
              <w:jc w:val="center"/>
              <w:rPr>
                <w:rFonts w:hint="eastAsia"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晾干淤泥堆场</w:t>
            </w:r>
            <w:r>
              <w:rPr>
                <w:rFonts w:hint="eastAsia" w:ascii="Times New Roman" w:hAnsi="Times New Roman" w:eastAsia="仿宋_GB2312" w:cs="Times New Roman"/>
                <w:color w:val="auto"/>
                <w:sz w:val="21"/>
                <w:szCs w:val="21"/>
                <w:lang w:eastAsia="zh-CN"/>
              </w:rPr>
              <w:t>顶部撒播草籽处</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调查样地</w:t>
            </w:r>
          </w:p>
        </w:tc>
        <w:tc>
          <w:tcPr>
            <w:tcW w:w="675" w:type="pct"/>
            <w:noWrap/>
            <w:vAlign w:val="center"/>
          </w:tcPr>
          <w:p>
            <w:pPr>
              <w:jc w:val="center"/>
              <w:rPr>
                <w:rFonts w:hint="eastAsia"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continue"/>
            <w:noWrap/>
            <w:vAlign w:val="center"/>
          </w:tcPr>
          <w:p>
            <w:pPr>
              <w:jc w:val="center"/>
              <w:rPr>
                <w:rFonts w:ascii="Times New Roman" w:hAnsi="Times New Roman" w:eastAsia="仿宋_GB2312" w:cs="Times New Roman"/>
                <w:color w:val="auto"/>
                <w:sz w:val="21"/>
                <w:szCs w:val="21"/>
              </w:rPr>
            </w:pPr>
          </w:p>
        </w:tc>
        <w:tc>
          <w:tcPr>
            <w:tcW w:w="787" w:type="pct"/>
            <w:vMerge w:val="restar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苗木移栽区</w:t>
            </w:r>
          </w:p>
        </w:tc>
        <w:tc>
          <w:tcPr>
            <w:tcW w:w="2080"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排水出口沉沙池处</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观测样地</w:t>
            </w:r>
          </w:p>
        </w:tc>
        <w:tc>
          <w:tcPr>
            <w:tcW w:w="675" w:type="pct"/>
            <w:noWrap/>
            <w:vAlign w:val="center"/>
          </w:tcPr>
          <w:p>
            <w:pPr>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81" w:type="pct"/>
            <w:vMerge w:val="continue"/>
            <w:noWrap/>
            <w:vAlign w:val="center"/>
          </w:tcPr>
          <w:p>
            <w:pPr>
              <w:jc w:val="center"/>
              <w:rPr>
                <w:rFonts w:ascii="Times New Roman" w:hAnsi="Times New Roman" w:eastAsia="仿宋_GB2312" w:cs="Times New Roman"/>
                <w:color w:val="auto"/>
                <w:sz w:val="21"/>
                <w:szCs w:val="21"/>
              </w:rPr>
            </w:pPr>
            <w:bookmarkStart w:id="366" w:name="_Toc4211"/>
          </w:p>
        </w:tc>
        <w:tc>
          <w:tcPr>
            <w:tcW w:w="787" w:type="pct"/>
            <w:vMerge w:val="continue"/>
            <w:noWrap/>
            <w:vAlign w:val="center"/>
          </w:tcPr>
          <w:p>
            <w:pPr>
              <w:jc w:val="center"/>
              <w:rPr>
                <w:rFonts w:ascii="Times New Roman" w:hAnsi="Times New Roman" w:eastAsia="仿宋_GB2312" w:cs="Times New Roman"/>
                <w:color w:val="auto"/>
                <w:sz w:val="21"/>
                <w:szCs w:val="21"/>
              </w:rPr>
            </w:pPr>
          </w:p>
        </w:tc>
        <w:tc>
          <w:tcPr>
            <w:tcW w:w="2080" w:type="pct"/>
            <w:noWrap/>
            <w:vAlign w:val="center"/>
          </w:tcPr>
          <w:p>
            <w:pPr>
              <w:jc w:val="center"/>
              <w:rPr>
                <w:rFonts w:hint="eastAsia" w:ascii="Times New Roman" w:hAnsi="Times New Roman" w:eastAsia="仿宋_GB2312" w:cs="Times New Roman"/>
                <w:color w:val="auto"/>
                <w:sz w:val="21"/>
                <w:szCs w:val="21"/>
                <w:lang w:eastAsia="zh-CN"/>
              </w:rPr>
            </w:pPr>
            <w:r>
              <w:rPr>
                <w:rFonts w:hint="eastAsia" w:ascii="Times New Roman" w:hAnsi="Times New Roman" w:eastAsia="仿宋_GB2312" w:cs="Times New Roman"/>
                <w:color w:val="auto"/>
                <w:sz w:val="21"/>
                <w:szCs w:val="21"/>
                <w:lang w:eastAsia="zh-CN"/>
              </w:rPr>
              <w:t>临时移栽树种</w:t>
            </w:r>
          </w:p>
        </w:tc>
        <w:tc>
          <w:tcPr>
            <w:tcW w:w="874" w:type="pct"/>
            <w:noWrap/>
            <w:vAlign w:val="center"/>
          </w:tcPr>
          <w:p>
            <w:pPr>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调查样地</w:t>
            </w:r>
          </w:p>
        </w:tc>
        <w:tc>
          <w:tcPr>
            <w:tcW w:w="675" w:type="pct"/>
            <w:noWrap/>
            <w:vAlign w:val="center"/>
          </w:tcPr>
          <w:p>
            <w:pPr>
              <w:jc w:val="center"/>
              <w:rPr>
                <w:rFonts w:hint="eastAsia"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1</w:t>
            </w:r>
          </w:p>
        </w:tc>
      </w:tr>
    </w:tbl>
    <w:p>
      <w:pPr>
        <w:keepNext/>
        <w:keepLines/>
        <w:spacing w:line="360" w:lineRule="auto"/>
        <w:outlineLvl w:val="1"/>
        <w:rPr>
          <w:rFonts w:ascii="Times New Roman" w:hAnsi="Times New Roman" w:eastAsia="仿宋_GB2312" w:cs="Times New Roman"/>
          <w:b/>
          <w:color w:val="auto"/>
          <w:sz w:val="32"/>
          <w:szCs w:val="20"/>
        </w:rPr>
      </w:pPr>
      <w:r>
        <w:rPr>
          <w:rFonts w:ascii="Times New Roman" w:hAnsi="Times New Roman" w:eastAsia="仿宋_GB2312" w:cs="Times New Roman"/>
          <w:b/>
          <w:color w:val="auto"/>
          <w:sz w:val="32"/>
          <w:szCs w:val="20"/>
        </w:rPr>
        <w:t>6.4</w:t>
      </w:r>
      <w:bookmarkEnd w:id="359"/>
      <w:bookmarkEnd w:id="360"/>
      <w:bookmarkEnd w:id="361"/>
      <w:bookmarkEnd w:id="362"/>
      <w:bookmarkEnd w:id="363"/>
      <w:bookmarkEnd w:id="364"/>
      <w:bookmarkEnd w:id="365"/>
      <w:r>
        <w:rPr>
          <w:rFonts w:ascii="Times New Roman" w:hAnsi="Times New Roman" w:eastAsia="仿宋_GB2312" w:cs="Times New Roman"/>
          <w:b/>
          <w:color w:val="auto"/>
          <w:sz w:val="32"/>
          <w:szCs w:val="20"/>
        </w:rPr>
        <w:t>实施条件和成果</w:t>
      </w:r>
      <w:bookmarkEnd w:id="366"/>
    </w:p>
    <w:p>
      <w:pPr>
        <w:spacing w:line="360" w:lineRule="auto"/>
        <w:outlineLvl w:val="2"/>
        <w:rPr>
          <w:rFonts w:ascii="Times New Roman" w:hAnsi="Times New Roman" w:eastAsia="仿宋_GB2312" w:cs="Times New Roman"/>
          <w:b/>
          <w:color w:val="auto"/>
          <w:sz w:val="30"/>
          <w:szCs w:val="30"/>
        </w:rPr>
      </w:pPr>
      <w:bookmarkStart w:id="367" w:name="_Toc7262"/>
      <w:r>
        <w:rPr>
          <w:rFonts w:ascii="Times New Roman" w:hAnsi="Times New Roman" w:eastAsia="仿宋_GB2312" w:cs="Times New Roman"/>
          <w:b/>
          <w:color w:val="auto"/>
          <w:sz w:val="30"/>
          <w:szCs w:val="30"/>
        </w:rPr>
        <w:t>6.4.1</w:t>
      </w:r>
      <w:bookmarkEnd w:id="367"/>
      <w:r>
        <w:rPr>
          <w:rFonts w:ascii="Times New Roman" w:hAnsi="Times New Roman" w:eastAsia="仿宋_GB2312" w:cs="Times New Roman"/>
          <w:b/>
          <w:color w:val="auto"/>
          <w:sz w:val="30"/>
          <w:szCs w:val="30"/>
        </w:rPr>
        <w:t>实施条件</w:t>
      </w:r>
    </w:p>
    <w:p>
      <w:pPr>
        <w:pStyle w:val="7"/>
        <w:spacing w:line="360" w:lineRule="auto"/>
        <w:rPr>
          <w:rFonts w:eastAsia="仿宋_GB2312"/>
          <w:color w:val="auto"/>
          <w:sz w:val="28"/>
          <w:szCs w:val="28"/>
        </w:rPr>
      </w:pPr>
      <w:r>
        <w:rPr>
          <w:rFonts w:eastAsia="仿宋_GB2312"/>
          <w:color w:val="auto"/>
          <w:sz w:val="28"/>
          <w:szCs w:val="28"/>
        </w:rPr>
        <w:t>6.4.1.1监测所需设施</w:t>
      </w:r>
    </w:p>
    <w:p>
      <w:pPr>
        <w:widowControl/>
        <w:adjustRightInd w:val="0"/>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监测方法多样其监测设施种类也较多，监测单位应根据监测工作中实际需要选择和优化监测设备，避免重复购置仪器，造成监测经费的浪费。监测所需设备主要有全站仪、坡度仪等调查监测设备，监测所需设备详见表6</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4-1。</w:t>
      </w:r>
    </w:p>
    <w:p>
      <w:pPr>
        <w:adjustRightInd w:val="0"/>
        <w:spacing w:line="360" w:lineRule="auto"/>
        <w:jc w:val="center"/>
        <w:rPr>
          <w:rFonts w:ascii="Times New Roman" w:hAnsi="Times New Roman" w:eastAsia="仿宋_GB2312" w:cs="Times New Roman"/>
          <w:b/>
          <w:color w:val="auto"/>
          <w:szCs w:val="24"/>
        </w:rPr>
      </w:pPr>
      <w:bookmarkStart w:id="368" w:name="_Toc19486"/>
      <w:r>
        <w:rPr>
          <w:rFonts w:ascii="Times New Roman" w:hAnsi="Times New Roman" w:eastAsia="仿宋_GB2312" w:cs="Times New Roman"/>
          <w:b/>
          <w:color w:val="auto"/>
          <w:szCs w:val="24"/>
        </w:rPr>
        <w:t>表6</w:t>
      </w:r>
      <w:r>
        <w:rPr>
          <w:rFonts w:hint="eastAsia" w:ascii="Times New Roman" w:hAnsi="Times New Roman" w:eastAsia="仿宋_GB2312" w:cs="Times New Roman"/>
          <w:b/>
          <w:color w:val="auto"/>
          <w:szCs w:val="24"/>
        </w:rPr>
        <w:t>.</w:t>
      </w:r>
      <w:r>
        <w:rPr>
          <w:rFonts w:ascii="Times New Roman" w:hAnsi="Times New Roman" w:eastAsia="仿宋_GB2312" w:cs="Times New Roman"/>
          <w:b/>
          <w:color w:val="auto"/>
          <w:szCs w:val="24"/>
        </w:rPr>
        <w:t>4-1：水土保持监测设备及消耗性材料表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28"/>
        <w:gridCol w:w="2702"/>
        <w:gridCol w:w="1330"/>
        <w:gridCol w:w="1330"/>
        <w:gridCol w:w="183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exact"/>
          <w:jc w:val="center"/>
        </w:trPr>
        <w:tc>
          <w:tcPr>
            <w:tcW w:w="779" w:type="pct"/>
            <w:vAlign w:val="center"/>
          </w:tcPr>
          <w:p>
            <w:pPr>
              <w:widowControl/>
              <w:adjustRightInd w:val="0"/>
              <w:snapToGrid w:val="0"/>
              <w:spacing w:line="240" w:lineRule="atLeast"/>
              <w:jc w:val="center"/>
              <w:rPr>
                <w:rFonts w:cs="Times New Roman"/>
                <w:b/>
                <w:color w:val="auto"/>
                <w:kern w:val="0"/>
                <w:sz w:val="21"/>
                <w:szCs w:val="21"/>
              </w:rPr>
            </w:pPr>
            <w:r>
              <w:rPr>
                <w:rFonts w:ascii="Times New Roman" w:hAnsi="Times New Roman" w:eastAsia="仿宋_GB2312" w:cs="Times New Roman"/>
                <w:b/>
                <w:color w:val="auto"/>
                <w:kern w:val="0"/>
                <w:sz w:val="21"/>
                <w:szCs w:val="21"/>
              </w:rPr>
              <w:t>监测方法</w:t>
            </w:r>
          </w:p>
        </w:tc>
        <w:tc>
          <w:tcPr>
            <w:tcW w:w="1585" w:type="pct"/>
            <w:vAlign w:val="center"/>
          </w:tcPr>
          <w:p>
            <w:pPr>
              <w:widowControl/>
              <w:adjustRightInd w:val="0"/>
              <w:snapToGrid w:val="0"/>
              <w:spacing w:line="240" w:lineRule="atLeast"/>
              <w:jc w:val="center"/>
              <w:rPr>
                <w:rFonts w:cs="Times New Roman"/>
                <w:b/>
                <w:color w:val="auto"/>
                <w:kern w:val="0"/>
                <w:sz w:val="21"/>
                <w:szCs w:val="21"/>
              </w:rPr>
            </w:pPr>
            <w:r>
              <w:rPr>
                <w:rFonts w:ascii="Times New Roman" w:hAnsi="Times New Roman" w:eastAsia="仿宋_GB2312" w:cs="Times New Roman"/>
                <w:b/>
                <w:color w:val="auto"/>
                <w:kern w:val="0"/>
                <w:sz w:val="21"/>
                <w:szCs w:val="21"/>
              </w:rPr>
              <w:t>监测设备</w:t>
            </w:r>
          </w:p>
        </w:tc>
        <w:tc>
          <w:tcPr>
            <w:tcW w:w="780" w:type="pct"/>
            <w:vAlign w:val="center"/>
          </w:tcPr>
          <w:p>
            <w:pPr>
              <w:widowControl/>
              <w:adjustRightInd w:val="0"/>
              <w:snapToGrid w:val="0"/>
              <w:spacing w:line="240" w:lineRule="atLeast"/>
              <w:jc w:val="center"/>
              <w:rPr>
                <w:rFonts w:cs="Times New Roman"/>
                <w:b/>
                <w:color w:val="auto"/>
                <w:kern w:val="0"/>
                <w:sz w:val="21"/>
                <w:szCs w:val="21"/>
              </w:rPr>
            </w:pPr>
            <w:r>
              <w:rPr>
                <w:rFonts w:ascii="Times New Roman" w:hAnsi="Times New Roman" w:eastAsia="仿宋_GB2312" w:cs="Times New Roman"/>
                <w:b/>
                <w:color w:val="auto"/>
                <w:kern w:val="0"/>
                <w:sz w:val="21"/>
                <w:szCs w:val="21"/>
              </w:rPr>
              <w:t>单位</w:t>
            </w:r>
          </w:p>
        </w:tc>
        <w:tc>
          <w:tcPr>
            <w:tcW w:w="780" w:type="pct"/>
            <w:vAlign w:val="center"/>
          </w:tcPr>
          <w:p>
            <w:pPr>
              <w:widowControl/>
              <w:adjustRightInd w:val="0"/>
              <w:snapToGrid w:val="0"/>
              <w:spacing w:line="240" w:lineRule="atLeast"/>
              <w:jc w:val="center"/>
              <w:rPr>
                <w:rFonts w:cs="Times New Roman"/>
                <w:b/>
                <w:color w:val="auto"/>
                <w:kern w:val="0"/>
                <w:sz w:val="21"/>
                <w:szCs w:val="21"/>
              </w:rPr>
            </w:pPr>
            <w:r>
              <w:rPr>
                <w:rFonts w:ascii="Times New Roman" w:hAnsi="Times New Roman" w:eastAsia="仿宋_GB2312" w:cs="Times New Roman"/>
                <w:b/>
                <w:color w:val="auto"/>
                <w:kern w:val="0"/>
                <w:sz w:val="21"/>
                <w:szCs w:val="21"/>
              </w:rPr>
              <w:t>数量</w:t>
            </w:r>
          </w:p>
        </w:tc>
        <w:tc>
          <w:tcPr>
            <w:tcW w:w="1074" w:type="pct"/>
            <w:vAlign w:val="center"/>
          </w:tcPr>
          <w:p>
            <w:pPr>
              <w:widowControl/>
              <w:adjustRightInd w:val="0"/>
              <w:snapToGrid w:val="0"/>
              <w:spacing w:line="240" w:lineRule="atLeast"/>
              <w:jc w:val="center"/>
              <w:rPr>
                <w:rFonts w:cs="Times New Roman"/>
                <w:b/>
                <w:color w:val="auto"/>
                <w:kern w:val="0"/>
                <w:sz w:val="21"/>
                <w:szCs w:val="21"/>
              </w:rPr>
            </w:pPr>
            <w:r>
              <w:rPr>
                <w:rFonts w:ascii="Times New Roman" w:hAnsi="Times New Roman" w:eastAsia="仿宋_GB2312" w:cs="Times New Roman"/>
                <w:b/>
                <w:color w:val="auto"/>
                <w:kern w:val="0"/>
                <w:sz w:val="21"/>
                <w:szCs w:val="21"/>
              </w:rPr>
              <w:t>消耗性材料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7" w:hRule="exact"/>
          <w:jc w:val="center"/>
        </w:trPr>
        <w:tc>
          <w:tcPr>
            <w:tcW w:w="779" w:type="pct"/>
            <w:vMerge w:val="restart"/>
            <w:vAlign w:val="center"/>
          </w:tcPr>
          <w:p>
            <w:pPr>
              <w:widowControl/>
              <w:adjustRightInd w:val="0"/>
              <w:snapToGrid w:val="0"/>
              <w:spacing w:line="240" w:lineRule="atLeast"/>
              <w:jc w:val="center"/>
              <w:rPr>
                <w:rFonts w:cs="Times New Roman"/>
                <w:color w:val="auto"/>
                <w:kern w:val="0"/>
                <w:sz w:val="21"/>
                <w:szCs w:val="21"/>
              </w:rPr>
            </w:pPr>
            <w:r>
              <w:rPr>
                <w:rFonts w:ascii="Times New Roman" w:hAnsi="Times New Roman" w:eastAsia="仿宋_GB2312" w:cs="Times New Roman"/>
                <w:color w:val="auto"/>
                <w:kern w:val="0"/>
                <w:sz w:val="21"/>
                <w:szCs w:val="21"/>
              </w:rPr>
              <w:t>观测样地</w:t>
            </w:r>
          </w:p>
        </w:tc>
        <w:tc>
          <w:tcPr>
            <w:tcW w:w="1585" w:type="pct"/>
            <w:vAlign w:val="center"/>
          </w:tcPr>
          <w:p>
            <w:pPr>
              <w:widowControl/>
              <w:adjustRightInd w:val="0"/>
              <w:snapToGrid w:val="0"/>
              <w:spacing w:line="240" w:lineRule="atLeast"/>
              <w:jc w:val="center"/>
              <w:rPr>
                <w:rFonts w:cs="Times New Roman"/>
                <w:color w:val="auto"/>
                <w:kern w:val="0"/>
                <w:sz w:val="21"/>
                <w:szCs w:val="21"/>
              </w:rPr>
            </w:pPr>
            <w:r>
              <w:rPr>
                <w:rFonts w:ascii="Times New Roman" w:hAnsi="Times New Roman" w:eastAsia="仿宋_GB2312" w:cs="Times New Roman"/>
                <w:color w:val="auto"/>
                <w:kern w:val="0"/>
                <w:sz w:val="21"/>
                <w:szCs w:val="21"/>
              </w:rPr>
              <w:t>铝盒</w:t>
            </w:r>
          </w:p>
        </w:tc>
        <w:tc>
          <w:tcPr>
            <w:tcW w:w="780" w:type="pct"/>
            <w:vAlign w:val="center"/>
          </w:tcPr>
          <w:p>
            <w:pPr>
              <w:widowControl/>
              <w:adjustRightInd w:val="0"/>
              <w:snapToGrid w:val="0"/>
              <w:spacing w:line="240" w:lineRule="atLeast"/>
              <w:jc w:val="center"/>
              <w:rPr>
                <w:rFonts w:cs="Times New Roman"/>
                <w:color w:val="auto"/>
                <w:spacing w:val="4"/>
                <w:kern w:val="0"/>
                <w:sz w:val="21"/>
                <w:szCs w:val="21"/>
              </w:rPr>
            </w:pPr>
            <w:r>
              <w:rPr>
                <w:rFonts w:ascii="Times New Roman" w:hAnsi="Times New Roman" w:eastAsia="仿宋_GB2312" w:cs="Times New Roman"/>
                <w:color w:val="auto"/>
                <w:spacing w:val="4"/>
                <w:kern w:val="0"/>
                <w:sz w:val="21"/>
                <w:szCs w:val="21"/>
              </w:rPr>
              <w:t>个</w:t>
            </w:r>
          </w:p>
        </w:tc>
        <w:tc>
          <w:tcPr>
            <w:tcW w:w="780" w:type="pct"/>
            <w:vAlign w:val="center"/>
          </w:tcPr>
          <w:p>
            <w:pPr>
              <w:widowControl/>
              <w:adjustRightInd w:val="0"/>
              <w:snapToGrid w:val="0"/>
              <w:spacing w:line="240" w:lineRule="atLeast"/>
              <w:jc w:val="center"/>
              <w:rPr>
                <w:rFonts w:cs="Times New Roman"/>
                <w:color w:val="auto"/>
                <w:spacing w:val="4"/>
                <w:kern w:val="0"/>
                <w:sz w:val="21"/>
                <w:szCs w:val="21"/>
              </w:rPr>
            </w:pPr>
            <w:r>
              <w:rPr>
                <w:rFonts w:ascii="Times New Roman" w:hAnsi="Times New Roman" w:eastAsia="仿宋_GB2312" w:cs="Times New Roman"/>
                <w:color w:val="auto"/>
                <w:spacing w:val="4"/>
                <w:kern w:val="0"/>
                <w:sz w:val="21"/>
                <w:szCs w:val="21"/>
              </w:rPr>
              <w:t>30</w:t>
            </w:r>
          </w:p>
        </w:tc>
        <w:tc>
          <w:tcPr>
            <w:tcW w:w="1074" w:type="pct"/>
            <w:vMerge w:val="restart"/>
            <w:vAlign w:val="center"/>
          </w:tcPr>
          <w:p>
            <w:pPr>
              <w:widowControl/>
              <w:adjustRightInd w:val="0"/>
              <w:snapToGrid w:val="0"/>
              <w:spacing w:line="240" w:lineRule="atLeast"/>
              <w:jc w:val="center"/>
              <w:rPr>
                <w:rFonts w:cs="Times New Roman"/>
                <w:color w:val="auto"/>
                <w:kern w:val="0"/>
                <w:sz w:val="21"/>
                <w:szCs w:val="21"/>
              </w:rPr>
            </w:pPr>
            <w:r>
              <w:rPr>
                <w:rFonts w:ascii="Times New Roman" w:hAnsi="Times New Roman" w:eastAsia="仿宋_GB2312" w:cs="Times New Roman"/>
                <w:color w:val="auto"/>
                <w:kern w:val="0"/>
                <w:sz w:val="21"/>
                <w:szCs w:val="21"/>
              </w:rPr>
              <w:t>烧杯、量杯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exact"/>
          <w:jc w:val="center"/>
        </w:trPr>
        <w:tc>
          <w:tcPr>
            <w:tcW w:w="779" w:type="pct"/>
            <w:vMerge w:val="continue"/>
            <w:vAlign w:val="center"/>
          </w:tcPr>
          <w:p>
            <w:pPr>
              <w:widowControl/>
              <w:adjustRightInd w:val="0"/>
              <w:snapToGrid w:val="0"/>
              <w:spacing w:line="240" w:lineRule="atLeast"/>
              <w:jc w:val="left"/>
              <w:rPr>
                <w:rFonts w:cs="Times New Roman"/>
                <w:color w:val="auto"/>
                <w:kern w:val="0"/>
                <w:sz w:val="21"/>
                <w:szCs w:val="21"/>
              </w:rPr>
            </w:pPr>
          </w:p>
        </w:tc>
        <w:tc>
          <w:tcPr>
            <w:tcW w:w="1585" w:type="pct"/>
            <w:vAlign w:val="center"/>
          </w:tcPr>
          <w:p>
            <w:pPr>
              <w:widowControl/>
              <w:adjustRightInd w:val="0"/>
              <w:snapToGrid w:val="0"/>
              <w:spacing w:line="240" w:lineRule="atLeast"/>
              <w:jc w:val="center"/>
              <w:rPr>
                <w:rFonts w:cs="Times New Roman"/>
                <w:color w:val="auto"/>
                <w:kern w:val="0"/>
                <w:sz w:val="21"/>
                <w:szCs w:val="21"/>
              </w:rPr>
            </w:pPr>
            <w:r>
              <w:rPr>
                <w:rFonts w:ascii="Times New Roman" w:hAnsi="Times New Roman" w:eastAsia="仿宋_GB2312" w:cs="Times New Roman"/>
                <w:color w:val="auto"/>
                <w:kern w:val="0"/>
                <w:sz w:val="21"/>
                <w:szCs w:val="21"/>
              </w:rPr>
              <w:t>天平</w:t>
            </w:r>
          </w:p>
        </w:tc>
        <w:tc>
          <w:tcPr>
            <w:tcW w:w="780" w:type="pct"/>
            <w:vAlign w:val="center"/>
          </w:tcPr>
          <w:p>
            <w:pPr>
              <w:widowControl/>
              <w:adjustRightInd w:val="0"/>
              <w:snapToGrid w:val="0"/>
              <w:spacing w:line="240" w:lineRule="atLeast"/>
              <w:jc w:val="center"/>
              <w:rPr>
                <w:rFonts w:cs="Times New Roman"/>
                <w:color w:val="auto"/>
                <w:spacing w:val="4"/>
                <w:kern w:val="0"/>
                <w:sz w:val="21"/>
                <w:szCs w:val="21"/>
              </w:rPr>
            </w:pPr>
            <w:r>
              <w:rPr>
                <w:rFonts w:ascii="Times New Roman" w:hAnsi="Times New Roman" w:eastAsia="仿宋_GB2312" w:cs="Times New Roman"/>
                <w:color w:val="auto"/>
                <w:spacing w:val="4"/>
                <w:kern w:val="0"/>
                <w:sz w:val="21"/>
                <w:szCs w:val="21"/>
              </w:rPr>
              <w:t>套</w:t>
            </w:r>
          </w:p>
        </w:tc>
        <w:tc>
          <w:tcPr>
            <w:tcW w:w="780" w:type="pct"/>
            <w:vAlign w:val="center"/>
          </w:tcPr>
          <w:p>
            <w:pPr>
              <w:widowControl/>
              <w:adjustRightInd w:val="0"/>
              <w:snapToGrid w:val="0"/>
              <w:spacing w:line="240" w:lineRule="atLeast"/>
              <w:jc w:val="center"/>
              <w:rPr>
                <w:rFonts w:cs="Times New Roman"/>
                <w:color w:val="auto"/>
                <w:spacing w:val="4"/>
                <w:kern w:val="0"/>
                <w:sz w:val="21"/>
                <w:szCs w:val="21"/>
              </w:rPr>
            </w:pPr>
            <w:r>
              <w:rPr>
                <w:rFonts w:ascii="Times New Roman" w:hAnsi="Times New Roman" w:eastAsia="仿宋_GB2312" w:cs="Times New Roman"/>
                <w:color w:val="auto"/>
                <w:spacing w:val="4"/>
                <w:kern w:val="0"/>
                <w:sz w:val="21"/>
                <w:szCs w:val="21"/>
              </w:rPr>
              <w:t>1</w:t>
            </w:r>
          </w:p>
        </w:tc>
        <w:tc>
          <w:tcPr>
            <w:tcW w:w="1074" w:type="pct"/>
            <w:vMerge w:val="continue"/>
            <w:vAlign w:val="center"/>
          </w:tcPr>
          <w:p>
            <w:pPr>
              <w:widowControl/>
              <w:adjustRightInd w:val="0"/>
              <w:snapToGrid w:val="0"/>
              <w:spacing w:line="240" w:lineRule="atLeast"/>
              <w:jc w:val="left"/>
              <w:rPr>
                <w:rFonts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exact"/>
          <w:jc w:val="center"/>
        </w:trPr>
        <w:tc>
          <w:tcPr>
            <w:tcW w:w="779" w:type="pct"/>
            <w:vMerge w:val="continue"/>
            <w:vAlign w:val="center"/>
          </w:tcPr>
          <w:p>
            <w:pPr>
              <w:widowControl/>
              <w:adjustRightInd w:val="0"/>
              <w:snapToGrid w:val="0"/>
              <w:spacing w:line="240" w:lineRule="atLeast"/>
              <w:jc w:val="left"/>
              <w:rPr>
                <w:rFonts w:cs="Times New Roman"/>
                <w:color w:val="auto"/>
                <w:kern w:val="0"/>
                <w:sz w:val="21"/>
                <w:szCs w:val="21"/>
              </w:rPr>
            </w:pPr>
          </w:p>
        </w:tc>
        <w:tc>
          <w:tcPr>
            <w:tcW w:w="1585" w:type="pct"/>
            <w:vAlign w:val="center"/>
          </w:tcPr>
          <w:p>
            <w:pPr>
              <w:widowControl/>
              <w:adjustRightInd w:val="0"/>
              <w:snapToGrid w:val="0"/>
              <w:spacing w:line="240" w:lineRule="atLeast"/>
              <w:jc w:val="center"/>
              <w:rPr>
                <w:rFonts w:cs="Times New Roman"/>
                <w:color w:val="auto"/>
                <w:kern w:val="0"/>
                <w:sz w:val="21"/>
                <w:szCs w:val="21"/>
              </w:rPr>
            </w:pPr>
            <w:r>
              <w:rPr>
                <w:rFonts w:ascii="Times New Roman" w:hAnsi="Times New Roman" w:eastAsia="仿宋_GB2312" w:cs="Times New Roman"/>
                <w:color w:val="auto"/>
                <w:kern w:val="0"/>
                <w:sz w:val="21"/>
                <w:szCs w:val="21"/>
              </w:rPr>
              <w:t>烘箱</w:t>
            </w:r>
          </w:p>
        </w:tc>
        <w:tc>
          <w:tcPr>
            <w:tcW w:w="780" w:type="pct"/>
            <w:vAlign w:val="center"/>
          </w:tcPr>
          <w:p>
            <w:pPr>
              <w:widowControl/>
              <w:adjustRightInd w:val="0"/>
              <w:snapToGrid w:val="0"/>
              <w:spacing w:line="240" w:lineRule="atLeast"/>
              <w:jc w:val="center"/>
              <w:rPr>
                <w:rFonts w:cs="Times New Roman"/>
                <w:color w:val="auto"/>
                <w:spacing w:val="4"/>
                <w:kern w:val="0"/>
                <w:sz w:val="21"/>
                <w:szCs w:val="21"/>
              </w:rPr>
            </w:pPr>
            <w:r>
              <w:rPr>
                <w:rFonts w:ascii="Times New Roman" w:hAnsi="Times New Roman" w:eastAsia="仿宋_GB2312" w:cs="Times New Roman"/>
                <w:color w:val="auto"/>
                <w:spacing w:val="4"/>
                <w:kern w:val="0"/>
                <w:sz w:val="21"/>
                <w:szCs w:val="21"/>
              </w:rPr>
              <w:t>台</w:t>
            </w:r>
          </w:p>
        </w:tc>
        <w:tc>
          <w:tcPr>
            <w:tcW w:w="780" w:type="pct"/>
            <w:vAlign w:val="center"/>
          </w:tcPr>
          <w:p>
            <w:pPr>
              <w:widowControl/>
              <w:adjustRightInd w:val="0"/>
              <w:snapToGrid w:val="0"/>
              <w:spacing w:line="240" w:lineRule="atLeast"/>
              <w:jc w:val="center"/>
              <w:rPr>
                <w:rFonts w:cs="Times New Roman"/>
                <w:color w:val="auto"/>
                <w:spacing w:val="4"/>
                <w:kern w:val="0"/>
                <w:sz w:val="21"/>
                <w:szCs w:val="21"/>
              </w:rPr>
            </w:pPr>
            <w:r>
              <w:rPr>
                <w:rFonts w:ascii="Times New Roman" w:hAnsi="Times New Roman" w:eastAsia="仿宋_GB2312" w:cs="Times New Roman"/>
                <w:color w:val="auto"/>
                <w:spacing w:val="4"/>
                <w:kern w:val="0"/>
                <w:sz w:val="21"/>
                <w:szCs w:val="21"/>
              </w:rPr>
              <w:t>1</w:t>
            </w:r>
          </w:p>
        </w:tc>
        <w:tc>
          <w:tcPr>
            <w:tcW w:w="1074" w:type="pct"/>
            <w:vMerge w:val="continue"/>
            <w:vAlign w:val="center"/>
          </w:tcPr>
          <w:p>
            <w:pPr>
              <w:widowControl/>
              <w:adjustRightInd w:val="0"/>
              <w:snapToGrid w:val="0"/>
              <w:spacing w:line="240" w:lineRule="atLeast"/>
              <w:jc w:val="left"/>
              <w:rPr>
                <w:rFonts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exact"/>
          <w:jc w:val="center"/>
        </w:trPr>
        <w:tc>
          <w:tcPr>
            <w:tcW w:w="779" w:type="pct"/>
            <w:vMerge w:val="continue"/>
            <w:vAlign w:val="center"/>
          </w:tcPr>
          <w:p>
            <w:pPr>
              <w:widowControl/>
              <w:adjustRightInd w:val="0"/>
              <w:snapToGrid w:val="0"/>
              <w:spacing w:line="240" w:lineRule="atLeast"/>
              <w:jc w:val="left"/>
              <w:rPr>
                <w:rFonts w:cs="Times New Roman"/>
                <w:color w:val="auto"/>
                <w:kern w:val="0"/>
                <w:sz w:val="21"/>
                <w:szCs w:val="21"/>
              </w:rPr>
            </w:pPr>
          </w:p>
        </w:tc>
        <w:tc>
          <w:tcPr>
            <w:tcW w:w="1585" w:type="pct"/>
            <w:vAlign w:val="center"/>
          </w:tcPr>
          <w:p>
            <w:pPr>
              <w:widowControl/>
              <w:adjustRightInd w:val="0"/>
              <w:snapToGrid w:val="0"/>
              <w:spacing w:line="240" w:lineRule="atLeast"/>
              <w:jc w:val="center"/>
              <w:rPr>
                <w:rFonts w:cs="Times New Roman"/>
                <w:color w:val="auto"/>
                <w:kern w:val="0"/>
                <w:sz w:val="21"/>
                <w:szCs w:val="21"/>
              </w:rPr>
            </w:pPr>
            <w:r>
              <w:rPr>
                <w:rFonts w:ascii="Times New Roman" w:hAnsi="Times New Roman" w:eastAsia="仿宋_GB2312" w:cs="Times New Roman"/>
                <w:color w:val="auto"/>
                <w:kern w:val="0"/>
                <w:sz w:val="21"/>
                <w:szCs w:val="21"/>
              </w:rPr>
              <w:t>土壤筛</w:t>
            </w:r>
          </w:p>
        </w:tc>
        <w:tc>
          <w:tcPr>
            <w:tcW w:w="780" w:type="pct"/>
            <w:vAlign w:val="center"/>
          </w:tcPr>
          <w:p>
            <w:pPr>
              <w:widowControl/>
              <w:adjustRightInd w:val="0"/>
              <w:snapToGrid w:val="0"/>
              <w:spacing w:line="240" w:lineRule="atLeast"/>
              <w:jc w:val="center"/>
              <w:rPr>
                <w:rFonts w:cs="Times New Roman"/>
                <w:color w:val="auto"/>
                <w:kern w:val="0"/>
                <w:sz w:val="21"/>
                <w:szCs w:val="21"/>
              </w:rPr>
            </w:pPr>
            <w:r>
              <w:rPr>
                <w:rFonts w:ascii="Times New Roman" w:hAnsi="Times New Roman" w:eastAsia="仿宋_GB2312" w:cs="Times New Roman"/>
                <w:color w:val="auto"/>
                <w:kern w:val="0"/>
                <w:sz w:val="21"/>
                <w:szCs w:val="21"/>
              </w:rPr>
              <w:t>套</w:t>
            </w:r>
          </w:p>
        </w:tc>
        <w:tc>
          <w:tcPr>
            <w:tcW w:w="780" w:type="pct"/>
            <w:vAlign w:val="center"/>
          </w:tcPr>
          <w:p>
            <w:pPr>
              <w:widowControl/>
              <w:adjustRightInd w:val="0"/>
              <w:snapToGrid w:val="0"/>
              <w:spacing w:line="240" w:lineRule="atLeast"/>
              <w:jc w:val="center"/>
              <w:rPr>
                <w:rFonts w:cs="Times New Roman"/>
                <w:color w:val="auto"/>
                <w:kern w:val="0"/>
                <w:sz w:val="21"/>
                <w:szCs w:val="21"/>
              </w:rPr>
            </w:pPr>
            <w:r>
              <w:rPr>
                <w:rFonts w:ascii="Times New Roman" w:hAnsi="Times New Roman" w:eastAsia="仿宋_GB2312" w:cs="Times New Roman"/>
                <w:color w:val="auto"/>
                <w:kern w:val="0"/>
                <w:sz w:val="21"/>
                <w:szCs w:val="21"/>
              </w:rPr>
              <w:t>1</w:t>
            </w:r>
          </w:p>
        </w:tc>
        <w:tc>
          <w:tcPr>
            <w:tcW w:w="1074" w:type="pct"/>
            <w:vMerge w:val="continue"/>
            <w:vAlign w:val="center"/>
          </w:tcPr>
          <w:p>
            <w:pPr>
              <w:widowControl/>
              <w:adjustRightInd w:val="0"/>
              <w:snapToGrid w:val="0"/>
              <w:spacing w:line="240" w:lineRule="atLeast"/>
              <w:jc w:val="left"/>
              <w:rPr>
                <w:rFonts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exact"/>
          <w:jc w:val="center"/>
        </w:trPr>
        <w:tc>
          <w:tcPr>
            <w:tcW w:w="779" w:type="pct"/>
            <w:vMerge w:val="continue"/>
            <w:vAlign w:val="center"/>
          </w:tcPr>
          <w:p>
            <w:pPr>
              <w:widowControl/>
              <w:adjustRightInd w:val="0"/>
              <w:snapToGrid w:val="0"/>
              <w:spacing w:line="240" w:lineRule="atLeast"/>
              <w:jc w:val="left"/>
              <w:rPr>
                <w:rFonts w:cs="Times New Roman"/>
                <w:color w:val="auto"/>
                <w:kern w:val="0"/>
                <w:sz w:val="21"/>
                <w:szCs w:val="21"/>
              </w:rPr>
            </w:pPr>
          </w:p>
        </w:tc>
        <w:tc>
          <w:tcPr>
            <w:tcW w:w="1585" w:type="pct"/>
            <w:vAlign w:val="center"/>
          </w:tcPr>
          <w:p>
            <w:pPr>
              <w:widowControl/>
              <w:adjustRightInd w:val="0"/>
              <w:snapToGrid w:val="0"/>
              <w:spacing w:line="240" w:lineRule="atLeast"/>
              <w:jc w:val="center"/>
              <w:rPr>
                <w:rFonts w:cs="Times New Roman"/>
                <w:color w:val="auto"/>
                <w:kern w:val="0"/>
                <w:sz w:val="21"/>
                <w:szCs w:val="21"/>
              </w:rPr>
            </w:pPr>
            <w:r>
              <w:rPr>
                <w:rFonts w:ascii="Times New Roman" w:hAnsi="Times New Roman" w:eastAsia="仿宋_GB2312" w:cs="Times New Roman"/>
                <w:color w:val="auto"/>
                <w:kern w:val="0"/>
                <w:sz w:val="21"/>
                <w:szCs w:val="21"/>
              </w:rPr>
              <w:t>采样器</w:t>
            </w:r>
          </w:p>
        </w:tc>
        <w:tc>
          <w:tcPr>
            <w:tcW w:w="780" w:type="pct"/>
            <w:vAlign w:val="center"/>
          </w:tcPr>
          <w:p>
            <w:pPr>
              <w:widowControl/>
              <w:adjustRightInd w:val="0"/>
              <w:snapToGrid w:val="0"/>
              <w:spacing w:line="240" w:lineRule="atLeast"/>
              <w:jc w:val="center"/>
              <w:rPr>
                <w:rFonts w:cs="Times New Roman"/>
                <w:color w:val="auto"/>
                <w:kern w:val="0"/>
                <w:sz w:val="21"/>
                <w:szCs w:val="21"/>
              </w:rPr>
            </w:pPr>
            <w:r>
              <w:rPr>
                <w:rFonts w:ascii="Times New Roman" w:hAnsi="Times New Roman" w:eastAsia="仿宋_GB2312" w:cs="Times New Roman"/>
                <w:color w:val="auto"/>
                <w:kern w:val="0"/>
                <w:sz w:val="21"/>
                <w:szCs w:val="21"/>
              </w:rPr>
              <w:t>个</w:t>
            </w:r>
          </w:p>
        </w:tc>
        <w:tc>
          <w:tcPr>
            <w:tcW w:w="780" w:type="pct"/>
            <w:vAlign w:val="center"/>
          </w:tcPr>
          <w:p>
            <w:pPr>
              <w:widowControl/>
              <w:adjustRightInd w:val="0"/>
              <w:snapToGrid w:val="0"/>
              <w:spacing w:line="240" w:lineRule="atLeast"/>
              <w:jc w:val="center"/>
              <w:rPr>
                <w:rFonts w:cs="Times New Roman"/>
                <w:color w:val="auto"/>
                <w:kern w:val="0"/>
                <w:sz w:val="21"/>
                <w:szCs w:val="21"/>
              </w:rPr>
            </w:pPr>
            <w:r>
              <w:rPr>
                <w:rFonts w:ascii="Times New Roman" w:hAnsi="Times New Roman" w:eastAsia="仿宋_GB2312" w:cs="Times New Roman"/>
                <w:color w:val="auto"/>
                <w:kern w:val="0"/>
                <w:sz w:val="21"/>
                <w:szCs w:val="21"/>
              </w:rPr>
              <w:t>3</w:t>
            </w:r>
          </w:p>
        </w:tc>
        <w:tc>
          <w:tcPr>
            <w:tcW w:w="1074" w:type="pct"/>
            <w:vMerge w:val="continue"/>
            <w:vAlign w:val="center"/>
          </w:tcPr>
          <w:p>
            <w:pPr>
              <w:widowControl/>
              <w:adjustRightInd w:val="0"/>
              <w:snapToGrid w:val="0"/>
              <w:spacing w:line="240" w:lineRule="atLeast"/>
              <w:jc w:val="left"/>
              <w:rPr>
                <w:rFonts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exact"/>
          <w:jc w:val="center"/>
        </w:trPr>
        <w:tc>
          <w:tcPr>
            <w:tcW w:w="779" w:type="pct"/>
            <w:vMerge w:val="continue"/>
            <w:vAlign w:val="center"/>
          </w:tcPr>
          <w:p>
            <w:pPr>
              <w:widowControl/>
              <w:adjustRightInd w:val="0"/>
              <w:snapToGrid w:val="0"/>
              <w:spacing w:line="240" w:lineRule="atLeast"/>
              <w:jc w:val="left"/>
              <w:rPr>
                <w:rFonts w:cs="Times New Roman"/>
                <w:color w:val="auto"/>
                <w:kern w:val="0"/>
                <w:sz w:val="21"/>
                <w:szCs w:val="21"/>
              </w:rPr>
            </w:pPr>
          </w:p>
        </w:tc>
        <w:tc>
          <w:tcPr>
            <w:tcW w:w="1585" w:type="pct"/>
            <w:vAlign w:val="center"/>
          </w:tcPr>
          <w:p>
            <w:pPr>
              <w:widowControl/>
              <w:adjustRightInd w:val="0"/>
              <w:snapToGrid w:val="0"/>
              <w:spacing w:line="240" w:lineRule="atLeast"/>
              <w:jc w:val="center"/>
              <w:rPr>
                <w:rFonts w:cs="Times New Roman"/>
                <w:color w:val="auto"/>
                <w:kern w:val="0"/>
                <w:sz w:val="21"/>
                <w:szCs w:val="21"/>
              </w:rPr>
            </w:pPr>
            <w:r>
              <w:rPr>
                <w:rFonts w:ascii="Times New Roman" w:hAnsi="Times New Roman" w:eastAsia="仿宋_GB2312" w:cs="Times New Roman"/>
                <w:color w:val="auto"/>
                <w:kern w:val="0"/>
                <w:sz w:val="21"/>
                <w:szCs w:val="21"/>
              </w:rPr>
              <w:t>在线监测设备</w:t>
            </w:r>
          </w:p>
        </w:tc>
        <w:tc>
          <w:tcPr>
            <w:tcW w:w="780" w:type="pct"/>
            <w:vAlign w:val="center"/>
          </w:tcPr>
          <w:p>
            <w:pPr>
              <w:widowControl/>
              <w:adjustRightInd w:val="0"/>
              <w:snapToGrid w:val="0"/>
              <w:spacing w:line="240" w:lineRule="atLeast"/>
              <w:jc w:val="center"/>
              <w:rPr>
                <w:rFonts w:cs="Times New Roman"/>
                <w:color w:val="auto"/>
                <w:kern w:val="0"/>
                <w:sz w:val="21"/>
                <w:szCs w:val="21"/>
              </w:rPr>
            </w:pPr>
            <w:r>
              <w:rPr>
                <w:rFonts w:ascii="Times New Roman" w:hAnsi="Times New Roman" w:eastAsia="仿宋_GB2312" w:cs="Times New Roman"/>
                <w:color w:val="auto"/>
                <w:kern w:val="0"/>
                <w:sz w:val="21"/>
                <w:szCs w:val="21"/>
              </w:rPr>
              <w:t>套</w:t>
            </w:r>
          </w:p>
        </w:tc>
        <w:tc>
          <w:tcPr>
            <w:tcW w:w="780" w:type="pct"/>
            <w:vAlign w:val="center"/>
          </w:tcPr>
          <w:p>
            <w:pPr>
              <w:widowControl/>
              <w:adjustRightInd w:val="0"/>
              <w:snapToGrid w:val="0"/>
              <w:spacing w:line="240" w:lineRule="atLeast"/>
              <w:jc w:val="center"/>
              <w:rPr>
                <w:rFonts w:cs="Times New Roman"/>
                <w:color w:val="auto"/>
                <w:kern w:val="0"/>
                <w:sz w:val="21"/>
                <w:szCs w:val="21"/>
              </w:rPr>
            </w:pPr>
            <w:r>
              <w:rPr>
                <w:rFonts w:ascii="Times New Roman" w:hAnsi="Times New Roman" w:eastAsia="仿宋_GB2312" w:cs="Times New Roman"/>
                <w:color w:val="auto"/>
                <w:kern w:val="0"/>
                <w:sz w:val="21"/>
                <w:szCs w:val="21"/>
              </w:rPr>
              <w:t>1</w:t>
            </w:r>
          </w:p>
        </w:tc>
        <w:tc>
          <w:tcPr>
            <w:tcW w:w="1074" w:type="pct"/>
            <w:vMerge w:val="continue"/>
            <w:vAlign w:val="center"/>
          </w:tcPr>
          <w:p>
            <w:pPr>
              <w:widowControl/>
              <w:adjustRightInd w:val="0"/>
              <w:snapToGrid w:val="0"/>
              <w:spacing w:line="240" w:lineRule="atLeast"/>
              <w:jc w:val="left"/>
              <w:rPr>
                <w:rFonts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exact"/>
          <w:jc w:val="center"/>
        </w:trPr>
        <w:tc>
          <w:tcPr>
            <w:tcW w:w="779" w:type="pct"/>
            <w:vMerge w:val="restart"/>
            <w:vAlign w:val="center"/>
          </w:tcPr>
          <w:p>
            <w:pPr>
              <w:widowControl/>
              <w:adjustRightInd w:val="0"/>
              <w:snapToGrid w:val="0"/>
              <w:spacing w:line="240" w:lineRule="atLeast"/>
              <w:jc w:val="center"/>
              <w:rPr>
                <w:rFonts w:cs="Times New Roman"/>
                <w:color w:val="auto"/>
                <w:kern w:val="0"/>
                <w:sz w:val="21"/>
                <w:szCs w:val="21"/>
              </w:rPr>
            </w:pPr>
            <w:r>
              <w:rPr>
                <w:rFonts w:ascii="Times New Roman" w:hAnsi="Times New Roman" w:eastAsia="仿宋_GB2312" w:cs="Times New Roman"/>
                <w:color w:val="auto"/>
                <w:kern w:val="0"/>
                <w:sz w:val="21"/>
                <w:szCs w:val="21"/>
              </w:rPr>
              <w:t>调查监测</w:t>
            </w:r>
          </w:p>
        </w:tc>
        <w:tc>
          <w:tcPr>
            <w:tcW w:w="1585" w:type="pct"/>
            <w:vAlign w:val="center"/>
          </w:tcPr>
          <w:p>
            <w:pPr>
              <w:widowControl/>
              <w:adjustRightInd w:val="0"/>
              <w:snapToGrid w:val="0"/>
              <w:spacing w:line="240" w:lineRule="atLeast"/>
              <w:jc w:val="center"/>
              <w:rPr>
                <w:rFonts w:cs="Times New Roman"/>
                <w:color w:val="auto"/>
                <w:kern w:val="0"/>
                <w:sz w:val="21"/>
                <w:szCs w:val="21"/>
              </w:rPr>
            </w:pPr>
            <w:r>
              <w:rPr>
                <w:rFonts w:ascii="Times New Roman" w:hAnsi="Times New Roman" w:eastAsia="仿宋_GB2312" w:cs="Times New Roman"/>
                <w:color w:val="auto"/>
                <w:kern w:val="0"/>
                <w:sz w:val="21"/>
                <w:szCs w:val="21"/>
              </w:rPr>
              <w:t>数码照相机</w:t>
            </w:r>
          </w:p>
        </w:tc>
        <w:tc>
          <w:tcPr>
            <w:tcW w:w="780" w:type="pct"/>
            <w:vAlign w:val="center"/>
          </w:tcPr>
          <w:p>
            <w:pPr>
              <w:widowControl/>
              <w:adjustRightInd w:val="0"/>
              <w:snapToGrid w:val="0"/>
              <w:spacing w:line="240" w:lineRule="atLeast"/>
              <w:jc w:val="center"/>
              <w:rPr>
                <w:rFonts w:cs="Times New Roman"/>
                <w:color w:val="auto"/>
                <w:spacing w:val="4"/>
                <w:kern w:val="0"/>
                <w:sz w:val="21"/>
                <w:szCs w:val="21"/>
              </w:rPr>
            </w:pPr>
            <w:r>
              <w:rPr>
                <w:rFonts w:ascii="Times New Roman" w:hAnsi="Times New Roman" w:eastAsia="仿宋_GB2312" w:cs="Times New Roman"/>
                <w:color w:val="auto"/>
                <w:spacing w:val="4"/>
                <w:kern w:val="0"/>
                <w:sz w:val="21"/>
                <w:szCs w:val="21"/>
              </w:rPr>
              <w:t>台</w:t>
            </w:r>
          </w:p>
        </w:tc>
        <w:tc>
          <w:tcPr>
            <w:tcW w:w="780" w:type="pct"/>
            <w:vAlign w:val="center"/>
          </w:tcPr>
          <w:p>
            <w:pPr>
              <w:widowControl/>
              <w:adjustRightInd w:val="0"/>
              <w:snapToGrid w:val="0"/>
              <w:spacing w:line="240" w:lineRule="atLeast"/>
              <w:jc w:val="center"/>
              <w:rPr>
                <w:rFonts w:cs="Times New Roman"/>
                <w:color w:val="auto"/>
                <w:spacing w:val="4"/>
                <w:kern w:val="0"/>
                <w:sz w:val="21"/>
                <w:szCs w:val="21"/>
              </w:rPr>
            </w:pPr>
            <w:r>
              <w:rPr>
                <w:rFonts w:ascii="Times New Roman" w:hAnsi="Times New Roman" w:eastAsia="仿宋_GB2312" w:cs="Times New Roman"/>
                <w:color w:val="auto"/>
                <w:spacing w:val="4"/>
                <w:kern w:val="0"/>
                <w:sz w:val="21"/>
                <w:szCs w:val="21"/>
              </w:rPr>
              <w:t>1</w:t>
            </w:r>
          </w:p>
        </w:tc>
        <w:tc>
          <w:tcPr>
            <w:tcW w:w="1074" w:type="pct"/>
            <w:vMerge w:val="restart"/>
            <w:vAlign w:val="center"/>
          </w:tcPr>
          <w:p>
            <w:pPr>
              <w:widowControl/>
              <w:adjustRightInd w:val="0"/>
              <w:snapToGrid w:val="0"/>
              <w:spacing w:line="240" w:lineRule="atLeast"/>
              <w:jc w:val="center"/>
              <w:rPr>
                <w:rFonts w:cs="Times New Roman"/>
                <w:color w:val="auto"/>
                <w:kern w:val="0"/>
                <w:sz w:val="21"/>
                <w:szCs w:val="21"/>
              </w:rPr>
            </w:pPr>
            <w:r>
              <w:rPr>
                <w:rFonts w:ascii="Times New Roman" w:hAnsi="Times New Roman" w:eastAsia="仿宋_GB2312" w:cs="Times New Roman"/>
                <w:color w:val="auto"/>
                <w:kern w:val="0"/>
                <w:sz w:val="21"/>
                <w:szCs w:val="21"/>
              </w:rPr>
              <w:t>标识牌、抽式标杆、皮尺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exact"/>
          <w:jc w:val="center"/>
        </w:trPr>
        <w:tc>
          <w:tcPr>
            <w:tcW w:w="779" w:type="pct"/>
            <w:vMerge w:val="continue"/>
            <w:vAlign w:val="center"/>
          </w:tcPr>
          <w:p>
            <w:pPr>
              <w:widowControl/>
              <w:adjustRightInd w:val="0"/>
              <w:snapToGrid w:val="0"/>
              <w:spacing w:line="240" w:lineRule="atLeast"/>
              <w:jc w:val="left"/>
              <w:rPr>
                <w:rFonts w:cs="Times New Roman"/>
                <w:color w:val="auto"/>
                <w:kern w:val="0"/>
                <w:sz w:val="21"/>
                <w:szCs w:val="21"/>
              </w:rPr>
            </w:pPr>
          </w:p>
        </w:tc>
        <w:tc>
          <w:tcPr>
            <w:tcW w:w="1585" w:type="pct"/>
            <w:vAlign w:val="center"/>
          </w:tcPr>
          <w:p>
            <w:pPr>
              <w:widowControl/>
              <w:adjustRightInd w:val="0"/>
              <w:snapToGrid w:val="0"/>
              <w:spacing w:line="240" w:lineRule="atLeast"/>
              <w:jc w:val="center"/>
              <w:rPr>
                <w:rFonts w:cs="Times New Roman"/>
                <w:color w:val="auto"/>
                <w:kern w:val="0"/>
                <w:sz w:val="21"/>
                <w:szCs w:val="21"/>
              </w:rPr>
            </w:pPr>
            <w:r>
              <w:rPr>
                <w:rFonts w:ascii="Times New Roman" w:hAnsi="Times New Roman" w:eastAsia="仿宋_GB2312" w:cs="Times New Roman"/>
                <w:color w:val="auto"/>
                <w:kern w:val="0"/>
                <w:sz w:val="21"/>
                <w:szCs w:val="21"/>
              </w:rPr>
              <w:t>坡度仪</w:t>
            </w:r>
          </w:p>
        </w:tc>
        <w:tc>
          <w:tcPr>
            <w:tcW w:w="780" w:type="pct"/>
            <w:vAlign w:val="center"/>
          </w:tcPr>
          <w:p>
            <w:pPr>
              <w:widowControl/>
              <w:adjustRightInd w:val="0"/>
              <w:snapToGrid w:val="0"/>
              <w:spacing w:line="240" w:lineRule="atLeast"/>
              <w:jc w:val="center"/>
              <w:rPr>
                <w:rFonts w:cs="Times New Roman"/>
                <w:color w:val="auto"/>
                <w:spacing w:val="4"/>
                <w:kern w:val="0"/>
                <w:sz w:val="21"/>
                <w:szCs w:val="21"/>
              </w:rPr>
            </w:pPr>
            <w:r>
              <w:rPr>
                <w:rFonts w:ascii="Times New Roman" w:hAnsi="Times New Roman" w:eastAsia="仿宋_GB2312" w:cs="Times New Roman"/>
                <w:color w:val="auto"/>
                <w:spacing w:val="4"/>
                <w:kern w:val="0"/>
                <w:sz w:val="21"/>
                <w:szCs w:val="21"/>
              </w:rPr>
              <w:t>台</w:t>
            </w:r>
          </w:p>
        </w:tc>
        <w:tc>
          <w:tcPr>
            <w:tcW w:w="780" w:type="pct"/>
            <w:vAlign w:val="center"/>
          </w:tcPr>
          <w:p>
            <w:pPr>
              <w:widowControl/>
              <w:adjustRightInd w:val="0"/>
              <w:snapToGrid w:val="0"/>
              <w:spacing w:line="240" w:lineRule="atLeast"/>
              <w:jc w:val="center"/>
              <w:rPr>
                <w:rFonts w:cs="Times New Roman"/>
                <w:color w:val="auto"/>
                <w:spacing w:val="4"/>
                <w:kern w:val="0"/>
                <w:sz w:val="21"/>
                <w:szCs w:val="21"/>
              </w:rPr>
            </w:pPr>
            <w:r>
              <w:rPr>
                <w:rFonts w:ascii="Times New Roman" w:hAnsi="Times New Roman" w:eastAsia="仿宋_GB2312" w:cs="Times New Roman"/>
                <w:color w:val="auto"/>
                <w:spacing w:val="4"/>
                <w:kern w:val="0"/>
                <w:sz w:val="21"/>
                <w:szCs w:val="21"/>
              </w:rPr>
              <w:t>1</w:t>
            </w:r>
          </w:p>
        </w:tc>
        <w:tc>
          <w:tcPr>
            <w:tcW w:w="1074" w:type="pct"/>
            <w:vMerge w:val="continue"/>
            <w:vAlign w:val="center"/>
          </w:tcPr>
          <w:p>
            <w:pPr>
              <w:widowControl/>
              <w:adjustRightInd w:val="0"/>
              <w:snapToGrid w:val="0"/>
              <w:spacing w:line="240" w:lineRule="atLeast"/>
              <w:jc w:val="left"/>
              <w:rPr>
                <w:rFonts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exact"/>
          <w:jc w:val="center"/>
        </w:trPr>
        <w:tc>
          <w:tcPr>
            <w:tcW w:w="779" w:type="pct"/>
            <w:vMerge w:val="continue"/>
            <w:vAlign w:val="center"/>
          </w:tcPr>
          <w:p>
            <w:pPr>
              <w:widowControl/>
              <w:adjustRightInd w:val="0"/>
              <w:snapToGrid w:val="0"/>
              <w:spacing w:line="240" w:lineRule="atLeast"/>
              <w:jc w:val="left"/>
              <w:rPr>
                <w:rFonts w:cs="Times New Roman"/>
                <w:color w:val="auto"/>
                <w:kern w:val="0"/>
                <w:sz w:val="21"/>
                <w:szCs w:val="21"/>
              </w:rPr>
            </w:pPr>
          </w:p>
        </w:tc>
        <w:tc>
          <w:tcPr>
            <w:tcW w:w="1585" w:type="pct"/>
            <w:vAlign w:val="center"/>
          </w:tcPr>
          <w:p>
            <w:pPr>
              <w:widowControl/>
              <w:adjustRightInd w:val="0"/>
              <w:snapToGrid w:val="0"/>
              <w:spacing w:line="240" w:lineRule="atLeast"/>
              <w:jc w:val="center"/>
              <w:rPr>
                <w:rFonts w:cs="Times New Roman"/>
                <w:color w:val="auto"/>
                <w:kern w:val="0"/>
                <w:sz w:val="21"/>
                <w:szCs w:val="21"/>
              </w:rPr>
            </w:pPr>
            <w:r>
              <w:rPr>
                <w:rFonts w:ascii="Times New Roman" w:hAnsi="Times New Roman" w:eastAsia="仿宋_GB2312" w:cs="Times New Roman"/>
                <w:color w:val="auto"/>
                <w:kern w:val="0"/>
                <w:sz w:val="21"/>
                <w:szCs w:val="21"/>
              </w:rPr>
              <w:t>水准仪</w:t>
            </w:r>
          </w:p>
        </w:tc>
        <w:tc>
          <w:tcPr>
            <w:tcW w:w="780" w:type="pct"/>
            <w:vAlign w:val="center"/>
          </w:tcPr>
          <w:p>
            <w:pPr>
              <w:widowControl/>
              <w:adjustRightInd w:val="0"/>
              <w:snapToGrid w:val="0"/>
              <w:spacing w:line="240" w:lineRule="atLeast"/>
              <w:jc w:val="center"/>
              <w:rPr>
                <w:rFonts w:cs="Times New Roman"/>
                <w:color w:val="auto"/>
                <w:spacing w:val="4"/>
                <w:kern w:val="0"/>
                <w:sz w:val="21"/>
                <w:szCs w:val="21"/>
              </w:rPr>
            </w:pPr>
            <w:r>
              <w:rPr>
                <w:rFonts w:ascii="Times New Roman" w:hAnsi="Times New Roman" w:eastAsia="仿宋_GB2312" w:cs="Times New Roman"/>
                <w:color w:val="auto"/>
                <w:spacing w:val="4"/>
                <w:kern w:val="0"/>
                <w:sz w:val="21"/>
                <w:szCs w:val="21"/>
              </w:rPr>
              <w:t>台</w:t>
            </w:r>
          </w:p>
        </w:tc>
        <w:tc>
          <w:tcPr>
            <w:tcW w:w="780" w:type="pct"/>
            <w:vAlign w:val="center"/>
          </w:tcPr>
          <w:p>
            <w:pPr>
              <w:widowControl/>
              <w:adjustRightInd w:val="0"/>
              <w:snapToGrid w:val="0"/>
              <w:spacing w:line="240" w:lineRule="atLeast"/>
              <w:jc w:val="center"/>
              <w:rPr>
                <w:rFonts w:cs="Times New Roman"/>
                <w:color w:val="auto"/>
                <w:spacing w:val="4"/>
                <w:kern w:val="0"/>
                <w:sz w:val="21"/>
                <w:szCs w:val="21"/>
              </w:rPr>
            </w:pPr>
            <w:r>
              <w:rPr>
                <w:rFonts w:ascii="Times New Roman" w:hAnsi="Times New Roman" w:eastAsia="仿宋_GB2312" w:cs="Times New Roman"/>
                <w:color w:val="auto"/>
                <w:spacing w:val="4"/>
                <w:kern w:val="0"/>
                <w:sz w:val="21"/>
                <w:szCs w:val="21"/>
              </w:rPr>
              <w:t>1</w:t>
            </w:r>
          </w:p>
        </w:tc>
        <w:tc>
          <w:tcPr>
            <w:tcW w:w="1074" w:type="pct"/>
            <w:vMerge w:val="continue"/>
            <w:vAlign w:val="center"/>
          </w:tcPr>
          <w:p>
            <w:pPr>
              <w:widowControl/>
              <w:adjustRightInd w:val="0"/>
              <w:snapToGrid w:val="0"/>
              <w:spacing w:line="240" w:lineRule="atLeast"/>
              <w:jc w:val="left"/>
              <w:rPr>
                <w:rFonts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exact"/>
          <w:jc w:val="center"/>
        </w:trPr>
        <w:tc>
          <w:tcPr>
            <w:tcW w:w="779" w:type="pct"/>
            <w:vMerge w:val="continue"/>
            <w:vAlign w:val="center"/>
          </w:tcPr>
          <w:p>
            <w:pPr>
              <w:widowControl/>
              <w:adjustRightInd w:val="0"/>
              <w:snapToGrid w:val="0"/>
              <w:spacing w:line="240" w:lineRule="atLeast"/>
              <w:jc w:val="left"/>
              <w:rPr>
                <w:rFonts w:cs="Times New Roman"/>
                <w:color w:val="auto"/>
                <w:kern w:val="0"/>
                <w:sz w:val="21"/>
                <w:szCs w:val="21"/>
              </w:rPr>
            </w:pPr>
          </w:p>
        </w:tc>
        <w:tc>
          <w:tcPr>
            <w:tcW w:w="1585" w:type="pct"/>
            <w:vAlign w:val="center"/>
          </w:tcPr>
          <w:p>
            <w:pPr>
              <w:widowControl/>
              <w:adjustRightInd w:val="0"/>
              <w:snapToGrid w:val="0"/>
              <w:spacing w:line="240" w:lineRule="atLeast"/>
              <w:jc w:val="center"/>
              <w:rPr>
                <w:rFonts w:cs="Times New Roman"/>
                <w:color w:val="auto"/>
                <w:kern w:val="0"/>
                <w:sz w:val="21"/>
                <w:szCs w:val="21"/>
              </w:rPr>
            </w:pPr>
            <w:r>
              <w:rPr>
                <w:rFonts w:hint="eastAsia" w:ascii="Times New Roman" w:hAnsi="Times New Roman" w:cs="Times New Roman"/>
                <w:color w:val="auto"/>
                <w:kern w:val="0"/>
                <w:sz w:val="21"/>
                <w:szCs w:val="21"/>
              </w:rPr>
              <w:t>全站仪</w:t>
            </w:r>
          </w:p>
        </w:tc>
        <w:tc>
          <w:tcPr>
            <w:tcW w:w="780" w:type="pct"/>
            <w:vAlign w:val="center"/>
          </w:tcPr>
          <w:p>
            <w:pPr>
              <w:widowControl/>
              <w:adjustRightInd w:val="0"/>
              <w:snapToGrid w:val="0"/>
              <w:spacing w:line="240" w:lineRule="atLeast"/>
              <w:jc w:val="center"/>
              <w:rPr>
                <w:rFonts w:cs="Times New Roman"/>
                <w:color w:val="auto"/>
                <w:spacing w:val="4"/>
                <w:kern w:val="0"/>
                <w:sz w:val="21"/>
                <w:szCs w:val="21"/>
              </w:rPr>
            </w:pPr>
            <w:r>
              <w:rPr>
                <w:rFonts w:ascii="Times New Roman" w:hAnsi="Times New Roman" w:eastAsia="仿宋_GB2312" w:cs="Times New Roman"/>
                <w:color w:val="auto"/>
                <w:spacing w:val="4"/>
                <w:kern w:val="0"/>
                <w:sz w:val="21"/>
                <w:szCs w:val="21"/>
              </w:rPr>
              <w:t>台</w:t>
            </w:r>
          </w:p>
        </w:tc>
        <w:tc>
          <w:tcPr>
            <w:tcW w:w="780" w:type="pct"/>
            <w:vAlign w:val="center"/>
          </w:tcPr>
          <w:p>
            <w:pPr>
              <w:widowControl/>
              <w:adjustRightInd w:val="0"/>
              <w:snapToGrid w:val="0"/>
              <w:spacing w:line="240" w:lineRule="atLeast"/>
              <w:jc w:val="center"/>
              <w:rPr>
                <w:rFonts w:cs="Times New Roman"/>
                <w:color w:val="auto"/>
                <w:spacing w:val="4"/>
                <w:kern w:val="0"/>
                <w:sz w:val="21"/>
                <w:szCs w:val="21"/>
              </w:rPr>
            </w:pPr>
            <w:r>
              <w:rPr>
                <w:rFonts w:ascii="Times New Roman" w:hAnsi="Times New Roman" w:eastAsia="仿宋_GB2312" w:cs="Times New Roman"/>
                <w:color w:val="auto"/>
                <w:spacing w:val="4"/>
                <w:kern w:val="0"/>
                <w:sz w:val="21"/>
                <w:szCs w:val="21"/>
              </w:rPr>
              <w:t>1</w:t>
            </w:r>
          </w:p>
        </w:tc>
        <w:tc>
          <w:tcPr>
            <w:tcW w:w="1074" w:type="pct"/>
            <w:vMerge w:val="continue"/>
            <w:vAlign w:val="center"/>
          </w:tcPr>
          <w:p>
            <w:pPr>
              <w:widowControl/>
              <w:adjustRightInd w:val="0"/>
              <w:snapToGrid w:val="0"/>
              <w:spacing w:line="240" w:lineRule="atLeast"/>
              <w:jc w:val="left"/>
              <w:rPr>
                <w:rFonts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exact"/>
          <w:jc w:val="center"/>
        </w:trPr>
        <w:tc>
          <w:tcPr>
            <w:tcW w:w="779" w:type="pct"/>
            <w:vMerge w:val="continue"/>
            <w:vAlign w:val="center"/>
          </w:tcPr>
          <w:p>
            <w:pPr>
              <w:widowControl/>
              <w:adjustRightInd w:val="0"/>
              <w:snapToGrid w:val="0"/>
              <w:spacing w:line="240" w:lineRule="atLeast"/>
              <w:jc w:val="left"/>
              <w:rPr>
                <w:rFonts w:cs="Times New Roman"/>
                <w:color w:val="auto"/>
                <w:kern w:val="0"/>
                <w:sz w:val="21"/>
                <w:szCs w:val="21"/>
              </w:rPr>
            </w:pPr>
          </w:p>
        </w:tc>
        <w:tc>
          <w:tcPr>
            <w:tcW w:w="1585" w:type="pct"/>
            <w:vAlign w:val="center"/>
          </w:tcPr>
          <w:p>
            <w:pPr>
              <w:widowControl/>
              <w:adjustRightInd w:val="0"/>
              <w:snapToGrid w:val="0"/>
              <w:spacing w:line="240" w:lineRule="atLeast"/>
              <w:jc w:val="center"/>
              <w:rPr>
                <w:rFonts w:cs="Times New Roman"/>
                <w:color w:val="auto"/>
                <w:kern w:val="0"/>
                <w:sz w:val="21"/>
                <w:szCs w:val="21"/>
              </w:rPr>
            </w:pPr>
            <w:r>
              <w:rPr>
                <w:rFonts w:ascii="Times New Roman" w:hAnsi="Times New Roman" w:eastAsia="仿宋_GB2312" w:cs="Times New Roman"/>
                <w:color w:val="auto"/>
                <w:kern w:val="0"/>
                <w:sz w:val="21"/>
                <w:szCs w:val="21"/>
              </w:rPr>
              <w:t>测矩仪</w:t>
            </w:r>
          </w:p>
        </w:tc>
        <w:tc>
          <w:tcPr>
            <w:tcW w:w="780" w:type="pct"/>
            <w:vAlign w:val="center"/>
          </w:tcPr>
          <w:p>
            <w:pPr>
              <w:widowControl/>
              <w:adjustRightInd w:val="0"/>
              <w:snapToGrid w:val="0"/>
              <w:spacing w:line="240" w:lineRule="atLeast"/>
              <w:jc w:val="center"/>
              <w:rPr>
                <w:rFonts w:cs="Times New Roman"/>
                <w:color w:val="auto"/>
                <w:spacing w:val="4"/>
                <w:kern w:val="0"/>
                <w:sz w:val="21"/>
                <w:szCs w:val="21"/>
              </w:rPr>
            </w:pPr>
            <w:r>
              <w:rPr>
                <w:rFonts w:ascii="Times New Roman" w:hAnsi="Times New Roman" w:eastAsia="仿宋_GB2312" w:cs="Times New Roman"/>
                <w:color w:val="auto"/>
                <w:spacing w:val="4"/>
                <w:kern w:val="0"/>
                <w:sz w:val="21"/>
                <w:szCs w:val="21"/>
              </w:rPr>
              <w:t>台</w:t>
            </w:r>
          </w:p>
        </w:tc>
        <w:tc>
          <w:tcPr>
            <w:tcW w:w="780" w:type="pct"/>
            <w:vAlign w:val="center"/>
          </w:tcPr>
          <w:p>
            <w:pPr>
              <w:widowControl/>
              <w:adjustRightInd w:val="0"/>
              <w:snapToGrid w:val="0"/>
              <w:spacing w:line="240" w:lineRule="atLeast"/>
              <w:jc w:val="center"/>
              <w:rPr>
                <w:rFonts w:cs="Times New Roman"/>
                <w:color w:val="auto"/>
                <w:spacing w:val="4"/>
                <w:kern w:val="0"/>
                <w:sz w:val="21"/>
                <w:szCs w:val="21"/>
              </w:rPr>
            </w:pPr>
            <w:r>
              <w:rPr>
                <w:rFonts w:ascii="Times New Roman" w:hAnsi="Times New Roman" w:eastAsia="仿宋_GB2312" w:cs="Times New Roman"/>
                <w:color w:val="auto"/>
                <w:spacing w:val="4"/>
                <w:kern w:val="0"/>
                <w:sz w:val="21"/>
                <w:szCs w:val="21"/>
              </w:rPr>
              <w:t>1</w:t>
            </w:r>
          </w:p>
        </w:tc>
        <w:tc>
          <w:tcPr>
            <w:tcW w:w="1074" w:type="pct"/>
            <w:vMerge w:val="continue"/>
            <w:vAlign w:val="center"/>
          </w:tcPr>
          <w:p>
            <w:pPr>
              <w:widowControl/>
              <w:adjustRightInd w:val="0"/>
              <w:snapToGrid w:val="0"/>
              <w:spacing w:line="240" w:lineRule="atLeast"/>
              <w:jc w:val="left"/>
              <w:rPr>
                <w:rFonts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exact"/>
          <w:jc w:val="center"/>
        </w:trPr>
        <w:tc>
          <w:tcPr>
            <w:tcW w:w="779" w:type="pct"/>
            <w:vMerge w:val="continue"/>
            <w:vAlign w:val="center"/>
          </w:tcPr>
          <w:p>
            <w:pPr>
              <w:widowControl/>
              <w:adjustRightInd w:val="0"/>
              <w:snapToGrid w:val="0"/>
              <w:spacing w:line="240" w:lineRule="atLeast"/>
              <w:jc w:val="left"/>
              <w:rPr>
                <w:rFonts w:cs="Times New Roman"/>
                <w:color w:val="auto"/>
                <w:kern w:val="0"/>
                <w:sz w:val="21"/>
                <w:szCs w:val="21"/>
              </w:rPr>
            </w:pPr>
          </w:p>
        </w:tc>
        <w:tc>
          <w:tcPr>
            <w:tcW w:w="1585" w:type="pct"/>
            <w:vAlign w:val="center"/>
          </w:tcPr>
          <w:p>
            <w:pPr>
              <w:widowControl/>
              <w:adjustRightInd w:val="0"/>
              <w:snapToGrid w:val="0"/>
              <w:spacing w:line="240" w:lineRule="atLeast"/>
              <w:jc w:val="center"/>
              <w:rPr>
                <w:rFonts w:cs="Times New Roman"/>
                <w:color w:val="auto"/>
                <w:kern w:val="0"/>
                <w:sz w:val="21"/>
                <w:szCs w:val="21"/>
              </w:rPr>
            </w:pPr>
            <w:r>
              <w:rPr>
                <w:rFonts w:ascii="Times New Roman" w:hAnsi="Times New Roman" w:eastAsia="仿宋_GB2312" w:cs="Times New Roman"/>
                <w:color w:val="auto"/>
                <w:kern w:val="0"/>
                <w:sz w:val="21"/>
                <w:szCs w:val="21"/>
              </w:rPr>
              <w:t>钢卷尺</w:t>
            </w:r>
          </w:p>
        </w:tc>
        <w:tc>
          <w:tcPr>
            <w:tcW w:w="780" w:type="pct"/>
            <w:vAlign w:val="center"/>
          </w:tcPr>
          <w:p>
            <w:pPr>
              <w:widowControl/>
              <w:adjustRightInd w:val="0"/>
              <w:snapToGrid w:val="0"/>
              <w:spacing w:line="240" w:lineRule="atLeast"/>
              <w:jc w:val="center"/>
              <w:rPr>
                <w:rFonts w:cs="Times New Roman"/>
                <w:color w:val="auto"/>
                <w:spacing w:val="4"/>
                <w:kern w:val="0"/>
                <w:sz w:val="21"/>
                <w:szCs w:val="21"/>
              </w:rPr>
            </w:pPr>
            <w:r>
              <w:rPr>
                <w:rFonts w:ascii="Times New Roman" w:hAnsi="Times New Roman" w:eastAsia="仿宋_GB2312" w:cs="Times New Roman"/>
                <w:color w:val="auto"/>
                <w:spacing w:val="4"/>
                <w:kern w:val="0"/>
                <w:sz w:val="21"/>
                <w:szCs w:val="21"/>
              </w:rPr>
              <w:t>个</w:t>
            </w:r>
          </w:p>
        </w:tc>
        <w:tc>
          <w:tcPr>
            <w:tcW w:w="780" w:type="pct"/>
            <w:vAlign w:val="center"/>
          </w:tcPr>
          <w:p>
            <w:pPr>
              <w:widowControl/>
              <w:adjustRightInd w:val="0"/>
              <w:snapToGrid w:val="0"/>
              <w:spacing w:line="240" w:lineRule="atLeast"/>
              <w:jc w:val="center"/>
              <w:rPr>
                <w:rFonts w:cs="Times New Roman"/>
                <w:color w:val="auto"/>
                <w:spacing w:val="4"/>
                <w:kern w:val="0"/>
                <w:sz w:val="21"/>
                <w:szCs w:val="21"/>
              </w:rPr>
            </w:pPr>
            <w:r>
              <w:rPr>
                <w:rFonts w:ascii="Times New Roman" w:hAnsi="Times New Roman" w:eastAsia="仿宋_GB2312" w:cs="Times New Roman"/>
                <w:color w:val="auto"/>
                <w:spacing w:val="4"/>
                <w:kern w:val="0"/>
                <w:sz w:val="21"/>
                <w:szCs w:val="21"/>
              </w:rPr>
              <w:t>5</w:t>
            </w:r>
          </w:p>
        </w:tc>
        <w:tc>
          <w:tcPr>
            <w:tcW w:w="1074" w:type="pct"/>
            <w:vMerge w:val="continue"/>
            <w:vAlign w:val="center"/>
          </w:tcPr>
          <w:p>
            <w:pPr>
              <w:widowControl/>
              <w:adjustRightInd w:val="0"/>
              <w:snapToGrid w:val="0"/>
              <w:spacing w:line="240" w:lineRule="atLeast"/>
              <w:jc w:val="left"/>
              <w:rPr>
                <w:rFonts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exact"/>
          <w:jc w:val="center"/>
        </w:trPr>
        <w:tc>
          <w:tcPr>
            <w:tcW w:w="779" w:type="pct"/>
            <w:vMerge w:val="continue"/>
            <w:vAlign w:val="center"/>
          </w:tcPr>
          <w:p>
            <w:pPr>
              <w:widowControl/>
              <w:adjustRightInd w:val="0"/>
              <w:snapToGrid w:val="0"/>
              <w:spacing w:line="240" w:lineRule="atLeast"/>
              <w:jc w:val="left"/>
              <w:rPr>
                <w:rFonts w:cs="Times New Roman"/>
                <w:color w:val="auto"/>
                <w:kern w:val="0"/>
                <w:sz w:val="21"/>
                <w:szCs w:val="21"/>
              </w:rPr>
            </w:pPr>
          </w:p>
        </w:tc>
        <w:tc>
          <w:tcPr>
            <w:tcW w:w="1585" w:type="pct"/>
            <w:vAlign w:val="center"/>
          </w:tcPr>
          <w:p>
            <w:pPr>
              <w:widowControl/>
              <w:adjustRightInd w:val="0"/>
              <w:snapToGrid w:val="0"/>
              <w:spacing w:line="240" w:lineRule="atLeast"/>
              <w:jc w:val="center"/>
              <w:rPr>
                <w:rFonts w:cs="Times New Roman"/>
                <w:color w:val="auto"/>
                <w:kern w:val="0"/>
                <w:sz w:val="21"/>
                <w:szCs w:val="21"/>
              </w:rPr>
            </w:pPr>
            <w:r>
              <w:rPr>
                <w:rFonts w:ascii="Times New Roman" w:hAnsi="Times New Roman" w:eastAsia="仿宋_GB2312" w:cs="Times New Roman"/>
                <w:color w:val="auto"/>
                <w:kern w:val="0"/>
                <w:sz w:val="21"/>
                <w:szCs w:val="21"/>
              </w:rPr>
              <w:t>手持GPS</w:t>
            </w:r>
          </w:p>
        </w:tc>
        <w:tc>
          <w:tcPr>
            <w:tcW w:w="780" w:type="pct"/>
            <w:vAlign w:val="center"/>
          </w:tcPr>
          <w:p>
            <w:pPr>
              <w:widowControl/>
              <w:adjustRightInd w:val="0"/>
              <w:snapToGrid w:val="0"/>
              <w:spacing w:line="240" w:lineRule="atLeast"/>
              <w:jc w:val="center"/>
              <w:rPr>
                <w:rFonts w:cs="Times New Roman"/>
                <w:color w:val="auto"/>
                <w:spacing w:val="4"/>
                <w:kern w:val="0"/>
                <w:sz w:val="21"/>
                <w:szCs w:val="21"/>
              </w:rPr>
            </w:pPr>
            <w:r>
              <w:rPr>
                <w:rFonts w:ascii="Times New Roman" w:hAnsi="Times New Roman" w:eastAsia="仿宋_GB2312" w:cs="Times New Roman"/>
                <w:color w:val="auto"/>
                <w:spacing w:val="4"/>
                <w:kern w:val="0"/>
                <w:sz w:val="21"/>
                <w:szCs w:val="21"/>
              </w:rPr>
              <w:t>台</w:t>
            </w:r>
          </w:p>
        </w:tc>
        <w:tc>
          <w:tcPr>
            <w:tcW w:w="780" w:type="pct"/>
            <w:vAlign w:val="center"/>
          </w:tcPr>
          <w:p>
            <w:pPr>
              <w:widowControl/>
              <w:adjustRightInd w:val="0"/>
              <w:snapToGrid w:val="0"/>
              <w:spacing w:line="240" w:lineRule="atLeast"/>
              <w:jc w:val="center"/>
              <w:rPr>
                <w:rFonts w:cs="Times New Roman"/>
                <w:color w:val="auto"/>
                <w:spacing w:val="4"/>
                <w:kern w:val="0"/>
                <w:sz w:val="21"/>
                <w:szCs w:val="21"/>
              </w:rPr>
            </w:pPr>
            <w:r>
              <w:rPr>
                <w:rFonts w:ascii="Times New Roman" w:hAnsi="Times New Roman" w:eastAsia="仿宋_GB2312" w:cs="Times New Roman"/>
                <w:color w:val="auto"/>
                <w:spacing w:val="4"/>
                <w:kern w:val="0"/>
                <w:sz w:val="21"/>
                <w:szCs w:val="21"/>
              </w:rPr>
              <w:t>1</w:t>
            </w:r>
          </w:p>
        </w:tc>
        <w:tc>
          <w:tcPr>
            <w:tcW w:w="1074" w:type="pct"/>
            <w:vMerge w:val="continue"/>
            <w:vAlign w:val="center"/>
          </w:tcPr>
          <w:p>
            <w:pPr>
              <w:widowControl/>
              <w:adjustRightInd w:val="0"/>
              <w:snapToGrid w:val="0"/>
              <w:spacing w:line="240" w:lineRule="atLeast"/>
              <w:jc w:val="left"/>
              <w:rPr>
                <w:rFonts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exact"/>
          <w:jc w:val="center"/>
        </w:trPr>
        <w:tc>
          <w:tcPr>
            <w:tcW w:w="779" w:type="pct"/>
            <w:vMerge w:val="continue"/>
            <w:vAlign w:val="center"/>
          </w:tcPr>
          <w:p>
            <w:pPr>
              <w:widowControl/>
              <w:adjustRightInd w:val="0"/>
              <w:snapToGrid w:val="0"/>
              <w:spacing w:line="240" w:lineRule="atLeast"/>
              <w:jc w:val="left"/>
              <w:rPr>
                <w:rFonts w:cs="Times New Roman"/>
                <w:color w:val="auto"/>
                <w:kern w:val="0"/>
                <w:sz w:val="21"/>
                <w:szCs w:val="21"/>
              </w:rPr>
            </w:pPr>
          </w:p>
        </w:tc>
        <w:tc>
          <w:tcPr>
            <w:tcW w:w="1585" w:type="pct"/>
            <w:vAlign w:val="center"/>
          </w:tcPr>
          <w:p>
            <w:pPr>
              <w:widowControl/>
              <w:adjustRightInd w:val="0"/>
              <w:snapToGrid w:val="0"/>
              <w:spacing w:line="240" w:lineRule="atLeast"/>
              <w:jc w:val="center"/>
              <w:rPr>
                <w:rFonts w:cs="Times New Roman"/>
                <w:color w:val="auto"/>
                <w:kern w:val="0"/>
                <w:sz w:val="21"/>
                <w:szCs w:val="21"/>
              </w:rPr>
            </w:pPr>
            <w:r>
              <w:rPr>
                <w:rFonts w:ascii="Times New Roman" w:hAnsi="Times New Roman" w:eastAsia="仿宋_GB2312" w:cs="Times New Roman"/>
                <w:color w:val="auto"/>
                <w:kern w:val="0"/>
                <w:sz w:val="21"/>
                <w:szCs w:val="21"/>
              </w:rPr>
              <w:t>无人机</w:t>
            </w:r>
          </w:p>
        </w:tc>
        <w:tc>
          <w:tcPr>
            <w:tcW w:w="780" w:type="pct"/>
            <w:vAlign w:val="center"/>
          </w:tcPr>
          <w:p>
            <w:pPr>
              <w:widowControl/>
              <w:adjustRightInd w:val="0"/>
              <w:snapToGrid w:val="0"/>
              <w:spacing w:line="240" w:lineRule="atLeast"/>
              <w:jc w:val="center"/>
              <w:rPr>
                <w:rFonts w:cs="Times New Roman"/>
                <w:color w:val="auto"/>
                <w:spacing w:val="4"/>
                <w:kern w:val="0"/>
                <w:sz w:val="21"/>
                <w:szCs w:val="21"/>
              </w:rPr>
            </w:pPr>
            <w:r>
              <w:rPr>
                <w:rFonts w:ascii="Times New Roman" w:hAnsi="Times New Roman" w:eastAsia="仿宋_GB2312" w:cs="Times New Roman"/>
                <w:color w:val="auto"/>
                <w:spacing w:val="4"/>
                <w:kern w:val="0"/>
                <w:sz w:val="21"/>
                <w:szCs w:val="21"/>
              </w:rPr>
              <w:t>台</w:t>
            </w:r>
          </w:p>
        </w:tc>
        <w:tc>
          <w:tcPr>
            <w:tcW w:w="780" w:type="pct"/>
            <w:vAlign w:val="center"/>
          </w:tcPr>
          <w:p>
            <w:pPr>
              <w:widowControl/>
              <w:adjustRightInd w:val="0"/>
              <w:snapToGrid w:val="0"/>
              <w:spacing w:line="240" w:lineRule="atLeast"/>
              <w:jc w:val="center"/>
              <w:rPr>
                <w:rFonts w:cs="Times New Roman"/>
                <w:color w:val="auto"/>
                <w:spacing w:val="4"/>
                <w:kern w:val="0"/>
                <w:sz w:val="21"/>
                <w:szCs w:val="21"/>
              </w:rPr>
            </w:pPr>
            <w:r>
              <w:rPr>
                <w:rFonts w:ascii="Times New Roman" w:hAnsi="Times New Roman" w:eastAsia="仿宋_GB2312" w:cs="Times New Roman"/>
                <w:color w:val="auto"/>
                <w:spacing w:val="4"/>
                <w:kern w:val="0"/>
                <w:sz w:val="21"/>
                <w:szCs w:val="21"/>
              </w:rPr>
              <w:t>1</w:t>
            </w:r>
          </w:p>
        </w:tc>
        <w:tc>
          <w:tcPr>
            <w:tcW w:w="1074" w:type="pct"/>
            <w:vMerge w:val="continue"/>
            <w:vAlign w:val="center"/>
          </w:tcPr>
          <w:p>
            <w:pPr>
              <w:widowControl/>
              <w:adjustRightInd w:val="0"/>
              <w:snapToGrid w:val="0"/>
              <w:spacing w:line="240" w:lineRule="atLeast"/>
              <w:jc w:val="left"/>
              <w:rPr>
                <w:rFonts w:cs="Times New Roman"/>
                <w:color w:val="auto"/>
                <w:kern w:val="0"/>
                <w:sz w:val="21"/>
                <w:szCs w:val="21"/>
              </w:rPr>
            </w:pPr>
          </w:p>
        </w:tc>
      </w:tr>
    </w:tbl>
    <w:p>
      <w:pPr>
        <w:pStyle w:val="7"/>
        <w:snapToGrid w:val="0"/>
        <w:spacing w:line="360" w:lineRule="auto"/>
        <w:rPr>
          <w:rFonts w:eastAsia="仿宋_GB2312"/>
          <w:color w:val="auto"/>
          <w:sz w:val="28"/>
          <w:szCs w:val="28"/>
        </w:rPr>
      </w:pPr>
      <w:r>
        <w:rPr>
          <w:rFonts w:eastAsia="仿宋_GB2312"/>
          <w:color w:val="auto"/>
          <w:sz w:val="28"/>
          <w:szCs w:val="28"/>
        </w:rPr>
        <w:t>6.4.1.2监测</w:t>
      </w:r>
      <w:bookmarkEnd w:id="368"/>
      <w:r>
        <w:rPr>
          <w:rFonts w:hint="eastAsia" w:eastAsia="仿宋_GB2312"/>
          <w:color w:val="auto"/>
          <w:sz w:val="28"/>
          <w:szCs w:val="28"/>
        </w:rPr>
        <w:t>人员配备</w:t>
      </w:r>
    </w:p>
    <w:p>
      <w:pPr>
        <w:widowControl/>
        <w:snapToGrid w:val="0"/>
        <w:spacing w:line="360" w:lineRule="auto"/>
        <w:ind w:firstLine="482"/>
        <w:jc w:val="left"/>
        <w:rPr>
          <w:rFonts w:ascii="Times New Roman" w:hAnsi="Times New Roman" w:eastAsia="仿宋_GB2312" w:cs="Times New Roman"/>
          <w:color w:val="auto"/>
          <w:kern w:val="0"/>
          <w:szCs w:val="24"/>
        </w:rPr>
      </w:pPr>
      <w:r>
        <w:rPr>
          <w:rFonts w:hint="eastAsia" w:ascii="Times New Roman" w:hAnsi="Times New Roman" w:eastAsia="仿宋_GB2312" w:cs="Times New Roman"/>
          <w:color w:val="auto"/>
          <w:szCs w:val="24"/>
        </w:rPr>
        <w:t>评估区域</w:t>
      </w:r>
      <w:r>
        <w:rPr>
          <w:rFonts w:ascii="Times New Roman" w:hAnsi="Times New Roman" w:eastAsia="仿宋_GB2312" w:cs="Times New Roman"/>
          <w:color w:val="auto"/>
          <w:szCs w:val="24"/>
        </w:rPr>
        <w:t>水土保持监测需成立专门的监测项目组，监测人员专业要配备合理，配备水土保持学等相关专业技术人员。开展本工程监测所需的人工数量，应根据水土保持监测频次、监测时段、监测点位、监测内容和监测指标具体情况确定，重点围绕本项目中的配套设施区域开展监测工作</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监测人员非雨季考虑每次</w:t>
      </w:r>
      <w:r>
        <w:rPr>
          <w:rFonts w:hint="eastAsia" w:ascii="Times New Roman" w:hAnsi="Times New Roman" w:eastAsia="仿宋_GB2312" w:cs="Times New Roman"/>
          <w:color w:val="auto"/>
          <w:szCs w:val="24"/>
        </w:rPr>
        <w:t>3</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4</w:t>
      </w:r>
      <w:r>
        <w:rPr>
          <w:rFonts w:ascii="Times New Roman" w:hAnsi="Times New Roman" w:eastAsia="仿宋_GB2312" w:cs="Times New Roman"/>
          <w:color w:val="auto"/>
          <w:szCs w:val="24"/>
        </w:rPr>
        <w:t>人，每次1～2个工作日；雨季考虑每次</w:t>
      </w:r>
      <w:r>
        <w:rPr>
          <w:rFonts w:hint="eastAsia" w:ascii="Times New Roman" w:hAnsi="Times New Roman" w:eastAsia="仿宋_GB2312" w:cs="Times New Roman"/>
          <w:color w:val="auto"/>
          <w:szCs w:val="24"/>
        </w:rPr>
        <w:t>4</w:t>
      </w: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5</w:t>
      </w:r>
      <w:r>
        <w:rPr>
          <w:rFonts w:ascii="Times New Roman" w:hAnsi="Times New Roman" w:eastAsia="仿宋_GB2312" w:cs="Times New Roman"/>
          <w:color w:val="auto"/>
          <w:szCs w:val="24"/>
        </w:rPr>
        <w:t>人，每次2～3个工作日；不定期监测人工数量主要依据不定期监测频次进行安排确定。</w:t>
      </w:r>
    </w:p>
    <w:p>
      <w:pPr>
        <w:spacing w:line="360" w:lineRule="auto"/>
        <w:outlineLvl w:val="2"/>
        <w:rPr>
          <w:rFonts w:ascii="Times New Roman" w:hAnsi="Times New Roman" w:eastAsia="仿宋_GB2312" w:cs="Times New Roman"/>
          <w:b/>
          <w:color w:val="auto"/>
          <w:sz w:val="30"/>
          <w:szCs w:val="30"/>
        </w:rPr>
      </w:pPr>
      <w:bookmarkStart w:id="369" w:name="_Toc439243935"/>
      <w:bookmarkStart w:id="370" w:name="_Toc451799238"/>
      <w:bookmarkStart w:id="371" w:name="_Toc499039898"/>
      <w:bookmarkStart w:id="372" w:name="_Toc514432624"/>
      <w:bookmarkStart w:id="373" w:name="_Toc514430870"/>
      <w:bookmarkStart w:id="374" w:name="_Toc11989"/>
      <w:bookmarkStart w:id="375" w:name="_Toc514431480"/>
      <w:r>
        <w:rPr>
          <w:rFonts w:ascii="Times New Roman" w:hAnsi="Times New Roman" w:eastAsia="仿宋_GB2312" w:cs="Times New Roman"/>
          <w:b/>
          <w:color w:val="auto"/>
          <w:sz w:val="30"/>
          <w:szCs w:val="30"/>
        </w:rPr>
        <w:t>6.4.2监测成果</w:t>
      </w:r>
      <w:bookmarkEnd w:id="369"/>
      <w:bookmarkEnd w:id="370"/>
      <w:bookmarkEnd w:id="371"/>
      <w:bookmarkEnd w:id="372"/>
      <w:bookmarkEnd w:id="373"/>
      <w:bookmarkEnd w:id="374"/>
      <w:bookmarkEnd w:id="375"/>
    </w:p>
    <w:p>
      <w:pPr>
        <w:widowControl/>
        <w:snapToGrid w:val="0"/>
        <w:spacing w:line="360" w:lineRule="auto"/>
        <w:ind w:firstLine="482"/>
        <w:jc w:val="left"/>
        <w:rPr>
          <w:rFonts w:ascii="Times New Roman" w:hAnsi="Times New Roman" w:eastAsia="仿宋_GB2312" w:cs="Times New Roman"/>
          <w:color w:val="auto"/>
          <w:kern w:val="0"/>
          <w:szCs w:val="24"/>
        </w:rPr>
      </w:pPr>
      <w:r>
        <w:rPr>
          <w:rFonts w:ascii="Times New Roman" w:hAnsi="Times New Roman" w:eastAsia="仿宋_GB2312" w:cs="Times New Roman"/>
          <w:color w:val="auto"/>
          <w:kern w:val="0"/>
          <w:szCs w:val="24"/>
        </w:rPr>
        <w:t>根据《生产建设项目水土保持监测与评价标准》（GB/T51240-2018）、《关于印发〈生产建设项目水土保持监测规程（试行）〉的通知》（水利部办水保[2015]139号）和《水利部办公厅关于进一步加强生产建设项目水土保持监测工作的通知》（办水保[2020]161号）的有关规定，</w:t>
      </w:r>
      <w:r>
        <w:rPr>
          <w:rFonts w:hint="eastAsia" w:ascii="Times New Roman" w:hAnsi="Times New Roman" w:eastAsia="仿宋_GB2312" w:cs="Times New Roman"/>
          <w:color w:val="auto"/>
          <w:kern w:val="0"/>
          <w:szCs w:val="24"/>
        </w:rPr>
        <w:t>评估</w:t>
      </w:r>
      <w:r>
        <w:rPr>
          <w:rFonts w:ascii="Times New Roman" w:hAnsi="Times New Roman" w:eastAsia="仿宋_GB2312" w:cs="Times New Roman"/>
          <w:color w:val="auto"/>
          <w:kern w:val="0"/>
          <w:szCs w:val="24"/>
        </w:rPr>
        <w:t>区域水土保持监测工作需自行或委托具有水土保持监测能力的单位实施。在本</w:t>
      </w:r>
      <w:r>
        <w:rPr>
          <w:rFonts w:hint="eastAsia" w:ascii="Times New Roman" w:hAnsi="Times New Roman" w:eastAsia="仿宋_GB2312" w:cs="Times New Roman"/>
          <w:color w:val="auto"/>
          <w:kern w:val="0"/>
          <w:szCs w:val="24"/>
          <w:lang w:val="en-US" w:eastAsia="zh-CN"/>
        </w:rPr>
        <w:t>区域评估报告</w:t>
      </w:r>
      <w:r>
        <w:rPr>
          <w:rFonts w:ascii="Times New Roman" w:hAnsi="Times New Roman" w:eastAsia="仿宋_GB2312" w:cs="Times New Roman"/>
          <w:color w:val="auto"/>
          <w:kern w:val="0"/>
          <w:szCs w:val="24"/>
        </w:rPr>
        <w:t>批复后，</w:t>
      </w:r>
      <w:r>
        <w:rPr>
          <w:rFonts w:hint="eastAsia" w:ascii="Times New Roman" w:hAnsi="Times New Roman" w:eastAsia="仿宋_GB2312" w:cs="Times New Roman"/>
          <w:color w:val="auto"/>
          <w:kern w:val="0"/>
          <w:szCs w:val="24"/>
        </w:rPr>
        <w:t>区域</w:t>
      </w:r>
      <w:r>
        <w:rPr>
          <w:rFonts w:ascii="Times New Roman" w:hAnsi="Times New Roman" w:eastAsia="仿宋_GB2312" w:cs="Times New Roman"/>
          <w:color w:val="auto"/>
          <w:kern w:val="0"/>
          <w:szCs w:val="24"/>
        </w:rPr>
        <w:t>管理单位应向水行政主管部门报送《水土保持监测实施方案》。</w:t>
      </w:r>
      <w:r>
        <w:rPr>
          <w:rFonts w:hint="eastAsia" w:ascii="Times New Roman" w:hAnsi="Times New Roman" w:eastAsia="仿宋_GB2312" w:cs="Times New Roman"/>
          <w:color w:val="auto"/>
          <w:kern w:val="0"/>
          <w:szCs w:val="24"/>
        </w:rPr>
        <w:t>评估</w:t>
      </w:r>
      <w:r>
        <w:rPr>
          <w:rFonts w:ascii="Times New Roman" w:hAnsi="Times New Roman" w:eastAsia="仿宋_GB2312" w:cs="Times New Roman"/>
          <w:color w:val="auto"/>
          <w:kern w:val="0"/>
          <w:szCs w:val="24"/>
        </w:rPr>
        <w:t>区域建设期间，应保存好监测图件、数据和影像资料等，并于每季度的第一个月底前报送上季度的《项目水土保持监测季度报告表》；因降雨、大风或人为原因发生严重水土流失及危害事件的，应于事件发生后1周内报告有关情况。监测单位监测工作全部结束后，对监测结果作出综合分析与评价，编制监测总结报告，由建设单位将监测成果及时向水行政主管部门报告，并将监测成果及时向社会进行公示。</w:t>
      </w:r>
    </w:p>
    <w:p>
      <w:pPr>
        <w:widowControl/>
        <w:snapToGrid w:val="0"/>
        <w:spacing w:line="360" w:lineRule="auto"/>
        <w:ind w:firstLine="482"/>
        <w:jc w:val="left"/>
        <w:rPr>
          <w:rFonts w:ascii="Times New Roman" w:hAnsi="Times New Roman" w:eastAsia="仿宋_GB2312" w:cs="Times New Roman"/>
          <w:color w:val="auto"/>
          <w:kern w:val="0"/>
          <w:szCs w:val="24"/>
        </w:rPr>
      </w:pPr>
      <w:r>
        <w:rPr>
          <w:rFonts w:hint="eastAsia" w:ascii="Times New Roman" w:hAnsi="Times New Roman" w:eastAsia="仿宋_GB2312" w:cs="Times New Roman"/>
          <w:color w:val="auto"/>
          <w:kern w:val="0"/>
          <w:szCs w:val="24"/>
        </w:rPr>
        <w:t>监测成果应对本项目的扰动土地情况、水土流失状况、防治成效及水土流失危害等监测结果明确“红黄绿”三色评价结论，并根据不同的监测内容，采取定量评价和定性分析相结合方式进行量化打分。三色评价满分为100分；得分80分及以上为“绿”色，60分及以上不足80分为“黄”色，不足60分为“红”色。</w:t>
      </w:r>
    </w:p>
    <w:p>
      <w:pPr>
        <w:widowControl/>
        <w:snapToGrid w:val="0"/>
        <w:spacing w:line="360" w:lineRule="auto"/>
        <w:ind w:firstLine="482"/>
        <w:jc w:val="left"/>
        <w:rPr>
          <w:rFonts w:ascii="Times New Roman" w:hAnsi="Times New Roman" w:eastAsia="仿宋_GB2312" w:cs="Times New Roman"/>
          <w:color w:val="auto"/>
          <w:kern w:val="0"/>
          <w:szCs w:val="24"/>
        </w:rPr>
      </w:pPr>
    </w:p>
    <w:p>
      <w:pPr>
        <w:rPr>
          <w:rFonts w:ascii="Times New Roman" w:hAnsi="Times New Roman" w:cs="Times New Roman"/>
          <w:color w:val="auto"/>
        </w:rPr>
      </w:pPr>
    </w:p>
    <w:p>
      <w:pPr>
        <w:widowControl/>
        <w:jc w:val="left"/>
        <w:rPr>
          <w:rFonts w:ascii="Times New Roman" w:hAnsi="Times New Roman" w:cs="Times New Roman"/>
          <w:color w:val="auto"/>
        </w:rPr>
        <w:sectPr>
          <w:headerReference r:id="rId38" w:type="default"/>
          <w:footerReference r:id="rId39" w:type="default"/>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32" w:charSpace="0"/>
        </w:sectPr>
      </w:pPr>
      <w:r>
        <w:rPr>
          <w:rFonts w:ascii="Times New Roman" w:hAnsi="Times New Roman" w:cs="Times New Roman"/>
          <w:color w:val="auto"/>
        </w:rPr>
        <w:br w:type="page"/>
      </w:r>
    </w:p>
    <w:p>
      <w:pPr>
        <w:pStyle w:val="4"/>
        <w:jc w:val="center"/>
        <w:rPr>
          <w:color w:val="auto"/>
          <w:sz w:val="44"/>
          <w:szCs w:val="44"/>
        </w:rPr>
      </w:pPr>
      <w:bookmarkStart w:id="376" w:name="_Toc514430871"/>
      <w:bookmarkStart w:id="377" w:name="_Toc514431481"/>
      <w:bookmarkStart w:id="378" w:name="_Toc451799239"/>
      <w:bookmarkStart w:id="379" w:name="_Toc20625"/>
      <w:bookmarkStart w:id="380" w:name="_Toc514432625"/>
      <w:bookmarkStart w:id="381" w:name="_Toc31678"/>
      <w:bookmarkStart w:id="382" w:name="_Toc499039899"/>
      <w:r>
        <w:rPr>
          <w:bCs/>
          <w:color w:val="auto"/>
          <w:sz w:val="44"/>
          <w:szCs w:val="44"/>
        </w:rPr>
        <w:t xml:space="preserve">7 </w:t>
      </w:r>
      <w:r>
        <w:rPr>
          <w:rFonts w:eastAsia="仿宋_GB2312"/>
          <w:bCs/>
          <w:color w:val="auto"/>
          <w:sz w:val="44"/>
          <w:szCs w:val="44"/>
        </w:rPr>
        <w:t>水土保持</w:t>
      </w:r>
      <w:r>
        <w:rPr>
          <w:rFonts w:eastAsia="仿宋_GB2312"/>
          <w:color w:val="auto"/>
          <w:sz w:val="44"/>
          <w:szCs w:val="44"/>
        </w:rPr>
        <w:t>投资估算及效益分析</w:t>
      </w:r>
      <w:bookmarkEnd w:id="376"/>
      <w:bookmarkEnd w:id="377"/>
      <w:bookmarkEnd w:id="378"/>
      <w:bookmarkEnd w:id="379"/>
      <w:bookmarkEnd w:id="380"/>
      <w:bookmarkEnd w:id="381"/>
      <w:bookmarkEnd w:id="382"/>
    </w:p>
    <w:p>
      <w:pPr>
        <w:pStyle w:val="5"/>
        <w:rPr>
          <w:rFonts w:eastAsia="仿宋_GB2312"/>
          <w:color w:val="auto"/>
        </w:rPr>
      </w:pPr>
      <w:bookmarkStart w:id="383" w:name="_Toc30386"/>
      <w:bookmarkStart w:id="384" w:name="_Toc27508"/>
      <w:bookmarkStart w:id="385" w:name="_Toc17511"/>
      <w:bookmarkStart w:id="386" w:name="_Toc7019"/>
      <w:bookmarkStart w:id="387" w:name="_Toc23384"/>
      <w:bookmarkStart w:id="388" w:name="_Toc2202"/>
      <w:bookmarkStart w:id="389" w:name="_Toc5384"/>
      <w:bookmarkStart w:id="390" w:name="_Toc514431482"/>
      <w:bookmarkStart w:id="391" w:name="_Toc514430872"/>
      <w:bookmarkStart w:id="392" w:name="_Toc499039900"/>
      <w:bookmarkStart w:id="393" w:name="_Toc439243937"/>
      <w:bookmarkStart w:id="394" w:name="_Toc514432626"/>
      <w:bookmarkStart w:id="395" w:name="_Toc451799240"/>
      <w:r>
        <w:rPr>
          <w:color w:val="auto"/>
        </w:rPr>
        <w:t>7.1</w:t>
      </w:r>
      <w:bookmarkEnd w:id="383"/>
      <w:bookmarkEnd w:id="384"/>
      <w:bookmarkEnd w:id="385"/>
      <w:bookmarkEnd w:id="386"/>
      <w:bookmarkEnd w:id="387"/>
      <w:r>
        <w:rPr>
          <w:rFonts w:eastAsia="仿宋_GB2312"/>
          <w:color w:val="auto"/>
        </w:rPr>
        <w:t>投资估算</w:t>
      </w:r>
      <w:bookmarkEnd w:id="388"/>
      <w:bookmarkEnd w:id="389"/>
      <w:bookmarkEnd w:id="390"/>
      <w:bookmarkEnd w:id="391"/>
      <w:bookmarkEnd w:id="392"/>
      <w:bookmarkEnd w:id="393"/>
      <w:bookmarkEnd w:id="394"/>
      <w:bookmarkEnd w:id="395"/>
    </w:p>
    <w:p>
      <w:pPr>
        <w:widowControl/>
        <w:spacing w:line="360" w:lineRule="auto"/>
        <w:jc w:val="left"/>
        <w:outlineLvl w:val="2"/>
        <w:rPr>
          <w:rFonts w:ascii="Times New Roman" w:hAnsi="Times New Roman" w:eastAsia="仿宋_GB2312" w:cs="Times New Roman"/>
          <w:b/>
          <w:color w:val="auto"/>
          <w:sz w:val="30"/>
          <w:szCs w:val="30"/>
        </w:rPr>
      </w:pPr>
      <w:bookmarkStart w:id="396" w:name="_Toc27528"/>
      <w:r>
        <w:rPr>
          <w:rFonts w:ascii="Times New Roman" w:hAnsi="Times New Roman" w:eastAsia="仿宋_GB2312" w:cs="Times New Roman"/>
          <w:b/>
          <w:color w:val="auto"/>
          <w:sz w:val="30"/>
          <w:szCs w:val="30"/>
        </w:rPr>
        <w:t>7.1.1 编制原则及依据</w:t>
      </w:r>
      <w:bookmarkEnd w:id="396"/>
    </w:p>
    <w:p>
      <w:pPr>
        <w:pStyle w:val="7"/>
        <w:snapToGrid w:val="0"/>
        <w:spacing w:line="360" w:lineRule="auto"/>
        <w:rPr>
          <w:rFonts w:eastAsia="仿宋_GB2312"/>
          <w:color w:val="auto"/>
          <w:sz w:val="28"/>
          <w:szCs w:val="28"/>
        </w:rPr>
      </w:pPr>
      <w:r>
        <w:rPr>
          <w:rFonts w:hint="eastAsia" w:eastAsia="仿宋_GB2312"/>
          <w:color w:val="auto"/>
          <w:sz w:val="28"/>
          <w:szCs w:val="28"/>
        </w:rPr>
        <w:t>7.1.1.1编制原则</w:t>
      </w:r>
    </w:p>
    <w:p>
      <w:pPr>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rPr>
        <w:t>（1）</w:t>
      </w:r>
      <w:r>
        <w:rPr>
          <w:rFonts w:ascii="Times New Roman" w:hAnsi="Times New Roman" w:eastAsia="仿宋_GB2312" w:cs="Times New Roman"/>
          <w:color w:val="auto"/>
          <w:kern w:val="0"/>
        </w:rPr>
        <w:t>水土保持工程投资概算编制的依据、主要工程单价、材料单价、机械台时费、价格水平年等与主体工程相一致；主体工程没有明确规定的，采用《水土保持工程投资概（估）算编制规定》、《水土保持工程概算定额》等进行编制；</w:t>
      </w:r>
    </w:p>
    <w:p>
      <w:pPr>
        <w:spacing w:line="360" w:lineRule="auto"/>
        <w:ind w:firstLine="480" w:firstLineChars="200"/>
        <w:rPr>
          <w:rFonts w:ascii="Times New Roman" w:hAnsi="Times New Roman" w:eastAsia="仿宋_GB2312" w:cs="Times New Roman"/>
          <w:color w:val="auto"/>
        </w:rPr>
      </w:pPr>
      <w:r>
        <w:rPr>
          <w:rFonts w:ascii="Times New Roman" w:hAnsi="Times New Roman" w:eastAsia="仿宋_GB2312" w:cs="Times New Roman"/>
          <w:color w:val="auto"/>
        </w:rPr>
        <w:t>（2）</w:t>
      </w:r>
      <w:r>
        <w:rPr>
          <w:rFonts w:ascii="Times New Roman" w:hAnsi="Times New Roman" w:eastAsia="仿宋_GB2312" w:cs="Times New Roman"/>
          <w:color w:val="auto"/>
          <w:kern w:val="0"/>
        </w:rPr>
        <w:t>主体工程估算定额中未明确的，采用《水土保持工程投资概（估）算编制规定》（水利部水总</w:t>
      </w:r>
      <w:r>
        <w:rPr>
          <w:rFonts w:hint="eastAsia" w:ascii="宋体" w:hAnsi="宋体" w:cs="宋体"/>
          <w:color w:val="auto"/>
          <w:kern w:val="0"/>
        </w:rPr>
        <w:t>﹝</w:t>
      </w:r>
      <w:r>
        <w:rPr>
          <w:rFonts w:ascii="Times New Roman" w:hAnsi="Times New Roman" w:eastAsia="仿宋_GB2312" w:cs="Times New Roman"/>
          <w:color w:val="auto"/>
          <w:kern w:val="0"/>
        </w:rPr>
        <w:t>2003</w:t>
      </w:r>
      <w:r>
        <w:rPr>
          <w:rFonts w:hint="eastAsia" w:ascii="宋体" w:hAnsi="宋体" w:cs="宋体"/>
          <w:color w:val="auto"/>
          <w:kern w:val="0"/>
        </w:rPr>
        <w:t>﹞</w:t>
      </w:r>
      <w:r>
        <w:rPr>
          <w:rFonts w:ascii="Times New Roman" w:hAnsi="Times New Roman" w:eastAsia="仿宋_GB2312" w:cs="Times New Roman"/>
          <w:color w:val="auto"/>
          <w:kern w:val="0"/>
        </w:rPr>
        <w:t>67号）定额、取费项目及费率；</w:t>
      </w:r>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rPr>
        <w:t>（3）本项目所需的</w:t>
      </w:r>
      <w:r>
        <w:rPr>
          <w:rFonts w:ascii="Times New Roman" w:hAnsi="Times New Roman" w:eastAsia="仿宋_GB2312" w:cs="Times New Roman"/>
          <w:color w:val="auto"/>
          <w:szCs w:val="24"/>
        </w:rPr>
        <w:t>水土保持投资从基建费中列支。</w:t>
      </w:r>
    </w:p>
    <w:p>
      <w:pPr>
        <w:widowControl/>
        <w:snapToGrid w:val="0"/>
        <w:spacing w:line="360" w:lineRule="auto"/>
        <w:ind w:firstLine="480" w:firstLineChars="200"/>
        <w:rPr>
          <w:rFonts w:ascii="Times New Roman" w:hAnsi="Times New Roman" w:eastAsia="仿宋_GB2312" w:cs="Times New Roman"/>
          <w:color w:val="auto"/>
          <w:spacing w:val="-4"/>
          <w:kern w:val="0"/>
          <w:szCs w:val="24"/>
        </w:rPr>
      </w:pPr>
      <w:r>
        <w:rPr>
          <w:rFonts w:ascii="Times New Roman" w:hAnsi="Times New Roman" w:eastAsia="仿宋_GB2312" w:cs="Times New Roman"/>
          <w:color w:val="auto"/>
          <w:szCs w:val="24"/>
        </w:rPr>
        <w:t>（4）新增水土保持措施材料单价价格水平期为20</w:t>
      </w:r>
      <w:r>
        <w:rPr>
          <w:rFonts w:hint="eastAsia" w:ascii="Times New Roman" w:hAnsi="Times New Roman" w:eastAsia="仿宋_GB2312" w:cs="Times New Roman"/>
          <w:color w:val="auto"/>
          <w:szCs w:val="24"/>
          <w:lang w:val="en-US" w:eastAsia="zh-CN"/>
        </w:rPr>
        <w:t>21</w:t>
      </w:r>
      <w:r>
        <w:rPr>
          <w:rFonts w:ascii="Times New Roman" w:hAnsi="Times New Roman" w:eastAsia="仿宋_GB2312" w:cs="Times New Roman"/>
          <w:color w:val="auto"/>
          <w:szCs w:val="24"/>
        </w:rPr>
        <w:t>年</w:t>
      </w:r>
      <w:r>
        <w:rPr>
          <w:rFonts w:hint="eastAsia" w:ascii="Times New Roman" w:hAnsi="Times New Roman" w:eastAsia="仿宋_GB2312" w:cs="Times New Roman"/>
          <w:color w:val="auto"/>
          <w:szCs w:val="24"/>
          <w:lang w:val="en-US" w:eastAsia="zh-CN"/>
        </w:rPr>
        <w:t>1</w:t>
      </w:r>
      <w:r>
        <w:rPr>
          <w:rFonts w:ascii="Times New Roman" w:hAnsi="Times New Roman" w:eastAsia="仿宋_GB2312" w:cs="Times New Roman"/>
          <w:color w:val="auto"/>
          <w:szCs w:val="24"/>
        </w:rPr>
        <w:t>月</w:t>
      </w:r>
      <w:r>
        <w:rPr>
          <w:rFonts w:ascii="Times New Roman" w:hAnsi="Times New Roman" w:eastAsia="仿宋_GB2312" w:cs="Times New Roman"/>
          <w:color w:val="auto"/>
        </w:rPr>
        <w:t>。</w:t>
      </w:r>
    </w:p>
    <w:p>
      <w:pPr>
        <w:pStyle w:val="7"/>
        <w:snapToGrid w:val="0"/>
        <w:spacing w:line="360" w:lineRule="auto"/>
        <w:rPr>
          <w:rFonts w:eastAsia="仿宋_GB2312"/>
          <w:color w:val="auto"/>
          <w:sz w:val="28"/>
          <w:szCs w:val="28"/>
        </w:rPr>
      </w:pPr>
      <w:r>
        <w:rPr>
          <w:rFonts w:hint="eastAsia" w:eastAsia="仿宋_GB2312"/>
          <w:color w:val="auto"/>
          <w:sz w:val="28"/>
          <w:szCs w:val="28"/>
        </w:rPr>
        <w:t>7.1.1.2编制依据</w:t>
      </w:r>
    </w:p>
    <w:p>
      <w:pPr>
        <w:snapToGrid w:val="0"/>
        <w:spacing w:line="360" w:lineRule="auto"/>
        <w:ind w:firstLine="480" w:firstLineChars="200"/>
        <w:rPr>
          <w:rFonts w:ascii="Times New Roman" w:hAnsi="Times New Roman" w:eastAsia="仿宋_GB2312" w:cs="Times New Roman"/>
          <w:bCs/>
          <w:color w:val="auto"/>
          <w:szCs w:val="24"/>
        </w:rPr>
      </w:pPr>
      <w:r>
        <w:rPr>
          <w:rFonts w:ascii="Times New Roman" w:hAnsi="Times New Roman" w:eastAsia="仿宋_GB2312" w:cs="Times New Roman"/>
          <w:bCs/>
          <w:color w:val="auto"/>
          <w:szCs w:val="24"/>
        </w:rPr>
        <w:t>（1）</w:t>
      </w:r>
      <w:r>
        <w:rPr>
          <w:rFonts w:ascii="Times New Roman" w:hAnsi="Times New Roman" w:eastAsia="仿宋_GB2312" w:cs="Times New Roman"/>
          <w:color w:val="auto"/>
          <w:szCs w:val="24"/>
        </w:rPr>
        <w:t>《水土保持工程概（估）算编制规定》</w:t>
      </w:r>
      <w:r>
        <w:rPr>
          <w:rFonts w:hint="eastAsia" w:ascii="Times New Roman" w:hAnsi="Times New Roman" w:eastAsia="仿宋_GB2312" w:cs="Times New Roman"/>
          <w:color w:val="auto"/>
          <w:szCs w:val="24"/>
        </w:rPr>
        <w:t>、《水土保持工程概算定额》</w:t>
      </w:r>
      <w:r>
        <w:rPr>
          <w:rFonts w:ascii="Times New Roman" w:hAnsi="Times New Roman" w:eastAsia="仿宋_GB2312" w:cs="Times New Roman"/>
          <w:bCs/>
          <w:color w:val="auto"/>
          <w:szCs w:val="24"/>
        </w:rPr>
        <w:t>（水利部水总[2003]67号）；</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bCs/>
          <w:color w:val="auto"/>
          <w:szCs w:val="24"/>
        </w:rPr>
        <w:t>（2）关于印发《水土保持</w:t>
      </w:r>
      <w:r>
        <w:rPr>
          <w:rFonts w:ascii="Times New Roman" w:hAnsi="Times New Roman" w:eastAsia="仿宋_GB2312" w:cs="Times New Roman"/>
          <w:color w:val="auto"/>
          <w:szCs w:val="24"/>
        </w:rPr>
        <w:t>补偿费征收使用管理办法》的通知（财政部、国家发展改革委、水利部、中国人民银行，财综[2014]8号文）的规定；</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（3）《江西省水土保持设施补偿费、水土流失防治费的收费标准和使用管理办法》（江西省物价局赣价费字[1995]37号文、江西省财政厅赣财综字[1995]69号、江西省水利厅赣水水保字[1995]008号）；</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（4）《水利工程营业税改征增值税计价依据调整办法》（水利部办公厅，办水总[2016]132号）；</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（5）《国家发展改革委关于进一步放开建设项目专业服务价格的通知》（国家发展改革委发改价格〔2015〕299号）；</w:t>
      </w:r>
    </w:p>
    <w:p>
      <w:pPr>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（6）</w:t>
      </w:r>
      <w:r>
        <w:rPr>
          <w:rFonts w:ascii="Times New Roman" w:hAnsi="Times New Roman" w:eastAsia="仿宋_GB2312" w:cs="Times New Roman"/>
          <w:color w:val="auto"/>
          <w:szCs w:val="24"/>
        </w:rPr>
        <w:t>《关于&lt;水利工程营业税改增值税后计价依据调整&gt;的通知》（江西省水利厅赣水建管字[2016]49号）</w:t>
      </w:r>
      <w:r>
        <w:rPr>
          <w:rFonts w:hint="eastAsia" w:ascii="Times New Roman" w:hAnsi="Times New Roman" w:eastAsia="仿宋_GB2312" w:cs="Times New Roman"/>
          <w:color w:val="auto"/>
          <w:szCs w:val="24"/>
        </w:rPr>
        <w:t>；</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（7）《水利部办公厅&lt;关于调整水利工程计价依据增值税计算标准&gt;的通知》（办财务函[2019]448号文）；</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（8）《江西省水利厅&lt;关于重新调整我省水利工程计价依据有关税率及计价系数的通知&gt;》（赣水建管字[2019]27号）；</w:t>
      </w:r>
    </w:p>
    <w:p>
      <w:pPr>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9</w:t>
      </w:r>
      <w:r>
        <w:rPr>
          <w:rFonts w:ascii="Times New Roman" w:hAnsi="Times New Roman" w:eastAsia="仿宋_GB2312" w:cs="Times New Roman"/>
          <w:color w:val="auto"/>
          <w:szCs w:val="24"/>
        </w:rPr>
        <w:t>）《关于调整2017版江西省建设工程定额综合工日单价的通知》（赣建价〔2020〕5号）；</w:t>
      </w:r>
    </w:p>
    <w:p>
      <w:pPr>
        <w:widowControl/>
        <w:snapToGrid w:val="0"/>
        <w:spacing w:line="360" w:lineRule="auto"/>
        <w:ind w:firstLine="480" w:firstLineChars="200"/>
        <w:rPr>
          <w:rFonts w:ascii="Times New Roman" w:hAnsi="Times New Roman" w:eastAsia="仿宋_GB2312" w:cs="Times New Roman"/>
          <w:color w:val="auto"/>
          <w:spacing w:val="-4"/>
          <w:kern w:val="0"/>
          <w:szCs w:val="24"/>
        </w:rPr>
      </w:pPr>
      <w:r>
        <w:rPr>
          <w:rFonts w:ascii="Times New Roman" w:hAnsi="Times New Roman" w:eastAsia="仿宋_GB2312" w:cs="Times New Roman"/>
          <w:color w:val="auto"/>
          <w:szCs w:val="24"/>
        </w:rPr>
        <w:t>（</w:t>
      </w:r>
      <w:r>
        <w:rPr>
          <w:rFonts w:hint="eastAsia" w:ascii="Times New Roman" w:hAnsi="Times New Roman" w:eastAsia="仿宋_GB2312" w:cs="Times New Roman"/>
          <w:color w:val="auto"/>
          <w:szCs w:val="24"/>
        </w:rPr>
        <w:t>10</w:t>
      </w:r>
      <w:r>
        <w:rPr>
          <w:rFonts w:ascii="Times New Roman" w:hAnsi="Times New Roman" w:eastAsia="仿宋_GB2312" w:cs="Times New Roman"/>
          <w:color w:val="auto"/>
          <w:szCs w:val="24"/>
        </w:rPr>
        <w:t>）水土保持设计及其工程量。</w:t>
      </w:r>
    </w:p>
    <w:p>
      <w:pPr>
        <w:widowControl/>
        <w:spacing w:line="360" w:lineRule="auto"/>
        <w:jc w:val="left"/>
        <w:outlineLvl w:val="2"/>
        <w:rPr>
          <w:rFonts w:ascii="Times New Roman" w:hAnsi="Times New Roman" w:cs="Times New Roman"/>
          <w:b/>
          <w:color w:val="auto"/>
          <w:sz w:val="30"/>
          <w:szCs w:val="30"/>
        </w:rPr>
      </w:pPr>
      <w:bookmarkStart w:id="397" w:name="_Toc9818"/>
      <w:r>
        <w:rPr>
          <w:rFonts w:ascii="Times New Roman" w:hAnsi="Times New Roman" w:cs="Times New Roman"/>
          <w:b/>
          <w:color w:val="auto"/>
          <w:sz w:val="30"/>
          <w:szCs w:val="30"/>
        </w:rPr>
        <w:t xml:space="preserve">7.1.2 </w:t>
      </w:r>
      <w:bookmarkEnd w:id="397"/>
      <w:r>
        <w:rPr>
          <w:rFonts w:ascii="Times New Roman" w:hAnsi="Times New Roman" w:eastAsia="仿宋_GB2312" w:cs="Times New Roman"/>
          <w:b/>
          <w:color w:val="auto"/>
          <w:sz w:val="30"/>
          <w:szCs w:val="30"/>
        </w:rPr>
        <w:t>编制说明与估算成果</w:t>
      </w:r>
    </w:p>
    <w:p>
      <w:pPr>
        <w:pStyle w:val="7"/>
        <w:snapToGrid w:val="0"/>
        <w:spacing w:line="360" w:lineRule="auto"/>
        <w:rPr>
          <w:rFonts w:eastAsia="仿宋_GB2312"/>
          <w:color w:val="auto"/>
          <w:sz w:val="28"/>
          <w:szCs w:val="28"/>
        </w:rPr>
      </w:pPr>
      <w:r>
        <w:rPr>
          <w:rFonts w:eastAsia="仿宋_GB2312"/>
          <w:color w:val="auto"/>
          <w:sz w:val="28"/>
          <w:szCs w:val="28"/>
        </w:rPr>
        <w:t>7.1.2.1编制说明</w:t>
      </w:r>
    </w:p>
    <w:p>
      <w:pPr>
        <w:widowControl/>
        <w:snapToGrid w:val="0"/>
        <w:spacing w:line="360" w:lineRule="auto"/>
        <w:ind w:firstLine="464" w:firstLineChars="200"/>
        <w:rPr>
          <w:rFonts w:ascii="Times New Roman" w:hAnsi="Times New Roman" w:eastAsia="仿宋_GB2312" w:cs="Times New Roman"/>
          <w:color w:val="auto"/>
          <w:spacing w:val="-4"/>
          <w:kern w:val="0"/>
          <w:szCs w:val="24"/>
        </w:rPr>
      </w:pPr>
      <w:r>
        <w:rPr>
          <w:rFonts w:hint="eastAsia" w:ascii="Times New Roman" w:hAnsi="Times New Roman" w:eastAsia="仿宋_GB2312" w:cs="Times New Roman"/>
          <w:color w:val="auto"/>
          <w:spacing w:val="-4"/>
          <w:kern w:val="0"/>
          <w:szCs w:val="24"/>
        </w:rPr>
        <w:t>（一）</w:t>
      </w:r>
      <w:r>
        <w:rPr>
          <w:rFonts w:ascii="Times New Roman" w:hAnsi="Times New Roman" w:eastAsia="仿宋_GB2312" w:cs="Times New Roman"/>
          <w:color w:val="auto"/>
          <w:spacing w:val="-4"/>
          <w:kern w:val="0"/>
          <w:szCs w:val="24"/>
        </w:rPr>
        <w:t>编制方法</w:t>
      </w:r>
    </w:p>
    <w:p>
      <w:pPr>
        <w:widowControl/>
        <w:snapToGrid w:val="0"/>
        <w:spacing w:line="360" w:lineRule="auto"/>
        <w:ind w:firstLine="464" w:firstLineChars="200"/>
        <w:rPr>
          <w:rFonts w:ascii="Times New Roman" w:hAnsi="Times New Roman" w:eastAsia="仿宋_GB2312" w:cs="Times New Roman"/>
          <w:color w:val="auto"/>
          <w:spacing w:val="-4"/>
          <w:kern w:val="0"/>
          <w:szCs w:val="24"/>
        </w:rPr>
      </w:pPr>
      <w:r>
        <w:rPr>
          <w:rFonts w:ascii="Times New Roman" w:hAnsi="Times New Roman" w:eastAsia="仿宋_GB2312" w:cs="Times New Roman"/>
          <w:color w:val="auto"/>
          <w:spacing w:val="-4"/>
          <w:kern w:val="0"/>
          <w:szCs w:val="24"/>
        </w:rPr>
        <w:t>项目划分：水土保持工程项目划分为工程措施、植物措施、施工临时措施、基本预备费、独立费用、水土保持补偿费六部分。</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（1）工程措施费按设计工程量×工程单价进行编制。</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（2）植物措施费由苗木、草、种子等材料费及种植费组成，其中植物措施材料费按苗木、草、种子的预算价格×数量进行编制。</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（3）施工临时措施包括临时防护工程和其他临时工程两部分，其中临时防护工程费按设计工程量×单价进行编制，其他临时工程按工程措施费、植物措施费的比例计算。</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（4）独立费用由建设管理费、水土保持监理费、科研勘测设计费、水土保持监测费和水土保持设施验收报告编制费。</w:t>
      </w:r>
    </w:p>
    <w:p>
      <w:pPr>
        <w:snapToGrid w:val="0"/>
        <w:spacing w:line="360" w:lineRule="auto"/>
        <w:ind w:firstLine="480" w:firstLineChars="200"/>
        <w:rPr>
          <w:rFonts w:ascii="Times New Roman" w:hAnsi="Times New Roman" w:eastAsia="仿宋_GB2312" w:cs="Times New Roman"/>
          <w:snapToGrid w:val="0"/>
          <w:color w:val="auto"/>
          <w:szCs w:val="24"/>
        </w:rPr>
      </w:pPr>
      <w:r>
        <w:rPr>
          <w:rFonts w:ascii="Times New Roman" w:hAnsi="Times New Roman" w:eastAsia="仿宋_GB2312" w:cs="Times New Roman"/>
          <w:snapToGrid w:val="0"/>
          <w:color w:val="auto"/>
          <w:szCs w:val="24"/>
        </w:rPr>
        <w:t>（5）水土保持补偿费按</w:t>
      </w:r>
      <w:r>
        <w:rPr>
          <w:rFonts w:ascii="Times New Roman" w:hAnsi="Times New Roman" w:eastAsia="仿宋_GB2312" w:cs="Times New Roman"/>
          <w:color w:val="auto"/>
          <w:szCs w:val="24"/>
        </w:rPr>
        <w:t>关于印发《水土保持补偿费征收使用管理办法》的通知（财政部、国家发展改革委、水利部、中国人民银行，财综[2014]8号文）和</w:t>
      </w:r>
      <w:r>
        <w:rPr>
          <w:rFonts w:ascii="Times New Roman" w:hAnsi="Times New Roman" w:eastAsia="仿宋_GB2312" w:cs="Times New Roman"/>
          <w:snapToGrid w:val="0"/>
          <w:color w:val="auto"/>
          <w:szCs w:val="24"/>
        </w:rPr>
        <w:t>按《江西省水土保持设施补偿费、水土流失防治费的收费标准和使用管理办法》的通知（江西省物价局赣价费字[1995]37号、江西省财政厅赣财综字[1995]69号、江西省水利厅赣水水保字[1995]008号文）1元/m</w:t>
      </w:r>
      <w:r>
        <w:rPr>
          <w:rFonts w:ascii="Times New Roman" w:hAnsi="Times New Roman" w:eastAsia="仿宋_GB2312" w:cs="Times New Roman"/>
          <w:snapToGrid w:val="0"/>
          <w:color w:val="auto"/>
          <w:szCs w:val="24"/>
          <w:vertAlign w:val="superscript"/>
        </w:rPr>
        <w:t>2</w:t>
      </w:r>
      <w:r>
        <w:rPr>
          <w:rFonts w:ascii="Times New Roman" w:hAnsi="Times New Roman" w:eastAsia="仿宋_GB2312" w:cs="Times New Roman"/>
          <w:snapToGrid w:val="0"/>
          <w:color w:val="auto"/>
          <w:szCs w:val="24"/>
        </w:rPr>
        <w:t>计取。</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（二）</w:t>
      </w:r>
      <w:r>
        <w:rPr>
          <w:rFonts w:ascii="Times New Roman" w:hAnsi="Times New Roman" w:eastAsia="仿宋_GB2312" w:cs="Times New Roman"/>
          <w:color w:val="auto"/>
          <w:szCs w:val="24"/>
        </w:rPr>
        <w:t>基础单价</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（1）人工预算单价：采用主体工程人工单价</w:t>
      </w:r>
      <w:r>
        <w:rPr>
          <w:rFonts w:hint="eastAsia" w:ascii="Times New Roman" w:hAnsi="Times New Roman" w:eastAsia="仿宋_GB2312" w:cs="Times New Roman"/>
          <w:color w:val="auto"/>
          <w:szCs w:val="24"/>
        </w:rPr>
        <w:t>100</w:t>
      </w:r>
      <w:r>
        <w:rPr>
          <w:rFonts w:ascii="Times New Roman" w:hAnsi="Times New Roman" w:eastAsia="仿宋_GB2312" w:cs="Times New Roman"/>
          <w:color w:val="auto"/>
          <w:szCs w:val="24"/>
        </w:rPr>
        <w:t>元/工日（</w:t>
      </w:r>
      <w:r>
        <w:rPr>
          <w:rFonts w:hint="eastAsia" w:ascii="Times New Roman" w:hAnsi="Times New Roman" w:eastAsia="仿宋_GB2312" w:cs="Times New Roman"/>
          <w:color w:val="auto"/>
          <w:szCs w:val="24"/>
        </w:rPr>
        <w:t>12.5</w:t>
      </w:r>
      <w:r>
        <w:rPr>
          <w:rFonts w:ascii="Times New Roman" w:hAnsi="Times New Roman" w:eastAsia="仿宋_GB2312" w:cs="Times New Roman"/>
          <w:color w:val="auto"/>
          <w:szCs w:val="24"/>
        </w:rPr>
        <w:t>元/工时）；</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2）砂、片石、编织袋、苫布等材料预算价格采用主体工程同类材料预算价格。对于主体工程中没有明确的材料，材料预算价格一般包括材料原价、运杂费、采购及保管费等组成，植物措施材料的采购及保管费费率取1%。</w:t>
      </w:r>
    </w:p>
    <w:p>
      <w:pPr>
        <w:snapToGrid w:val="0"/>
        <w:spacing w:line="360" w:lineRule="auto"/>
        <w:ind w:firstLine="480" w:firstLineChars="200"/>
        <w:rPr>
          <w:rFonts w:ascii="Times New Roman" w:hAnsi="Times New Roman" w:eastAsia="仿宋_GB2312" w:cs="Times New Roman"/>
          <w:snapToGrid w:val="0"/>
          <w:color w:val="auto"/>
          <w:kern w:val="0"/>
          <w:szCs w:val="24"/>
        </w:rPr>
      </w:pPr>
      <w:r>
        <w:rPr>
          <w:rFonts w:ascii="Times New Roman" w:hAnsi="Times New Roman" w:eastAsia="仿宋_GB2312" w:cs="Times New Roman"/>
          <w:snapToGrid w:val="0"/>
          <w:color w:val="auto"/>
          <w:kern w:val="0"/>
          <w:szCs w:val="24"/>
        </w:rPr>
        <w:t>（3）机械台班费：按照《水土保持工程概（估）算编制规定》和</w:t>
      </w:r>
      <w:r>
        <w:rPr>
          <w:rFonts w:ascii="Times New Roman" w:hAnsi="Times New Roman" w:eastAsia="仿宋_GB2312" w:cs="Times New Roman"/>
          <w:color w:val="auto"/>
          <w:szCs w:val="24"/>
        </w:rPr>
        <w:t>《水土保持工程概算定额》</w:t>
      </w:r>
      <w:r>
        <w:rPr>
          <w:rFonts w:ascii="Times New Roman" w:hAnsi="Times New Roman" w:eastAsia="仿宋_GB2312" w:cs="Times New Roman"/>
          <w:snapToGrid w:val="0"/>
          <w:color w:val="auto"/>
          <w:kern w:val="0"/>
          <w:szCs w:val="24"/>
        </w:rPr>
        <w:t>编制，并参考主体工程和省内相邻工程项目该项费用进行确定。</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（三）</w:t>
      </w:r>
      <w:r>
        <w:rPr>
          <w:rFonts w:ascii="Times New Roman" w:hAnsi="Times New Roman" w:eastAsia="仿宋_GB2312" w:cs="Times New Roman"/>
          <w:color w:val="auto"/>
          <w:szCs w:val="24"/>
        </w:rPr>
        <w:t>相关费率</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（1）其他直接费：工程措施按直接费的2.3%计算，植物措施、土地整治工程按直接费的1%计算；</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（2）间接费与现场经费费率标准：</w:t>
      </w:r>
    </w:p>
    <w:p>
      <w:pPr>
        <w:widowControl/>
        <w:spacing w:line="360" w:lineRule="auto"/>
        <w:jc w:val="center"/>
        <w:rPr>
          <w:rFonts w:ascii="Times New Roman" w:hAnsi="Times New Roman" w:eastAsia="仿宋_GB2312" w:cs="Times New Roman"/>
          <w:color w:val="auto"/>
          <w:szCs w:val="24"/>
        </w:rPr>
      </w:pPr>
      <w:r>
        <w:rPr>
          <w:rFonts w:ascii="Times New Roman" w:hAnsi="Times New Roman" w:eastAsia="仿宋_GB2312" w:cs="Times New Roman"/>
          <w:b/>
          <w:color w:val="auto"/>
          <w:szCs w:val="24"/>
        </w:rPr>
        <w:t>表7</w:t>
      </w:r>
      <w:r>
        <w:rPr>
          <w:rFonts w:hint="eastAsia" w:ascii="Times New Roman" w:hAnsi="Times New Roman" w:eastAsia="仿宋_GB2312" w:cs="Times New Roman"/>
          <w:b/>
          <w:color w:val="auto"/>
          <w:szCs w:val="24"/>
        </w:rPr>
        <w:t>.</w:t>
      </w:r>
      <w:r>
        <w:rPr>
          <w:rFonts w:ascii="Times New Roman" w:hAnsi="Times New Roman" w:eastAsia="仿宋_GB2312" w:cs="Times New Roman"/>
          <w:b/>
          <w:color w:val="auto"/>
          <w:szCs w:val="24"/>
        </w:rPr>
        <w:t>1-1：</w:t>
      </w:r>
      <w:r>
        <w:rPr>
          <w:rFonts w:ascii="Times New Roman" w:hAnsi="Times New Roman" w:eastAsia="仿宋_GB2312" w:cs="Times New Roman"/>
          <w:b/>
          <w:bCs/>
          <w:color w:val="auto"/>
          <w:szCs w:val="24"/>
        </w:rPr>
        <w:t>间接费与现场经费费率标准表</w:t>
      </w:r>
    </w:p>
    <w:tbl>
      <w:tblPr>
        <w:tblStyle w:val="37"/>
        <w:tblW w:w="484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22"/>
        <w:gridCol w:w="1398"/>
        <w:gridCol w:w="1748"/>
        <w:gridCol w:w="1748"/>
        <w:gridCol w:w="174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82" w:type="pct"/>
            <w:vMerge w:val="restar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工程类型</w:t>
            </w:r>
          </w:p>
        </w:tc>
        <w:tc>
          <w:tcPr>
            <w:tcW w:w="1904" w:type="pct"/>
            <w:gridSpan w:val="2"/>
            <w:vAlign w:val="center"/>
          </w:tcPr>
          <w:p>
            <w:pPr>
              <w:spacing w:beforeLines="15" w:afterLines="15"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计算基础</w:t>
            </w:r>
          </w:p>
        </w:tc>
        <w:tc>
          <w:tcPr>
            <w:tcW w:w="1058" w:type="pct"/>
            <w:vMerge w:val="restar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现场经费费率（%）</w:t>
            </w:r>
          </w:p>
        </w:tc>
        <w:tc>
          <w:tcPr>
            <w:tcW w:w="1057" w:type="pct"/>
            <w:vMerge w:val="restar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间接费费率（%）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82" w:type="pct"/>
            <w:vMerge w:val="continue"/>
            <w:vAlign w:val="center"/>
          </w:tcPr>
          <w:p>
            <w:pPr>
              <w:spacing w:line="240" w:lineRule="exact"/>
              <w:jc w:val="center"/>
              <w:rPr>
                <w:rFonts w:ascii="Times New Roman" w:hAnsi="Times New Roman" w:eastAsia="仿宋_GB2312" w:cs="Times New Roman"/>
                <w:color w:val="auto"/>
                <w:sz w:val="21"/>
                <w:szCs w:val="21"/>
              </w:rPr>
            </w:pPr>
          </w:p>
        </w:tc>
        <w:tc>
          <w:tcPr>
            <w:tcW w:w="846" w:type="pct"/>
            <w:vAlign w:val="center"/>
          </w:tcPr>
          <w:p>
            <w:pPr>
              <w:spacing w:beforeLines="15" w:afterLines="15"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现场经费</w:t>
            </w:r>
          </w:p>
        </w:tc>
        <w:tc>
          <w:tcPr>
            <w:tcW w:w="1058" w:type="pct"/>
            <w:vAlign w:val="center"/>
          </w:tcPr>
          <w:p>
            <w:pPr>
              <w:spacing w:beforeLines="15" w:afterLines="15"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间接费</w:t>
            </w:r>
          </w:p>
        </w:tc>
        <w:tc>
          <w:tcPr>
            <w:tcW w:w="1058" w:type="pct"/>
            <w:vMerge w:val="continue"/>
            <w:vAlign w:val="center"/>
          </w:tcPr>
          <w:p>
            <w:pPr>
              <w:spacing w:line="240" w:lineRule="exact"/>
              <w:jc w:val="center"/>
              <w:rPr>
                <w:rFonts w:ascii="Times New Roman" w:hAnsi="Times New Roman" w:eastAsia="仿宋_GB2312" w:cs="Times New Roman"/>
                <w:color w:val="auto"/>
                <w:sz w:val="21"/>
                <w:szCs w:val="21"/>
              </w:rPr>
            </w:pPr>
          </w:p>
        </w:tc>
        <w:tc>
          <w:tcPr>
            <w:tcW w:w="1057" w:type="pct"/>
            <w:vMerge w:val="continue"/>
            <w:vAlign w:val="center"/>
          </w:tcPr>
          <w:p>
            <w:pPr>
              <w:spacing w:line="240" w:lineRule="exact"/>
              <w:jc w:val="center"/>
              <w:rPr>
                <w:rFonts w:ascii="Times New Roman" w:hAnsi="Times New Roman" w:eastAsia="仿宋_GB2312"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82" w:type="pct"/>
            <w:vAlign w:val="center"/>
          </w:tcPr>
          <w:p>
            <w:pPr>
              <w:spacing w:beforeLines="15" w:afterLines="15"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土石方工程</w:t>
            </w:r>
          </w:p>
        </w:tc>
        <w:tc>
          <w:tcPr>
            <w:tcW w:w="846"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直接费</w:t>
            </w:r>
          </w:p>
        </w:tc>
        <w:tc>
          <w:tcPr>
            <w:tcW w:w="1058"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直接工程费</w:t>
            </w:r>
          </w:p>
        </w:tc>
        <w:tc>
          <w:tcPr>
            <w:tcW w:w="1058"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4.0</w:t>
            </w:r>
          </w:p>
        </w:tc>
        <w:tc>
          <w:tcPr>
            <w:tcW w:w="1057"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4.4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82" w:type="pct"/>
            <w:vAlign w:val="center"/>
          </w:tcPr>
          <w:p>
            <w:pPr>
              <w:spacing w:beforeLines="15" w:afterLines="15"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植物措施</w:t>
            </w:r>
          </w:p>
        </w:tc>
        <w:tc>
          <w:tcPr>
            <w:tcW w:w="846"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直接费</w:t>
            </w:r>
          </w:p>
        </w:tc>
        <w:tc>
          <w:tcPr>
            <w:tcW w:w="1058"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直接工程费</w:t>
            </w:r>
          </w:p>
        </w:tc>
        <w:tc>
          <w:tcPr>
            <w:tcW w:w="1058"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4.0</w:t>
            </w:r>
          </w:p>
        </w:tc>
        <w:tc>
          <w:tcPr>
            <w:tcW w:w="1057"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82" w:type="pct"/>
            <w:vAlign w:val="center"/>
          </w:tcPr>
          <w:p>
            <w:pPr>
              <w:spacing w:beforeLines="15" w:afterLines="15"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土地整治工程</w:t>
            </w:r>
          </w:p>
        </w:tc>
        <w:tc>
          <w:tcPr>
            <w:tcW w:w="846"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直接费</w:t>
            </w:r>
          </w:p>
        </w:tc>
        <w:tc>
          <w:tcPr>
            <w:tcW w:w="1058"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直接工程费</w:t>
            </w:r>
          </w:p>
        </w:tc>
        <w:tc>
          <w:tcPr>
            <w:tcW w:w="1058"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3.0</w:t>
            </w:r>
          </w:p>
        </w:tc>
        <w:tc>
          <w:tcPr>
            <w:tcW w:w="1057"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82" w:type="pct"/>
            <w:vAlign w:val="center"/>
          </w:tcPr>
          <w:p>
            <w:pPr>
              <w:spacing w:beforeLines="15" w:afterLines="15"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混凝土工程</w:t>
            </w:r>
          </w:p>
        </w:tc>
        <w:tc>
          <w:tcPr>
            <w:tcW w:w="846"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直接费</w:t>
            </w:r>
          </w:p>
        </w:tc>
        <w:tc>
          <w:tcPr>
            <w:tcW w:w="1058"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直接工程费</w:t>
            </w:r>
          </w:p>
        </w:tc>
        <w:tc>
          <w:tcPr>
            <w:tcW w:w="1058"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6.0</w:t>
            </w:r>
          </w:p>
        </w:tc>
        <w:tc>
          <w:tcPr>
            <w:tcW w:w="1057"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4.3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82" w:type="pct"/>
            <w:vAlign w:val="center"/>
          </w:tcPr>
          <w:p>
            <w:pPr>
              <w:spacing w:beforeLines="15" w:afterLines="15"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其他工程</w:t>
            </w:r>
          </w:p>
        </w:tc>
        <w:tc>
          <w:tcPr>
            <w:tcW w:w="846"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直接费</w:t>
            </w:r>
          </w:p>
        </w:tc>
        <w:tc>
          <w:tcPr>
            <w:tcW w:w="1058"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直接工程费</w:t>
            </w:r>
          </w:p>
        </w:tc>
        <w:tc>
          <w:tcPr>
            <w:tcW w:w="1058"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5.0</w:t>
            </w:r>
          </w:p>
        </w:tc>
        <w:tc>
          <w:tcPr>
            <w:tcW w:w="1057"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4.4</w:t>
            </w:r>
          </w:p>
        </w:tc>
      </w:tr>
    </w:tbl>
    <w:p>
      <w:pPr>
        <w:snapToGrid w:val="0"/>
        <w:spacing w:beforeLines="50"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（3）利润：工程措施按直接工程费和间接费之和的7%计算，植物措施按直接工程费和间接费之和的5%进行计算。</w:t>
      </w:r>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（4）税金：9%（根据《关于重新调整江西省建设工程计价依据增值税税率的通知》（赣建价〔2019〕1号）调整至9%）。</w:t>
      </w:r>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（5）扩大系数：10%</w:t>
      </w:r>
    </w:p>
    <w:p>
      <w:pPr>
        <w:spacing w:line="360" w:lineRule="auto"/>
        <w:jc w:val="center"/>
        <w:rPr>
          <w:rFonts w:ascii="Times New Roman" w:hAnsi="Times New Roman" w:eastAsia="仿宋_GB2312" w:cs="Times New Roman"/>
          <w:b/>
          <w:bCs/>
          <w:color w:val="auto"/>
          <w:szCs w:val="24"/>
        </w:rPr>
      </w:pPr>
      <w:r>
        <w:rPr>
          <w:rFonts w:ascii="Times New Roman" w:hAnsi="Times New Roman" w:eastAsia="仿宋_GB2312" w:cs="Times New Roman"/>
          <w:b/>
          <w:color w:val="auto"/>
        </w:rPr>
        <w:t>表7</w:t>
      </w:r>
      <w:r>
        <w:rPr>
          <w:rFonts w:hint="eastAsia" w:ascii="Times New Roman" w:hAnsi="Times New Roman" w:eastAsia="仿宋_GB2312" w:cs="Times New Roman"/>
          <w:b/>
          <w:color w:val="auto"/>
        </w:rPr>
        <w:t>.</w:t>
      </w:r>
      <w:r>
        <w:rPr>
          <w:rFonts w:ascii="Times New Roman" w:hAnsi="Times New Roman" w:eastAsia="仿宋_GB2312" w:cs="Times New Roman"/>
          <w:b/>
          <w:color w:val="auto"/>
        </w:rPr>
        <w:t>1-2：</w:t>
      </w:r>
      <w:r>
        <w:rPr>
          <w:rFonts w:ascii="Times New Roman" w:hAnsi="Times New Roman" w:eastAsia="仿宋_GB2312" w:cs="Times New Roman"/>
          <w:b/>
          <w:bCs/>
          <w:color w:val="auto"/>
          <w:szCs w:val="24"/>
        </w:rPr>
        <w:t>工程单价取费费率表</w:t>
      </w:r>
    </w:p>
    <w:tbl>
      <w:tblPr>
        <w:tblStyle w:val="37"/>
        <w:tblW w:w="915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11"/>
        <w:gridCol w:w="1361"/>
        <w:gridCol w:w="1307"/>
        <w:gridCol w:w="1386"/>
        <w:gridCol w:w="1417"/>
        <w:gridCol w:w="1560"/>
        <w:gridCol w:w="141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1"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序号</w:t>
            </w:r>
          </w:p>
        </w:tc>
        <w:tc>
          <w:tcPr>
            <w:tcW w:w="1361"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项目或</w:t>
            </w:r>
          </w:p>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费用名称</w:t>
            </w:r>
          </w:p>
        </w:tc>
        <w:tc>
          <w:tcPr>
            <w:tcW w:w="1307"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土石方工程</w:t>
            </w:r>
          </w:p>
        </w:tc>
        <w:tc>
          <w:tcPr>
            <w:tcW w:w="1386"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植物工程</w:t>
            </w:r>
          </w:p>
        </w:tc>
        <w:tc>
          <w:tcPr>
            <w:tcW w:w="1417"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土地整治工程</w:t>
            </w:r>
          </w:p>
        </w:tc>
        <w:tc>
          <w:tcPr>
            <w:tcW w:w="1560"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混凝土工程</w:t>
            </w:r>
          </w:p>
        </w:tc>
        <w:tc>
          <w:tcPr>
            <w:tcW w:w="1417"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其他工程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711"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一</w:t>
            </w:r>
          </w:p>
        </w:tc>
        <w:tc>
          <w:tcPr>
            <w:tcW w:w="1361"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直接工程费</w:t>
            </w:r>
          </w:p>
        </w:tc>
        <w:tc>
          <w:tcPr>
            <w:tcW w:w="1307" w:type="dxa"/>
            <w:vAlign w:val="center"/>
          </w:tcPr>
          <w:p>
            <w:pPr>
              <w:widowControl/>
              <w:spacing w:line="240" w:lineRule="exact"/>
              <w:jc w:val="center"/>
              <w:rPr>
                <w:rFonts w:ascii="Times New Roman" w:hAnsi="Times New Roman" w:eastAsia="仿宋_GB2312" w:cs="Times New Roman"/>
                <w:color w:val="auto"/>
                <w:kern w:val="0"/>
                <w:sz w:val="21"/>
                <w:szCs w:val="21"/>
              </w:rPr>
            </w:pPr>
          </w:p>
        </w:tc>
        <w:tc>
          <w:tcPr>
            <w:tcW w:w="1386" w:type="dxa"/>
            <w:vAlign w:val="center"/>
          </w:tcPr>
          <w:p>
            <w:pPr>
              <w:widowControl/>
              <w:spacing w:line="240" w:lineRule="exact"/>
              <w:jc w:val="center"/>
              <w:rPr>
                <w:rFonts w:ascii="Times New Roman" w:hAnsi="Times New Roman" w:eastAsia="仿宋_GB2312" w:cs="Times New Roman"/>
                <w:color w:val="auto"/>
                <w:kern w:val="0"/>
                <w:sz w:val="21"/>
                <w:szCs w:val="21"/>
              </w:rPr>
            </w:pPr>
          </w:p>
        </w:tc>
        <w:tc>
          <w:tcPr>
            <w:tcW w:w="1417" w:type="dxa"/>
            <w:vAlign w:val="center"/>
          </w:tcPr>
          <w:p>
            <w:pPr>
              <w:widowControl/>
              <w:spacing w:line="240" w:lineRule="exact"/>
              <w:jc w:val="center"/>
              <w:rPr>
                <w:rFonts w:ascii="Times New Roman" w:hAnsi="Times New Roman" w:eastAsia="仿宋_GB2312" w:cs="Times New Roman"/>
                <w:color w:val="auto"/>
                <w:kern w:val="0"/>
                <w:sz w:val="21"/>
                <w:szCs w:val="21"/>
              </w:rPr>
            </w:pPr>
          </w:p>
        </w:tc>
        <w:tc>
          <w:tcPr>
            <w:tcW w:w="1560" w:type="dxa"/>
            <w:vAlign w:val="center"/>
          </w:tcPr>
          <w:p>
            <w:pPr>
              <w:widowControl/>
              <w:spacing w:line="240" w:lineRule="exact"/>
              <w:jc w:val="center"/>
              <w:rPr>
                <w:rFonts w:ascii="Times New Roman" w:hAnsi="Times New Roman" w:eastAsia="仿宋_GB2312" w:cs="Times New Roman"/>
                <w:color w:val="auto"/>
                <w:kern w:val="0"/>
                <w:sz w:val="21"/>
                <w:szCs w:val="21"/>
              </w:rPr>
            </w:pPr>
          </w:p>
        </w:tc>
        <w:tc>
          <w:tcPr>
            <w:tcW w:w="1417" w:type="dxa"/>
            <w:vAlign w:val="center"/>
          </w:tcPr>
          <w:p>
            <w:pPr>
              <w:widowControl/>
              <w:spacing w:line="240" w:lineRule="exact"/>
              <w:jc w:val="center"/>
              <w:rPr>
                <w:rFonts w:ascii="Times New Roman" w:hAnsi="Times New Roman" w:eastAsia="仿宋_GB2312"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2" w:hRule="atLeast"/>
          <w:jc w:val="center"/>
        </w:trPr>
        <w:tc>
          <w:tcPr>
            <w:tcW w:w="711"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1</w:t>
            </w:r>
          </w:p>
        </w:tc>
        <w:tc>
          <w:tcPr>
            <w:tcW w:w="1361"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直接费</w:t>
            </w:r>
          </w:p>
        </w:tc>
        <w:tc>
          <w:tcPr>
            <w:tcW w:w="1307"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1.0000</w:t>
            </w:r>
          </w:p>
        </w:tc>
        <w:tc>
          <w:tcPr>
            <w:tcW w:w="1386"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1.0000</w:t>
            </w:r>
          </w:p>
        </w:tc>
        <w:tc>
          <w:tcPr>
            <w:tcW w:w="1417"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1.0000</w:t>
            </w:r>
          </w:p>
        </w:tc>
        <w:tc>
          <w:tcPr>
            <w:tcW w:w="1560"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1.0000</w:t>
            </w:r>
          </w:p>
        </w:tc>
        <w:tc>
          <w:tcPr>
            <w:tcW w:w="1417"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1.0000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1"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2</w:t>
            </w:r>
          </w:p>
        </w:tc>
        <w:tc>
          <w:tcPr>
            <w:tcW w:w="1361"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其它直接费</w:t>
            </w:r>
          </w:p>
        </w:tc>
        <w:tc>
          <w:tcPr>
            <w:tcW w:w="1307"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直接费×2.3%</w:t>
            </w:r>
          </w:p>
        </w:tc>
        <w:tc>
          <w:tcPr>
            <w:tcW w:w="1386"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直接费×1%</w:t>
            </w:r>
          </w:p>
        </w:tc>
        <w:tc>
          <w:tcPr>
            <w:tcW w:w="1417"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直接费×1%</w:t>
            </w:r>
          </w:p>
        </w:tc>
        <w:tc>
          <w:tcPr>
            <w:tcW w:w="1560"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直接费×2.3%</w:t>
            </w:r>
          </w:p>
        </w:tc>
        <w:tc>
          <w:tcPr>
            <w:tcW w:w="1417"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直接费×2.3%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1"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3</w:t>
            </w:r>
          </w:p>
        </w:tc>
        <w:tc>
          <w:tcPr>
            <w:tcW w:w="1361"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现场经费</w:t>
            </w:r>
          </w:p>
        </w:tc>
        <w:tc>
          <w:tcPr>
            <w:tcW w:w="1307"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直接费×4%</w:t>
            </w:r>
          </w:p>
        </w:tc>
        <w:tc>
          <w:tcPr>
            <w:tcW w:w="1386"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直接费×4%</w:t>
            </w:r>
          </w:p>
        </w:tc>
        <w:tc>
          <w:tcPr>
            <w:tcW w:w="1417"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直接费×3%</w:t>
            </w:r>
          </w:p>
        </w:tc>
        <w:tc>
          <w:tcPr>
            <w:tcW w:w="1560"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直接费×6%</w:t>
            </w:r>
          </w:p>
        </w:tc>
        <w:tc>
          <w:tcPr>
            <w:tcW w:w="1417"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直接费×5%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1"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二</w:t>
            </w:r>
          </w:p>
        </w:tc>
        <w:tc>
          <w:tcPr>
            <w:tcW w:w="1361"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间接费</w:t>
            </w:r>
          </w:p>
        </w:tc>
        <w:tc>
          <w:tcPr>
            <w:tcW w:w="1307"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直接工程费×4.4%</w:t>
            </w:r>
          </w:p>
        </w:tc>
        <w:tc>
          <w:tcPr>
            <w:tcW w:w="1386"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sz w:val="21"/>
                <w:szCs w:val="21"/>
              </w:rPr>
              <w:t>直接工程费×3.3%</w:t>
            </w:r>
          </w:p>
        </w:tc>
        <w:tc>
          <w:tcPr>
            <w:tcW w:w="1417"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sz w:val="21"/>
                <w:szCs w:val="21"/>
              </w:rPr>
              <w:t>直接工程费×3.3%</w:t>
            </w:r>
          </w:p>
        </w:tc>
        <w:tc>
          <w:tcPr>
            <w:tcW w:w="1560"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直接工程费×4.3%</w:t>
            </w:r>
          </w:p>
        </w:tc>
        <w:tc>
          <w:tcPr>
            <w:tcW w:w="1417"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直接工程费×4.4%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1"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三</w:t>
            </w:r>
          </w:p>
        </w:tc>
        <w:tc>
          <w:tcPr>
            <w:tcW w:w="1361"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利润</w:t>
            </w:r>
          </w:p>
        </w:tc>
        <w:tc>
          <w:tcPr>
            <w:tcW w:w="7087" w:type="dxa"/>
            <w:gridSpan w:val="5"/>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（直接工程费＋间接费）×7%（或×5%）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1"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四</w:t>
            </w:r>
          </w:p>
        </w:tc>
        <w:tc>
          <w:tcPr>
            <w:tcW w:w="1361"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税金</w:t>
            </w:r>
          </w:p>
        </w:tc>
        <w:tc>
          <w:tcPr>
            <w:tcW w:w="7087" w:type="dxa"/>
            <w:gridSpan w:val="5"/>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（直接工程费＋间接费＋利润）×9%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1"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五</w:t>
            </w:r>
          </w:p>
        </w:tc>
        <w:tc>
          <w:tcPr>
            <w:tcW w:w="1361" w:type="dxa"/>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扩大系数</w:t>
            </w:r>
          </w:p>
        </w:tc>
        <w:tc>
          <w:tcPr>
            <w:tcW w:w="7087" w:type="dxa"/>
            <w:gridSpan w:val="5"/>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（直接工程费＋间接费＋利润+税金）10%</w:t>
            </w:r>
          </w:p>
        </w:tc>
      </w:tr>
    </w:tbl>
    <w:p>
      <w:pPr>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（6）其他临时工程费：按工程与植物措施投资之和的2%计列。</w:t>
      </w:r>
    </w:p>
    <w:p>
      <w:pPr>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（7）独立费用标准：</w:t>
      </w:r>
    </w:p>
    <w:p>
      <w:pPr>
        <w:snapToGrid w:val="0"/>
        <w:spacing w:line="360" w:lineRule="auto"/>
        <w:ind w:firstLine="480" w:firstLineChars="200"/>
        <w:rPr>
          <w:rFonts w:ascii="Times New Roman" w:hAnsi="Times New Roman" w:eastAsia="仿宋_GB2312" w:cs="Times New Roman"/>
          <w:color w:val="auto"/>
          <w:szCs w:val="24"/>
        </w:rPr>
      </w:pPr>
      <w:r>
        <w:rPr>
          <w:rFonts w:hint="eastAsia" w:ascii="仿宋_GB2312" w:hAnsi="宋体" w:eastAsia="仿宋_GB2312" w:cs="宋体"/>
          <w:color w:val="auto"/>
          <w:szCs w:val="24"/>
        </w:rPr>
        <w:t>①</w:t>
      </w:r>
      <w:r>
        <w:rPr>
          <w:rFonts w:ascii="Times New Roman" w:hAnsi="Times New Roman" w:eastAsia="仿宋_GB2312" w:cs="Times New Roman"/>
          <w:color w:val="auto"/>
          <w:szCs w:val="24"/>
        </w:rPr>
        <w:t>建设管理费：按新增水土保持措施投资的2.0%计列；</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②</w:t>
      </w:r>
      <w:r>
        <w:rPr>
          <w:rFonts w:ascii="Times New Roman" w:hAnsi="Times New Roman" w:eastAsia="仿宋_GB2312" w:cs="Times New Roman"/>
          <w:color w:val="auto"/>
          <w:szCs w:val="24"/>
        </w:rPr>
        <w:t>科研勘测设计费：</w:t>
      </w:r>
      <w:r>
        <w:rPr>
          <w:rFonts w:hint="eastAsia" w:ascii="Times New Roman" w:hAnsi="Times New Roman" w:eastAsia="仿宋_GB2312" w:cs="Times New Roman"/>
          <w:color w:val="auto"/>
          <w:szCs w:val="24"/>
        </w:rPr>
        <w:t>参考</w:t>
      </w:r>
      <w:r>
        <w:rPr>
          <w:rFonts w:ascii="Times New Roman" w:hAnsi="Times New Roman" w:eastAsia="仿宋_GB2312" w:cs="Times New Roman"/>
          <w:color w:val="auto"/>
          <w:szCs w:val="24"/>
        </w:rPr>
        <w:t>《工程勘察设计收费标准》（国家计委、建设部计价格[2002]10号文）计列，并根据实际情况调整；</w:t>
      </w:r>
    </w:p>
    <w:p>
      <w:pPr>
        <w:widowControl/>
        <w:adjustRightInd w:val="0"/>
        <w:snapToGrid w:val="0"/>
        <w:spacing w:line="360" w:lineRule="auto"/>
        <w:ind w:firstLine="480" w:firstLineChars="200"/>
        <w:jc w:val="left"/>
        <w:rPr>
          <w:rFonts w:ascii="Times New Roman" w:hAnsi="Times New Roman" w:eastAsia="仿宋_GB2312" w:cs="Times New Roman"/>
          <w:color w:val="auto"/>
          <w:szCs w:val="24"/>
        </w:rPr>
      </w:pPr>
      <w:r>
        <w:rPr>
          <w:rFonts w:hint="eastAsia" w:ascii="仿宋_GB2312" w:hAnsi="宋体" w:eastAsia="仿宋_GB2312" w:cs="宋体"/>
          <w:color w:val="auto"/>
          <w:szCs w:val="24"/>
        </w:rPr>
        <w:t>③</w:t>
      </w:r>
      <w:r>
        <w:rPr>
          <w:rFonts w:ascii="Times New Roman" w:hAnsi="Times New Roman" w:eastAsia="仿宋_GB2312" w:cs="Times New Roman"/>
          <w:color w:val="auto"/>
          <w:szCs w:val="24"/>
        </w:rPr>
        <w:t>水土保持监理费：</w:t>
      </w:r>
      <w:r>
        <w:rPr>
          <w:rFonts w:hint="eastAsia" w:ascii="Times New Roman" w:hAnsi="Times New Roman" w:eastAsia="仿宋_GB2312" w:cs="Times New Roman"/>
          <w:color w:val="auto"/>
          <w:szCs w:val="24"/>
        </w:rPr>
        <w:t>参考</w:t>
      </w:r>
      <w:r>
        <w:rPr>
          <w:rFonts w:ascii="Times New Roman" w:hAnsi="Times New Roman" w:eastAsia="仿宋_GB2312" w:cs="Times New Roman"/>
          <w:color w:val="auto"/>
          <w:szCs w:val="24"/>
        </w:rPr>
        <w:t>《建设工程监理与相关服务收费管理规定》（发改价格[2007]670号文）及</w:t>
      </w:r>
      <w:r>
        <w:rPr>
          <w:rFonts w:ascii="Times New Roman" w:hAnsi="Times New Roman" w:eastAsia="仿宋_GB2312" w:cs="Times New Roman"/>
          <w:color w:val="auto"/>
          <w:spacing w:val="-4"/>
          <w:kern w:val="0"/>
          <w:szCs w:val="24"/>
        </w:rPr>
        <w:t>相关行业标准的</w:t>
      </w:r>
      <w:r>
        <w:rPr>
          <w:rFonts w:ascii="Times New Roman" w:hAnsi="Times New Roman" w:eastAsia="仿宋_GB2312" w:cs="Times New Roman"/>
          <w:color w:val="auto"/>
          <w:szCs w:val="24"/>
        </w:rPr>
        <w:t>有关规定计列，并根据实际情况调整；</w:t>
      </w:r>
    </w:p>
    <w:p>
      <w:pPr>
        <w:snapToGrid w:val="0"/>
        <w:spacing w:line="360" w:lineRule="auto"/>
        <w:ind w:firstLine="480" w:firstLineChars="200"/>
        <w:rPr>
          <w:rFonts w:ascii="Times New Roman" w:hAnsi="Times New Roman" w:eastAsia="仿宋_GB2312" w:cs="Times New Roman"/>
          <w:color w:val="auto"/>
          <w:szCs w:val="24"/>
        </w:rPr>
      </w:pPr>
      <w:r>
        <w:rPr>
          <w:rFonts w:hint="eastAsia" w:ascii="仿宋_GB2312" w:hAnsi="宋体" w:eastAsia="仿宋_GB2312" w:cs="宋体"/>
          <w:color w:val="auto"/>
          <w:szCs w:val="24"/>
        </w:rPr>
        <w:t>④</w:t>
      </w:r>
      <w:r>
        <w:rPr>
          <w:rFonts w:ascii="Times New Roman" w:hAnsi="Times New Roman" w:eastAsia="仿宋_GB2312" w:cs="Times New Roman"/>
          <w:color w:val="auto"/>
          <w:szCs w:val="24"/>
        </w:rPr>
        <w:t>水土保持监测费：包括监测土建设施费、消耗性材料费、监测设备折旧费和监测人工费等；</w:t>
      </w:r>
    </w:p>
    <w:p>
      <w:pPr>
        <w:snapToGrid w:val="0"/>
        <w:spacing w:line="360" w:lineRule="auto"/>
        <w:ind w:firstLine="480" w:firstLineChars="200"/>
        <w:rPr>
          <w:rFonts w:ascii="Times New Roman" w:hAnsi="Times New Roman" w:eastAsia="仿宋_GB2312" w:cs="Times New Roman"/>
          <w:color w:val="auto"/>
          <w:szCs w:val="24"/>
        </w:rPr>
      </w:pPr>
      <w:r>
        <w:rPr>
          <w:rFonts w:hint="eastAsia" w:ascii="仿宋_GB2312" w:hAnsi="宋体" w:eastAsia="仿宋_GB2312" w:cs="宋体"/>
          <w:color w:val="auto"/>
          <w:szCs w:val="24"/>
        </w:rPr>
        <w:t>⑤</w:t>
      </w:r>
      <w:r>
        <w:rPr>
          <w:rFonts w:ascii="Times New Roman" w:hAnsi="Times New Roman" w:eastAsia="仿宋_GB2312" w:cs="Times New Roman"/>
          <w:color w:val="auto"/>
          <w:kern w:val="0"/>
          <w:szCs w:val="24"/>
        </w:rPr>
        <w:t>水土保持设施验收费</w:t>
      </w:r>
      <w:r>
        <w:rPr>
          <w:rFonts w:ascii="Times New Roman" w:hAnsi="Times New Roman" w:eastAsia="仿宋_GB2312" w:cs="Times New Roman"/>
          <w:color w:val="auto"/>
          <w:szCs w:val="24"/>
        </w:rPr>
        <w:t>：参</w:t>
      </w:r>
      <w:r>
        <w:rPr>
          <w:rFonts w:hint="eastAsia" w:ascii="Times New Roman" w:hAnsi="Times New Roman" w:eastAsia="仿宋_GB2312" w:cs="Times New Roman"/>
          <w:color w:val="auto"/>
          <w:szCs w:val="24"/>
        </w:rPr>
        <w:t>考</w:t>
      </w:r>
      <w:r>
        <w:rPr>
          <w:rFonts w:ascii="Times New Roman" w:hAnsi="Times New Roman" w:eastAsia="仿宋_GB2312" w:cs="Times New Roman"/>
          <w:color w:val="auto"/>
          <w:szCs w:val="24"/>
        </w:rPr>
        <w:t>国家价格主管部门和有关行业的标准计列，并根据实际情况调整；</w:t>
      </w:r>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（8）水土保持补偿费：</w:t>
      </w:r>
      <w:r>
        <w:rPr>
          <w:rFonts w:ascii="Times New Roman" w:hAnsi="Times New Roman" w:eastAsia="仿宋_GB2312" w:cs="Times New Roman"/>
          <w:snapToGrid w:val="0"/>
          <w:color w:val="auto"/>
          <w:szCs w:val="24"/>
        </w:rPr>
        <w:t>按</w:t>
      </w:r>
      <w:r>
        <w:rPr>
          <w:rFonts w:ascii="Times New Roman" w:hAnsi="Times New Roman" w:eastAsia="仿宋_GB2312" w:cs="Times New Roman"/>
          <w:color w:val="auto"/>
          <w:szCs w:val="24"/>
        </w:rPr>
        <w:t>关于印发《水土保持补偿费征收使用管理办法》的通知（财政部、国家发展改革委、水利部、中国人民银行，财综[2014]8号文）和根据《江西省水土保持设施补偿费、水土流失防治费的收费标准和使用管理办法》，水土保持设施补偿费按</w:t>
      </w:r>
      <w:r>
        <w:rPr>
          <w:rFonts w:hint="eastAsia" w:ascii="Times New Roman" w:hAnsi="Times New Roman" w:eastAsia="仿宋_GB2312" w:cs="Times New Roman"/>
          <w:color w:val="auto"/>
          <w:szCs w:val="24"/>
        </w:rPr>
        <w:t>用地</w:t>
      </w:r>
      <w:r>
        <w:rPr>
          <w:rFonts w:ascii="Times New Roman" w:hAnsi="Times New Roman" w:eastAsia="仿宋_GB2312" w:cs="Times New Roman"/>
          <w:color w:val="auto"/>
          <w:szCs w:val="24"/>
        </w:rPr>
        <w:t>面积1元/m</w:t>
      </w:r>
      <w:r>
        <w:rPr>
          <w:rFonts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计价；</w:t>
      </w:r>
    </w:p>
    <w:p>
      <w:pPr>
        <w:snapToGrid w:val="0"/>
        <w:spacing w:line="360" w:lineRule="auto"/>
        <w:ind w:firstLine="480" w:firstLineChars="200"/>
        <w:jc w:val="left"/>
        <w:rPr>
          <w:rFonts w:ascii="Times New Roman" w:hAnsi="Times New Roman" w:eastAsia="仿宋_GB2312" w:cs="Times New Roman"/>
          <w:color w:val="auto"/>
          <w:szCs w:val="24"/>
        </w:rPr>
      </w:pPr>
      <w:r>
        <w:rPr>
          <w:rFonts w:ascii="Times New Roman" w:hAnsi="Times New Roman" w:eastAsia="仿宋_GB2312" w:cs="Times New Roman"/>
          <w:color w:val="auto"/>
          <w:szCs w:val="24"/>
        </w:rPr>
        <w:t>（9）基本预备费：水土保持措施投资及独立费用之和的6%。</w:t>
      </w:r>
    </w:p>
    <w:p>
      <w:pPr>
        <w:pStyle w:val="7"/>
        <w:snapToGrid w:val="0"/>
        <w:spacing w:line="360" w:lineRule="auto"/>
        <w:rPr>
          <w:rFonts w:eastAsia="仿宋_GB2312"/>
          <w:color w:val="auto"/>
          <w:sz w:val="28"/>
          <w:szCs w:val="28"/>
        </w:rPr>
      </w:pPr>
      <w:r>
        <w:rPr>
          <w:rFonts w:eastAsia="仿宋_GB2312"/>
          <w:color w:val="auto"/>
          <w:sz w:val="28"/>
          <w:szCs w:val="28"/>
        </w:rPr>
        <w:t>7.1.2.2估算成果</w:t>
      </w:r>
    </w:p>
    <w:p>
      <w:pPr>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（一）</w:t>
      </w:r>
      <w:r>
        <w:rPr>
          <w:rFonts w:ascii="Times New Roman" w:hAnsi="Times New Roman" w:eastAsia="仿宋_GB2312" w:cs="Times New Roman"/>
          <w:color w:val="auto"/>
          <w:szCs w:val="24"/>
        </w:rPr>
        <w:t>投资估算</w:t>
      </w:r>
    </w:p>
    <w:p>
      <w:pPr>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区域水土保持总投资</w:t>
      </w:r>
      <w:r>
        <w:rPr>
          <w:rFonts w:hint="eastAsia" w:ascii="Times New Roman" w:hAnsi="Times New Roman" w:eastAsia="仿宋_GB2312" w:cs="Times New Roman"/>
          <w:color w:val="auto"/>
          <w:szCs w:val="24"/>
          <w:lang w:val="en-US" w:eastAsia="zh-CN"/>
        </w:rPr>
        <w:t>2718.61</w:t>
      </w:r>
      <w:r>
        <w:rPr>
          <w:rFonts w:ascii="Times New Roman" w:hAnsi="Times New Roman" w:eastAsia="仿宋_GB2312" w:cs="Times New Roman"/>
          <w:color w:val="auto"/>
          <w:szCs w:val="24"/>
        </w:rPr>
        <w:t>万元（包括主体已列投资</w:t>
      </w:r>
      <w:r>
        <w:rPr>
          <w:rFonts w:hint="eastAsia" w:ascii="Times New Roman" w:hAnsi="Times New Roman" w:eastAsia="仿宋_GB2312" w:cs="Times New Roman"/>
          <w:color w:val="auto"/>
          <w:szCs w:val="24"/>
          <w:lang w:val="en-US" w:eastAsia="zh-CN"/>
        </w:rPr>
        <w:t>2087.93</w:t>
      </w:r>
      <w:r>
        <w:rPr>
          <w:rFonts w:ascii="Times New Roman" w:hAnsi="Times New Roman" w:eastAsia="仿宋_GB2312" w:cs="Times New Roman"/>
          <w:color w:val="auto"/>
          <w:szCs w:val="24"/>
        </w:rPr>
        <w:t>万元），其中：工程措施费</w:t>
      </w:r>
      <w:r>
        <w:rPr>
          <w:rFonts w:hint="eastAsia" w:ascii="Times New Roman" w:hAnsi="Times New Roman" w:eastAsia="仿宋_GB2312" w:cs="Times New Roman"/>
          <w:color w:val="auto"/>
          <w:szCs w:val="24"/>
          <w:lang w:val="en-US" w:eastAsia="zh-CN"/>
        </w:rPr>
        <w:t>779.11</w:t>
      </w:r>
      <w:r>
        <w:rPr>
          <w:rFonts w:ascii="Times New Roman" w:hAnsi="Times New Roman" w:eastAsia="仿宋_GB2312" w:cs="Times New Roman"/>
          <w:color w:val="auto"/>
          <w:szCs w:val="24"/>
        </w:rPr>
        <w:t>万元，植物措施费</w:t>
      </w:r>
      <w:r>
        <w:rPr>
          <w:rFonts w:hint="eastAsia" w:ascii="Times New Roman" w:hAnsi="Times New Roman" w:eastAsia="仿宋_GB2312" w:cs="Times New Roman"/>
          <w:color w:val="auto"/>
          <w:szCs w:val="24"/>
          <w:lang w:val="en-US" w:eastAsia="zh-CN"/>
        </w:rPr>
        <w:t>1027.56</w:t>
      </w:r>
      <w:r>
        <w:rPr>
          <w:rFonts w:ascii="Times New Roman" w:hAnsi="Times New Roman" w:eastAsia="仿宋_GB2312" w:cs="Times New Roman"/>
          <w:color w:val="auto"/>
          <w:szCs w:val="24"/>
        </w:rPr>
        <w:t>万元，临时措施费</w:t>
      </w:r>
      <w:r>
        <w:rPr>
          <w:rFonts w:hint="eastAsia" w:ascii="Times New Roman" w:hAnsi="Times New Roman" w:eastAsia="仿宋_GB2312" w:cs="Times New Roman"/>
          <w:color w:val="auto"/>
          <w:szCs w:val="24"/>
          <w:lang w:val="en-US" w:eastAsia="zh-CN"/>
        </w:rPr>
        <w:t>375.62</w:t>
      </w:r>
      <w:r>
        <w:rPr>
          <w:rFonts w:ascii="Times New Roman" w:hAnsi="Times New Roman" w:eastAsia="仿宋_GB2312" w:cs="Times New Roman"/>
          <w:color w:val="auto"/>
          <w:szCs w:val="24"/>
        </w:rPr>
        <w:t>万元，独立费用</w:t>
      </w:r>
      <w:r>
        <w:rPr>
          <w:rFonts w:hint="eastAsia" w:ascii="Times New Roman" w:hAnsi="Times New Roman" w:eastAsia="仿宋_GB2312" w:cs="Times New Roman"/>
          <w:color w:val="auto"/>
          <w:szCs w:val="24"/>
          <w:lang w:val="en-US" w:eastAsia="zh-CN"/>
        </w:rPr>
        <w:t>288.11</w:t>
      </w:r>
      <w:r>
        <w:rPr>
          <w:rFonts w:ascii="Times New Roman" w:hAnsi="Times New Roman" w:eastAsia="仿宋_GB2312" w:cs="Times New Roman"/>
          <w:color w:val="auto"/>
          <w:szCs w:val="24"/>
        </w:rPr>
        <w:t>万元（其中水土保持监理费</w:t>
      </w:r>
      <w:r>
        <w:rPr>
          <w:rFonts w:hint="eastAsia" w:ascii="Times New Roman" w:hAnsi="Times New Roman" w:eastAsia="仿宋_GB2312" w:cs="Times New Roman"/>
          <w:color w:val="auto"/>
          <w:szCs w:val="24"/>
          <w:lang w:val="en-US" w:eastAsia="zh-CN"/>
        </w:rPr>
        <w:t>81.26</w:t>
      </w:r>
      <w:r>
        <w:rPr>
          <w:rFonts w:ascii="Times New Roman" w:hAnsi="Times New Roman" w:eastAsia="仿宋_GB2312" w:cs="Times New Roman"/>
          <w:color w:val="auto"/>
          <w:szCs w:val="24"/>
        </w:rPr>
        <w:t>万元，水土保持监测费</w:t>
      </w:r>
      <w:r>
        <w:rPr>
          <w:rFonts w:hint="eastAsia" w:ascii="Times New Roman" w:hAnsi="Times New Roman" w:eastAsia="仿宋_GB2312" w:cs="Times New Roman"/>
          <w:color w:val="auto"/>
          <w:szCs w:val="24"/>
          <w:lang w:val="en-US" w:eastAsia="zh-CN"/>
        </w:rPr>
        <w:t>48.66</w:t>
      </w:r>
      <w:r>
        <w:rPr>
          <w:rFonts w:ascii="Times New Roman" w:hAnsi="Times New Roman" w:eastAsia="仿宋_GB2312" w:cs="Times New Roman"/>
          <w:color w:val="auto"/>
          <w:szCs w:val="24"/>
        </w:rPr>
        <w:t>万元），基本预备费</w:t>
      </w:r>
      <w:r>
        <w:rPr>
          <w:rFonts w:hint="eastAsia" w:ascii="Times New Roman" w:hAnsi="Times New Roman" w:eastAsia="仿宋_GB2312" w:cs="Times New Roman"/>
          <w:color w:val="auto"/>
          <w:szCs w:val="24"/>
          <w:lang w:val="en-US" w:eastAsia="zh-CN"/>
        </w:rPr>
        <w:t>148.22</w:t>
      </w:r>
      <w:r>
        <w:rPr>
          <w:rFonts w:ascii="Times New Roman" w:hAnsi="Times New Roman" w:eastAsia="仿宋_GB2312" w:cs="Times New Roman"/>
          <w:color w:val="auto"/>
          <w:szCs w:val="24"/>
        </w:rPr>
        <w:t>万元，水土保持补偿费</w:t>
      </w:r>
      <w:r>
        <w:rPr>
          <w:rFonts w:hint="eastAsia" w:ascii="Times New Roman" w:hAnsi="Times New Roman" w:eastAsia="仿宋_GB2312" w:cs="Times New Roman"/>
          <w:color w:val="auto"/>
          <w:szCs w:val="24"/>
        </w:rPr>
        <w:t>100</w:t>
      </w:r>
      <w:r>
        <w:rPr>
          <w:rFonts w:ascii="Times New Roman" w:hAnsi="Times New Roman" w:eastAsia="仿宋_GB2312" w:cs="Times New Roman"/>
          <w:color w:val="auto"/>
          <w:szCs w:val="24"/>
        </w:rPr>
        <w:t>万元。</w:t>
      </w:r>
    </w:p>
    <w:p>
      <w:pPr>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（二）</w:t>
      </w:r>
      <w:r>
        <w:rPr>
          <w:rFonts w:ascii="Times New Roman" w:hAnsi="Times New Roman" w:eastAsia="仿宋_GB2312" w:cs="Times New Roman"/>
          <w:color w:val="auto"/>
          <w:szCs w:val="24"/>
        </w:rPr>
        <w:t>分年度投资安排</w:t>
      </w:r>
    </w:p>
    <w:p>
      <w:pPr>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评估</w:t>
      </w:r>
      <w:r>
        <w:rPr>
          <w:rFonts w:ascii="Times New Roman" w:hAnsi="Times New Roman" w:eastAsia="仿宋_GB2312" w:cs="Times New Roman"/>
          <w:color w:val="auto"/>
          <w:szCs w:val="24"/>
        </w:rPr>
        <w:t>区域水土保持工程总投资</w:t>
      </w:r>
      <w:r>
        <w:rPr>
          <w:rFonts w:hint="eastAsia" w:ascii="Times New Roman" w:hAnsi="Times New Roman" w:eastAsia="仿宋_GB2312" w:cs="Times New Roman"/>
          <w:color w:val="auto"/>
          <w:szCs w:val="24"/>
          <w:lang w:val="en-US" w:eastAsia="zh-CN"/>
        </w:rPr>
        <w:t>2718.61</w:t>
      </w:r>
      <w:r>
        <w:rPr>
          <w:rFonts w:ascii="Times New Roman" w:hAnsi="Times New Roman" w:eastAsia="仿宋_GB2312" w:cs="Times New Roman"/>
          <w:color w:val="auto"/>
          <w:szCs w:val="24"/>
        </w:rPr>
        <w:t>万元，年度计划安排为：20</w:t>
      </w:r>
      <w:r>
        <w:rPr>
          <w:rFonts w:hint="eastAsia" w:ascii="Times New Roman" w:hAnsi="Times New Roman" w:eastAsia="仿宋_GB2312" w:cs="Times New Roman"/>
          <w:color w:val="auto"/>
          <w:szCs w:val="24"/>
        </w:rPr>
        <w:t>21</w:t>
      </w:r>
      <w:r>
        <w:rPr>
          <w:rFonts w:ascii="Times New Roman" w:hAnsi="Times New Roman" w:eastAsia="仿宋_GB2312" w:cs="Times New Roman"/>
          <w:color w:val="auto"/>
          <w:szCs w:val="24"/>
        </w:rPr>
        <w:t>年</w:t>
      </w:r>
      <w:r>
        <w:rPr>
          <w:rFonts w:hint="eastAsia" w:ascii="Times New Roman" w:hAnsi="Times New Roman" w:eastAsia="仿宋_GB2312" w:cs="Times New Roman"/>
          <w:color w:val="auto"/>
          <w:szCs w:val="24"/>
          <w:lang w:val="en-US" w:eastAsia="zh-CN"/>
        </w:rPr>
        <w:t>221.34</w:t>
      </w:r>
      <w:r>
        <w:rPr>
          <w:rFonts w:ascii="Times New Roman" w:hAnsi="Times New Roman" w:eastAsia="仿宋_GB2312" w:cs="Times New Roman"/>
          <w:color w:val="auto"/>
          <w:szCs w:val="24"/>
        </w:rPr>
        <w:t>万元，20</w:t>
      </w:r>
      <w:r>
        <w:rPr>
          <w:rFonts w:hint="eastAsia" w:ascii="Times New Roman" w:hAnsi="Times New Roman" w:eastAsia="仿宋_GB2312" w:cs="Times New Roman"/>
          <w:color w:val="auto"/>
          <w:szCs w:val="24"/>
        </w:rPr>
        <w:t>22</w:t>
      </w:r>
      <w:r>
        <w:rPr>
          <w:rFonts w:ascii="Times New Roman" w:hAnsi="Times New Roman" w:eastAsia="仿宋_GB2312" w:cs="Times New Roman"/>
          <w:color w:val="auto"/>
          <w:szCs w:val="24"/>
        </w:rPr>
        <w:t>年</w:t>
      </w:r>
      <w:r>
        <w:rPr>
          <w:rFonts w:hint="eastAsia" w:ascii="Times New Roman" w:hAnsi="Times New Roman" w:eastAsia="仿宋_GB2312" w:cs="Times New Roman"/>
          <w:color w:val="auto"/>
          <w:szCs w:val="24"/>
          <w:lang w:val="en-US" w:eastAsia="zh-CN"/>
        </w:rPr>
        <w:t>295.03</w:t>
      </w:r>
      <w:r>
        <w:rPr>
          <w:rFonts w:ascii="Times New Roman" w:hAnsi="Times New Roman" w:eastAsia="仿宋_GB2312" w:cs="Times New Roman"/>
          <w:color w:val="auto"/>
          <w:szCs w:val="24"/>
        </w:rPr>
        <w:t>万元，20</w:t>
      </w:r>
      <w:r>
        <w:rPr>
          <w:rFonts w:hint="eastAsia" w:ascii="Times New Roman" w:hAnsi="Times New Roman" w:eastAsia="仿宋_GB2312" w:cs="Times New Roman"/>
          <w:color w:val="auto"/>
          <w:szCs w:val="24"/>
        </w:rPr>
        <w:t>23</w:t>
      </w:r>
      <w:r>
        <w:rPr>
          <w:rFonts w:ascii="Times New Roman" w:hAnsi="Times New Roman" w:eastAsia="仿宋_GB2312" w:cs="Times New Roman"/>
          <w:color w:val="auto"/>
          <w:szCs w:val="24"/>
        </w:rPr>
        <w:t>年</w:t>
      </w:r>
      <w:r>
        <w:rPr>
          <w:rFonts w:hint="eastAsia" w:ascii="Times New Roman" w:hAnsi="Times New Roman" w:eastAsia="仿宋_GB2312" w:cs="Times New Roman"/>
          <w:color w:val="auto"/>
          <w:szCs w:val="24"/>
          <w:lang w:val="en-US" w:eastAsia="zh-CN"/>
        </w:rPr>
        <w:t>496.70</w:t>
      </w:r>
      <w:r>
        <w:rPr>
          <w:rFonts w:ascii="Times New Roman" w:hAnsi="Times New Roman" w:eastAsia="仿宋_GB2312" w:cs="Times New Roman"/>
          <w:color w:val="auto"/>
          <w:szCs w:val="24"/>
        </w:rPr>
        <w:t>万元，202</w:t>
      </w:r>
      <w:r>
        <w:rPr>
          <w:rFonts w:hint="eastAsia" w:ascii="Times New Roman" w:hAnsi="Times New Roman" w:eastAsia="仿宋_GB2312" w:cs="Times New Roman"/>
          <w:color w:val="auto"/>
          <w:szCs w:val="24"/>
        </w:rPr>
        <w:t>4</w:t>
      </w:r>
      <w:r>
        <w:rPr>
          <w:rFonts w:ascii="Times New Roman" w:hAnsi="Times New Roman" w:eastAsia="仿宋_GB2312" w:cs="Times New Roman"/>
          <w:color w:val="auto"/>
          <w:szCs w:val="24"/>
        </w:rPr>
        <w:t>年</w:t>
      </w:r>
      <w:r>
        <w:rPr>
          <w:rFonts w:hint="eastAsia" w:ascii="Times New Roman" w:hAnsi="Times New Roman" w:eastAsia="仿宋_GB2312" w:cs="Times New Roman"/>
          <w:color w:val="auto"/>
          <w:szCs w:val="24"/>
          <w:lang w:val="en-US" w:eastAsia="zh-CN"/>
        </w:rPr>
        <w:t>795.18</w:t>
      </w:r>
      <w:r>
        <w:rPr>
          <w:rFonts w:ascii="Times New Roman" w:hAnsi="Times New Roman" w:eastAsia="仿宋_GB2312" w:cs="Times New Roman"/>
          <w:color w:val="auto"/>
          <w:szCs w:val="24"/>
        </w:rPr>
        <w:t>万元，202</w:t>
      </w:r>
      <w:r>
        <w:rPr>
          <w:rFonts w:hint="eastAsia" w:ascii="Times New Roman" w:hAnsi="Times New Roman" w:eastAsia="仿宋_GB2312" w:cs="Times New Roman"/>
          <w:color w:val="auto"/>
          <w:szCs w:val="24"/>
        </w:rPr>
        <w:t>5</w:t>
      </w:r>
      <w:r>
        <w:rPr>
          <w:rFonts w:ascii="Times New Roman" w:hAnsi="Times New Roman" w:eastAsia="仿宋_GB2312" w:cs="Times New Roman"/>
          <w:color w:val="auto"/>
          <w:szCs w:val="24"/>
        </w:rPr>
        <w:t>年</w:t>
      </w:r>
      <w:r>
        <w:rPr>
          <w:rFonts w:hint="eastAsia" w:ascii="Times New Roman" w:hAnsi="Times New Roman" w:eastAsia="仿宋_GB2312" w:cs="Times New Roman"/>
          <w:color w:val="auto"/>
          <w:szCs w:val="24"/>
          <w:lang w:val="en-US" w:eastAsia="zh-CN"/>
        </w:rPr>
        <w:t>856.52</w:t>
      </w:r>
      <w:r>
        <w:rPr>
          <w:rFonts w:ascii="Times New Roman" w:hAnsi="Times New Roman" w:eastAsia="仿宋_GB2312" w:cs="Times New Roman"/>
          <w:color w:val="auto"/>
          <w:szCs w:val="24"/>
        </w:rPr>
        <w:t>万元，202</w:t>
      </w:r>
      <w:r>
        <w:rPr>
          <w:rFonts w:hint="eastAsia" w:ascii="Times New Roman" w:hAnsi="Times New Roman" w:eastAsia="仿宋_GB2312" w:cs="Times New Roman"/>
          <w:color w:val="auto"/>
          <w:szCs w:val="24"/>
        </w:rPr>
        <w:t>6</w:t>
      </w:r>
      <w:r>
        <w:rPr>
          <w:rFonts w:ascii="Times New Roman" w:hAnsi="Times New Roman" w:eastAsia="仿宋_GB2312" w:cs="Times New Roman"/>
          <w:color w:val="auto"/>
          <w:szCs w:val="24"/>
        </w:rPr>
        <w:t>年</w:t>
      </w:r>
      <w:r>
        <w:rPr>
          <w:rFonts w:hint="eastAsia" w:ascii="Times New Roman" w:hAnsi="Times New Roman" w:eastAsia="仿宋_GB2312" w:cs="Times New Roman"/>
          <w:color w:val="auto"/>
          <w:szCs w:val="24"/>
          <w:lang w:val="en-US" w:eastAsia="zh-CN"/>
        </w:rPr>
        <w:t>53.83</w:t>
      </w:r>
      <w:r>
        <w:rPr>
          <w:rFonts w:ascii="Times New Roman" w:hAnsi="Times New Roman" w:eastAsia="仿宋_GB2312" w:cs="Times New Roman"/>
          <w:color w:val="auto"/>
          <w:szCs w:val="24"/>
        </w:rPr>
        <w:t>万元。</w:t>
      </w:r>
    </w:p>
    <w:p>
      <w:pPr>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（三）</w:t>
      </w:r>
      <w:r>
        <w:rPr>
          <w:rFonts w:ascii="Times New Roman" w:hAnsi="Times New Roman" w:eastAsia="仿宋_GB2312" w:cs="Times New Roman"/>
          <w:color w:val="auto"/>
          <w:szCs w:val="24"/>
        </w:rPr>
        <w:t>投资</w:t>
      </w:r>
      <w:r>
        <w:rPr>
          <w:rFonts w:hint="eastAsia" w:ascii="Times New Roman" w:hAnsi="Times New Roman" w:eastAsia="仿宋_GB2312" w:cs="Times New Roman"/>
          <w:color w:val="auto"/>
          <w:szCs w:val="24"/>
        </w:rPr>
        <w:t>估</w:t>
      </w:r>
      <w:r>
        <w:rPr>
          <w:rFonts w:ascii="Times New Roman" w:hAnsi="Times New Roman" w:eastAsia="仿宋_GB2312" w:cs="Times New Roman"/>
          <w:color w:val="auto"/>
          <w:szCs w:val="24"/>
        </w:rPr>
        <w:t>算表</w:t>
      </w:r>
    </w:p>
    <w:p>
      <w:pPr>
        <w:spacing w:line="360" w:lineRule="auto"/>
        <w:ind w:firstLine="480" w:firstLineChars="200"/>
        <w:rPr>
          <w:rFonts w:ascii="Times New Roman" w:hAnsi="Times New Roman" w:eastAsia="仿宋_GB2312"/>
          <w:color w:val="auto"/>
        </w:rPr>
      </w:pPr>
      <w:bookmarkStart w:id="398" w:name="_Toc439243940"/>
      <w:bookmarkStart w:id="399" w:name="_Toc514431485"/>
      <w:bookmarkStart w:id="400" w:name="_Toc514432629"/>
      <w:bookmarkStart w:id="401" w:name="_Toc499039903"/>
      <w:bookmarkStart w:id="402" w:name="_Toc451799243"/>
      <w:bookmarkStart w:id="403" w:name="_Toc20517"/>
      <w:bookmarkStart w:id="404" w:name="_Toc514430875"/>
      <w:bookmarkStart w:id="405" w:name="_Toc5483"/>
      <w:bookmarkStart w:id="406" w:name="_Toc23576"/>
      <w:bookmarkStart w:id="407" w:name="_Toc9989"/>
      <w:bookmarkStart w:id="408" w:name="_Toc26030"/>
      <w:bookmarkStart w:id="409" w:name="_Toc182"/>
      <w:r>
        <w:rPr>
          <w:rFonts w:ascii="Times New Roman" w:hAnsi="Times New Roman" w:eastAsia="仿宋_GB2312"/>
          <w:color w:val="auto"/>
        </w:rPr>
        <w:t>（1）表7</w:t>
      </w:r>
      <w:r>
        <w:rPr>
          <w:rFonts w:hint="eastAsia" w:ascii="Times New Roman" w:hAnsi="Times New Roman" w:eastAsia="仿宋_GB2312"/>
          <w:color w:val="auto"/>
        </w:rPr>
        <w:t>.</w:t>
      </w:r>
      <w:r>
        <w:rPr>
          <w:rFonts w:ascii="Times New Roman" w:hAnsi="Times New Roman" w:eastAsia="仿宋_GB2312"/>
          <w:color w:val="auto"/>
        </w:rPr>
        <w:t>1-</w:t>
      </w:r>
      <w:r>
        <w:rPr>
          <w:rFonts w:hint="eastAsia" w:ascii="Times New Roman" w:hAnsi="Times New Roman" w:eastAsia="仿宋_GB2312"/>
          <w:color w:val="auto"/>
        </w:rPr>
        <w:t>3</w:t>
      </w:r>
      <w:r>
        <w:rPr>
          <w:rFonts w:ascii="Times New Roman" w:hAnsi="Times New Roman" w:eastAsia="仿宋_GB2312"/>
          <w:color w:val="auto"/>
        </w:rPr>
        <w:t>投资估算总表</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（2）表7</w:t>
      </w:r>
      <w:r>
        <w:rPr>
          <w:rFonts w:hint="eastAsia" w:ascii="Times New Roman" w:hAnsi="Times New Roman" w:eastAsia="仿宋_GB2312"/>
          <w:color w:val="auto"/>
        </w:rPr>
        <w:t>.</w:t>
      </w:r>
      <w:r>
        <w:rPr>
          <w:rFonts w:ascii="Times New Roman" w:hAnsi="Times New Roman" w:eastAsia="仿宋_GB2312"/>
          <w:color w:val="auto"/>
        </w:rPr>
        <w:t>1-</w:t>
      </w:r>
      <w:r>
        <w:rPr>
          <w:rFonts w:hint="eastAsia" w:ascii="Times New Roman" w:hAnsi="Times New Roman" w:eastAsia="仿宋_GB2312"/>
          <w:color w:val="auto"/>
        </w:rPr>
        <w:t>4</w:t>
      </w:r>
      <w:r>
        <w:rPr>
          <w:rFonts w:ascii="Times New Roman" w:hAnsi="Times New Roman" w:eastAsia="仿宋_GB2312"/>
          <w:color w:val="auto"/>
        </w:rPr>
        <w:t>分区措施投资表</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（3）表7</w:t>
      </w:r>
      <w:r>
        <w:rPr>
          <w:rFonts w:hint="eastAsia" w:ascii="Times New Roman" w:hAnsi="Times New Roman" w:eastAsia="仿宋_GB2312"/>
          <w:color w:val="auto"/>
        </w:rPr>
        <w:t>.</w:t>
      </w:r>
      <w:r>
        <w:rPr>
          <w:rFonts w:ascii="Times New Roman" w:hAnsi="Times New Roman" w:eastAsia="仿宋_GB2312"/>
          <w:color w:val="auto"/>
        </w:rPr>
        <w:t>1-</w:t>
      </w:r>
      <w:r>
        <w:rPr>
          <w:rFonts w:hint="eastAsia" w:ascii="Times New Roman" w:hAnsi="Times New Roman" w:eastAsia="仿宋_GB2312"/>
          <w:color w:val="auto"/>
        </w:rPr>
        <w:t>6</w:t>
      </w:r>
      <w:r>
        <w:rPr>
          <w:rFonts w:ascii="Times New Roman" w:hAnsi="Times New Roman" w:eastAsia="仿宋_GB2312"/>
          <w:color w:val="auto"/>
        </w:rPr>
        <w:t>分年度投资估算表</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（4）表7</w:t>
      </w:r>
      <w:r>
        <w:rPr>
          <w:rFonts w:hint="eastAsia" w:ascii="Times New Roman" w:hAnsi="Times New Roman" w:eastAsia="仿宋_GB2312"/>
          <w:color w:val="auto"/>
        </w:rPr>
        <w:t>.</w:t>
      </w:r>
      <w:r>
        <w:rPr>
          <w:rFonts w:ascii="Times New Roman" w:hAnsi="Times New Roman" w:eastAsia="仿宋_GB2312"/>
          <w:color w:val="auto"/>
        </w:rPr>
        <w:t>1-</w:t>
      </w:r>
      <w:r>
        <w:rPr>
          <w:rFonts w:hint="eastAsia" w:ascii="Times New Roman" w:hAnsi="Times New Roman" w:eastAsia="仿宋_GB2312"/>
          <w:color w:val="auto"/>
        </w:rPr>
        <w:t>7</w:t>
      </w:r>
      <w:r>
        <w:rPr>
          <w:rFonts w:ascii="Times New Roman" w:hAnsi="Times New Roman" w:eastAsia="仿宋_GB2312"/>
          <w:color w:val="auto"/>
        </w:rPr>
        <w:t>独立费用计算表</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（5）表7</w:t>
      </w:r>
      <w:r>
        <w:rPr>
          <w:rFonts w:hint="eastAsia" w:ascii="Times New Roman" w:hAnsi="Times New Roman" w:eastAsia="仿宋_GB2312"/>
          <w:color w:val="auto"/>
        </w:rPr>
        <w:t>.1</w:t>
      </w:r>
      <w:r>
        <w:rPr>
          <w:rFonts w:ascii="Times New Roman" w:hAnsi="Times New Roman" w:eastAsia="仿宋_GB2312"/>
          <w:color w:val="auto"/>
        </w:rPr>
        <w:t>-</w:t>
      </w:r>
      <w:r>
        <w:rPr>
          <w:rFonts w:hint="eastAsia" w:ascii="Times New Roman" w:hAnsi="Times New Roman" w:eastAsia="仿宋_GB2312"/>
          <w:color w:val="auto"/>
        </w:rPr>
        <w:t>8</w:t>
      </w:r>
      <w:r>
        <w:rPr>
          <w:rFonts w:ascii="Times New Roman" w:hAnsi="Times New Roman" w:eastAsia="仿宋_GB2312"/>
          <w:color w:val="auto"/>
        </w:rPr>
        <w:t>水土保持补偿费计算表</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（6）表7.1-9工程单价汇总表</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（7）表7.1-10施工机械台时费汇总表</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（8）表7.1-11主要材料单价汇总表</w:t>
      </w:r>
    </w:p>
    <w:p>
      <w:pPr>
        <w:snapToGrid w:val="0"/>
        <w:spacing w:line="360" w:lineRule="auto"/>
        <w:jc w:val="center"/>
        <w:rPr>
          <w:rFonts w:ascii="Times New Roman" w:hAnsi="Times New Roman" w:eastAsia="仿宋_GB2312" w:cs="Times New Roman"/>
          <w:color w:val="auto"/>
          <w:szCs w:val="24"/>
        </w:rPr>
      </w:pPr>
      <w:r>
        <w:rPr>
          <w:rFonts w:ascii="Times New Roman" w:hAnsi="Times New Roman" w:eastAsia="仿宋_GB2312" w:cs="Times New Roman"/>
          <w:b/>
          <w:color w:val="auto"/>
          <w:szCs w:val="24"/>
        </w:rPr>
        <w:t>表7</w:t>
      </w:r>
      <w:r>
        <w:rPr>
          <w:rFonts w:hint="eastAsia" w:ascii="Times New Roman" w:hAnsi="Times New Roman" w:eastAsia="仿宋_GB2312" w:cs="Times New Roman"/>
          <w:b/>
          <w:color w:val="auto"/>
          <w:szCs w:val="24"/>
        </w:rPr>
        <w:t>.</w:t>
      </w:r>
      <w:r>
        <w:rPr>
          <w:rFonts w:ascii="Times New Roman" w:hAnsi="Times New Roman" w:eastAsia="仿宋_GB2312" w:cs="Times New Roman"/>
          <w:b/>
          <w:color w:val="auto"/>
          <w:szCs w:val="24"/>
        </w:rPr>
        <w:t>1-3：投资估</w:t>
      </w:r>
      <w:r>
        <w:rPr>
          <w:rFonts w:ascii="Times New Roman" w:hAnsi="Times New Roman" w:eastAsia="仿宋_GB2312" w:cs="Times New Roman"/>
          <w:b/>
          <w:bCs/>
          <w:color w:val="auto"/>
          <w:szCs w:val="24"/>
        </w:rPr>
        <w:t>算总表（</w:t>
      </w:r>
      <w:r>
        <w:rPr>
          <w:rFonts w:ascii="Times New Roman" w:hAnsi="Times New Roman" w:eastAsia="仿宋_GB2312" w:cs="Times New Roman"/>
          <w:b/>
          <w:color w:val="auto"/>
          <w:szCs w:val="24"/>
        </w:rPr>
        <w:t>单位：万元）</w:t>
      </w:r>
    </w:p>
    <w:tbl>
      <w:tblPr>
        <w:tblStyle w:val="37"/>
        <w:tblW w:w="499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638"/>
        <w:gridCol w:w="2106"/>
        <w:gridCol w:w="899"/>
        <w:gridCol w:w="1486"/>
        <w:gridCol w:w="794"/>
        <w:gridCol w:w="899"/>
        <w:gridCol w:w="900"/>
        <w:gridCol w:w="79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5" w:hRule="atLeast"/>
        </w:trPr>
        <w:tc>
          <w:tcPr>
            <w:tcW w:w="470" w:type="pct"/>
            <w:vMerge w:val="restar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序号</w:t>
            </w:r>
          </w:p>
        </w:tc>
        <w:tc>
          <w:tcPr>
            <w:tcW w:w="888" w:type="pct"/>
            <w:vMerge w:val="restar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工程或费用名称</w:t>
            </w:r>
          </w:p>
        </w:tc>
        <w:tc>
          <w:tcPr>
            <w:tcW w:w="2116" w:type="pct"/>
            <w:gridSpan w:val="3"/>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水保投资</w:t>
            </w:r>
          </w:p>
        </w:tc>
        <w:tc>
          <w:tcPr>
            <w:tcW w:w="471"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合计</w:t>
            </w:r>
          </w:p>
        </w:tc>
        <w:tc>
          <w:tcPr>
            <w:tcW w:w="525"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主体工程已列投资</w:t>
            </w:r>
          </w:p>
        </w:tc>
        <w:tc>
          <w:tcPr>
            <w:tcW w:w="525"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本</w:t>
            </w:r>
            <w:r>
              <w:rPr>
                <w:rFonts w:hint="eastAsia" w:ascii="Times New Roman" w:hAnsi="Times New Roman" w:eastAsia="仿宋_GB2312" w:cs="Times New Roman"/>
                <w:b/>
                <w:bCs/>
                <w:i w:val="0"/>
                <w:iCs w:val="0"/>
                <w:color w:val="auto"/>
                <w:kern w:val="0"/>
                <w:sz w:val="21"/>
                <w:szCs w:val="21"/>
                <w:u w:val="none"/>
                <w:lang w:val="en-US" w:eastAsia="zh-CN" w:bidi="ar"/>
              </w:rPr>
              <w:t>报告</w:t>
            </w:r>
            <w:r>
              <w:rPr>
                <w:rFonts w:hint="default" w:ascii="Times New Roman" w:hAnsi="Times New Roman" w:eastAsia="仿宋_GB2312" w:cs="Times New Roman"/>
                <w:b/>
                <w:bCs/>
                <w:i w:val="0"/>
                <w:iCs w:val="0"/>
                <w:color w:val="auto"/>
                <w:kern w:val="0"/>
                <w:sz w:val="21"/>
                <w:szCs w:val="21"/>
                <w:u w:val="none"/>
                <w:lang w:val="en-US" w:eastAsia="zh-CN" w:bidi="ar"/>
              </w:rPr>
              <w:t>新增投资</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5" w:hRule="atLeast"/>
        </w:trPr>
        <w:tc>
          <w:tcPr>
            <w:tcW w:w="470" w:type="pct"/>
            <w:vMerge w:val="continue"/>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888" w:type="pct"/>
            <w:vMerge w:val="continue"/>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4"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建安工程费</w:t>
            </w:r>
          </w:p>
        </w:tc>
        <w:tc>
          <w:tcPr>
            <w:tcW w:w="1171"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植物措施费</w:t>
            </w:r>
          </w:p>
        </w:tc>
        <w:tc>
          <w:tcPr>
            <w:tcW w:w="470"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独立费用</w:t>
            </w:r>
          </w:p>
        </w:tc>
        <w:tc>
          <w:tcPr>
            <w:tcW w:w="471"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525"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525"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80" w:hRule="atLeast"/>
        </w:trPr>
        <w:tc>
          <w:tcPr>
            <w:tcW w:w="470" w:type="pct"/>
            <w:vMerge w:val="continue"/>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888" w:type="pct"/>
            <w:vMerge w:val="continue"/>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4"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1171"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0"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1"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525"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525"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Ⅰ</w:t>
            </w:r>
          </w:p>
        </w:tc>
        <w:tc>
          <w:tcPr>
            <w:tcW w:w="8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工程措施</w:t>
            </w:r>
          </w:p>
        </w:tc>
        <w:tc>
          <w:tcPr>
            <w:tcW w:w="47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779.11</w:t>
            </w:r>
          </w:p>
        </w:tc>
        <w:tc>
          <w:tcPr>
            <w:tcW w:w="1171"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0"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779.11</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713.08</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66.03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w:t>
            </w:r>
          </w:p>
        </w:tc>
        <w:tc>
          <w:tcPr>
            <w:tcW w:w="8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公共基础设施防治区</w:t>
            </w:r>
          </w:p>
        </w:tc>
        <w:tc>
          <w:tcPr>
            <w:tcW w:w="47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730.96</w:t>
            </w:r>
          </w:p>
        </w:tc>
        <w:tc>
          <w:tcPr>
            <w:tcW w:w="1171"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0"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4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730.96</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664.93</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66.03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w:t>
            </w:r>
          </w:p>
        </w:tc>
        <w:tc>
          <w:tcPr>
            <w:tcW w:w="8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区域规划功能防治区</w:t>
            </w:r>
          </w:p>
        </w:tc>
        <w:tc>
          <w:tcPr>
            <w:tcW w:w="47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48.15</w:t>
            </w:r>
          </w:p>
        </w:tc>
        <w:tc>
          <w:tcPr>
            <w:tcW w:w="1171"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0"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4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48.15</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48.15</w:t>
            </w:r>
          </w:p>
        </w:tc>
        <w:tc>
          <w:tcPr>
            <w:tcW w:w="52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Ⅱ</w:t>
            </w:r>
          </w:p>
        </w:tc>
        <w:tc>
          <w:tcPr>
            <w:tcW w:w="8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植物措施</w:t>
            </w:r>
          </w:p>
        </w:tc>
        <w:tc>
          <w:tcPr>
            <w:tcW w:w="47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11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1027.56</w:t>
            </w:r>
          </w:p>
        </w:tc>
        <w:tc>
          <w:tcPr>
            <w:tcW w:w="470"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1027.56</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1027.56</w:t>
            </w:r>
          </w:p>
        </w:tc>
        <w:tc>
          <w:tcPr>
            <w:tcW w:w="52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w:t>
            </w:r>
          </w:p>
        </w:tc>
        <w:tc>
          <w:tcPr>
            <w:tcW w:w="8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公共基础设施防治区</w:t>
            </w:r>
          </w:p>
        </w:tc>
        <w:tc>
          <w:tcPr>
            <w:tcW w:w="47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11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1015.44</w:t>
            </w:r>
          </w:p>
        </w:tc>
        <w:tc>
          <w:tcPr>
            <w:tcW w:w="470"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4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1015.44</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1015.44</w:t>
            </w:r>
          </w:p>
        </w:tc>
        <w:tc>
          <w:tcPr>
            <w:tcW w:w="52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w:t>
            </w:r>
          </w:p>
        </w:tc>
        <w:tc>
          <w:tcPr>
            <w:tcW w:w="8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区域规划功能防治区</w:t>
            </w:r>
          </w:p>
        </w:tc>
        <w:tc>
          <w:tcPr>
            <w:tcW w:w="47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11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12.12</w:t>
            </w:r>
          </w:p>
        </w:tc>
        <w:tc>
          <w:tcPr>
            <w:tcW w:w="470"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12.12</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12.12</w:t>
            </w:r>
          </w:p>
        </w:tc>
        <w:tc>
          <w:tcPr>
            <w:tcW w:w="52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Ⅲ</w:t>
            </w:r>
          </w:p>
        </w:tc>
        <w:tc>
          <w:tcPr>
            <w:tcW w:w="8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临时措施</w:t>
            </w:r>
          </w:p>
        </w:tc>
        <w:tc>
          <w:tcPr>
            <w:tcW w:w="47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375.62</w:t>
            </w:r>
          </w:p>
        </w:tc>
        <w:tc>
          <w:tcPr>
            <w:tcW w:w="1171"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0"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375.62</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34.81</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340.80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一</w:t>
            </w:r>
          </w:p>
        </w:tc>
        <w:tc>
          <w:tcPr>
            <w:tcW w:w="8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临时工程</w:t>
            </w:r>
          </w:p>
        </w:tc>
        <w:tc>
          <w:tcPr>
            <w:tcW w:w="47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339.48</w:t>
            </w:r>
          </w:p>
        </w:tc>
        <w:tc>
          <w:tcPr>
            <w:tcW w:w="1171"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0"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4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339.48</w:t>
            </w:r>
          </w:p>
        </w:tc>
        <w:tc>
          <w:tcPr>
            <w:tcW w:w="52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339.48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w:t>
            </w:r>
          </w:p>
        </w:tc>
        <w:tc>
          <w:tcPr>
            <w:tcW w:w="8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公共基础设施防治区</w:t>
            </w:r>
          </w:p>
        </w:tc>
        <w:tc>
          <w:tcPr>
            <w:tcW w:w="47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190.76</w:t>
            </w:r>
          </w:p>
        </w:tc>
        <w:tc>
          <w:tcPr>
            <w:tcW w:w="1171"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0"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4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190.76</w:t>
            </w:r>
          </w:p>
        </w:tc>
        <w:tc>
          <w:tcPr>
            <w:tcW w:w="52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190.76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w:t>
            </w:r>
          </w:p>
        </w:tc>
        <w:tc>
          <w:tcPr>
            <w:tcW w:w="8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区域规划功能防治区</w:t>
            </w:r>
          </w:p>
        </w:tc>
        <w:tc>
          <w:tcPr>
            <w:tcW w:w="47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88.78</w:t>
            </w:r>
          </w:p>
        </w:tc>
        <w:tc>
          <w:tcPr>
            <w:tcW w:w="1171"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0"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4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88.78</w:t>
            </w:r>
          </w:p>
        </w:tc>
        <w:tc>
          <w:tcPr>
            <w:tcW w:w="52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88.78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3</w:t>
            </w:r>
          </w:p>
        </w:tc>
        <w:tc>
          <w:tcPr>
            <w:tcW w:w="8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施工临时设施防治区</w:t>
            </w:r>
          </w:p>
        </w:tc>
        <w:tc>
          <w:tcPr>
            <w:tcW w:w="47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59.94</w:t>
            </w:r>
          </w:p>
        </w:tc>
        <w:tc>
          <w:tcPr>
            <w:tcW w:w="1171"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0"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4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59.94</w:t>
            </w:r>
          </w:p>
        </w:tc>
        <w:tc>
          <w:tcPr>
            <w:tcW w:w="52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59.94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二</w:t>
            </w:r>
          </w:p>
        </w:tc>
        <w:tc>
          <w:tcPr>
            <w:tcW w:w="8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其他临时工程</w:t>
            </w:r>
          </w:p>
        </w:tc>
        <w:tc>
          <w:tcPr>
            <w:tcW w:w="47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36.13</w:t>
            </w:r>
          </w:p>
        </w:tc>
        <w:tc>
          <w:tcPr>
            <w:tcW w:w="1171"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0"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4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36.13</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34.81</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1.32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Ⅳ</w:t>
            </w:r>
          </w:p>
        </w:tc>
        <w:tc>
          <w:tcPr>
            <w:tcW w:w="8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独立费用</w:t>
            </w:r>
          </w:p>
        </w:tc>
        <w:tc>
          <w:tcPr>
            <w:tcW w:w="47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1171"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288.11</w:t>
            </w:r>
          </w:p>
        </w:tc>
        <w:tc>
          <w:tcPr>
            <w:tcW w:w="4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288.11</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169.44</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118.66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w:t>
            </w:r>
          </w:p>
        </w:tc>
        <w:tc>
          <w:tcPr>
            <w:tcW w:w="8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建设管理费</w:t>
            </w:r>
          </w:p>
        </w:tc>
        <w:tc>
          <w:tcPr>
            <w:tcW w:w="47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1171"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43.65</w:t>
            </w:r>
          </w:p>
        </w:tc>
        <w:tc>
          <w:tcPr>
            <w:tcW w:w="4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43.65</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43.65</w:t>
            </w:r>
          </w:p>
        </w:tc>
        <w:tc>
          <w:tcPr>
            <w:tcW w:w="52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w:t>
            </w:r>
          </w:p>
        </w:tc>
        <w:tc>
          <w:tcPr>
            <w:tcW w:w="8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水土保持监理费</w:t>
            </w:r>
          </w:p>
        </w:tc>
        <w:tc>
          <w:tcPr>
            <w:tcW w:w="47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1171"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81.26</w:t>
            </w:r>
          </w:p>
        </w:tc>
        <w:tc>
          <w:tcPr>
            <w:tcW w:w="4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81.26</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81.26</w:t>
            </w:r>
          </w:p>
        </w:tc>
        <w:tc>
          <w:tcPr>
            <w:tcW w:w="52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w:t>
            </w:r>
          </w:p>
        </w:tc>
        <w:tc>
          <w:tcPr>
            <w:tcW w:w="8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科研勘测设计费</w:t>
            </w:r>
          </w:p>
        </w:tc>
        <w:tc>
          <w:tcPr>
            <w:tcW w:w="47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1171"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74.54</w:t>
            </w:r>
          </w:p>
        </w:tc>
        <w:tc>
          <w:tcPr>
            <w:tcW w:w="4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74.54</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44.54</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w:t>
            </w:r>
          </w:p>
        </w:tc>
        <w:tc>
          <w:tcPr>
            <w:tcW w:w="8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水土保持监测费</w:t>
            </w:r>
          </w:p>
        </w:tc>
        <w:tc>
          <w:tcPr>
            <w:tcW w:w="47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1171"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48.66</w:t>
            </w:r>
          </w:p>
        </w:tc>
        <w:tc>
          <w:tcPr>
            <w:tcW w:w="4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48.66</w:t>
            </w:r>
          </w:p>
        </w:tc>
        <w:tc>
          <w:tcPr>
            <w:tcW w:w="52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48.66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5</w:t>
            </w:r>
          </w:p>
        </w:tc>
        <w:tc>
          <w:tcPr>
            <w:tcW w:w="8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水土保持设施验收费</w:t>
            </w:r>
          </w:p>
        </w:tc>
        <w:tc>
          <w:tcPr>
            <w:tcW w:w="47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1171"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40.00</w:t>
            </w:r>
          </w:p>
        </w:tc>
        <w:tc>
          <w:tcPr>
            <w:tcW w:w="4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40.00</w:t>
            </w:r>
          </w:p>
        </w:tc>
        <w:tc>
          <w:tcPr>
            <w:tcW w:w="52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470"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8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Ⅰ至Ⅳ部分合计</w:t>
            </w:r>
          </w:p>
        </w:tc>
        <w:tc>
          <w:tcPr>
            <w:tcW w:w="47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1154.73</w:t>
            </w:r>
          </w:p>
        </w:tc>
        <w:tc>
          <w:tcPr>
            <w:tcW w:w="11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1027.56</w:t>
            </w:r>
          </w:p>
        </w:tc>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288.11</w:t>
            </w:r>
          </w:p>
        </w:tc>
        <w:tc>
          <w:tcPr>
            <w:tcW w:w="4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2470.39</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1944.90</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525.49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Ⅴ</w:t>
            </w:r>
          </w:p>
        </w:tc>
        <w:tc>
          <w:tcPr>
            <w:tcW w:w="8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基本预备费</w:t>
            </w:r>
          </w:p>
        </w:tc>
        <w:tc>
          <w:tcPr>
            <w:tcW w:w="47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1171"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0"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4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148.22</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116.69</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31.53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Ⅵ</w:t>
            </w:r>
          </w:p>
        </w:tc>
        <w:tc>
          <w:tcPr>
            <w:tcW w:w="8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静态总投资</w:t>
            </w:r>
          </w:p>
        </w:tc>
        <w:tc>
          <w:tcPr>
            <w:tcW w:w="47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1171"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0"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4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2618.61</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2061.59</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557.02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Ⅶ</w:t>
            </w:r>
          </w:p>
        </w:tc>
        <w:tc>
          <w:tcPr>
            <w:tcW w:w="8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水土保持补偿费</w:t>
            </w:r>
          </w:p>
        </w:tc>
        <w:tc>
          <w:tcPr>
            <w:tcW w:w="47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1171"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0"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i w:val="0"/>
                <w:iCs w:val="0"/>
                <w:color w:val="auto"/>
                <w:sz w:val="21"/>
                <w:szCs w:val="21"/>
                <w:u w:val="none"/>
              </w:rPr>
            </w:pPr>
          </w:p>
        </w:tc>
        <w:tc>
          <w:tcPr>
            <w:tcW w:w="4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100.00</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26.34</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73.66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7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Ⅷ</w:t>
            </w:r>
          </w:p>
        </w:tc>
        <w:tc>
          <w:tcPr>
            <w:tcW w:w="8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工程总投资</w:t>
            </w:r>
          </w:p>
        </w:tc>
        <w:tc>
          <w:tcPr>
            <w:tcW w:w="47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1171"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0"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eastAsia="仿宋_GB2312" w:cs="Times New Roman"/>
                <w:b/>
                <w:bCs/>
                <w:i w:val="0"/>
                <w:iCs w:val="0"/>
                <w:color w:val="auto"/>
                <w:sz w:val="21"/>
                <w:szCs w:val="21"/>
                <w:u w:val="none"/>
              </w:rPr>
            </w:pPr>
          </w:p>
        </w:tc>
        <w:tc>
          <w:tcPr>
            <w:tcW w:w="47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2718.61</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2087.93</w:t>
            </w:r>
          </w:p>
        </w:tc>
        <w:tc>
          <w:tcPr>
            <w:tcW w:w="5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630.68</w:t>
            </w:r>
          </w:p>
        </w:tc>
      </w:tr>
    </w:tbl>
    <w:p>
      <w:pPr>
        <w:jc w:val="center"/>
        <w:rPr>
          <w:rFonts w:ascii="Times New Roman" w:hAnsi="Times New Roman" w:eastAsia="仿宋_GB2312" w:cs="Times New Roman"/>
          <w:b/>
          <w:color w:val="auto"/>
          <w:szCs w:val="24"/>
        </w:rPr>
      </w:pPr>
    </w:p>
    <w:p>
      <w:pPr>
        <w:jc w:val="center"/>
        <w:rPr>
          <w:rFonts w:ascii="Times New Roman" w:hAnsi="Times New Roman" w:eastAsia="仿宋_GB2312" w:cs="Times New Roman"/>
          <w:b/>
          <w:color w:val="auto"/>
          <w:szCs w:val="24"/>
        </w:rPr>
      </w:pPr>
    </w:p>
    <w:p>
      <w:pPr>
        <w:jc w:val="center"/>
        <w:rPr>
          <w:rFonts w:ascii="Times New Roman" w:hAnsi="Times New Roman" w:eastAsia="仿宋_GB2312" w:cs="Times New Roman"/>
          <w:b/>
          <w:color w:val="auto"/>
          <w:szCs w:val="24"/>
        </w:rPr>
      </w:pPr>
    </w:p>
    <w:p>
      <w:pPr>
        <w:jc w:val="center"/>
        <w:rPr>
          <w:rFonts w:ascii="Times New Roman" w:hAnsi="Times New Roman" w:eastAsia="仿宋_GB2312" w:cs="Times New Roman"/>
          <w:b/>
          <w:color w:val="auto"/>
          <w:szCs w:val="24"/>
        </w:rPr>
      </w:pPr>
    </w:p>
    <w:p>
      <w:pPr>
        <w:jc w:val="center"/>
        <w:rPr>
          <w:rFonts w:ascii="Times New Roman" w:hAnsi="Times New Roman" w:eastAsia="仿宋_GB2312" w:cs="Times New Roman"/>
          <w:b/>
          <w:color w:val="auto"/>
          <w:szCs w:val="24"/>
        </w:rPr>
      </w:pPr>
    </w:p>
    <w:p>
      <w:pPr>
        <w:jc w:val="center"/>
        <w:rPr>
          <w:rFonts w:ascii="Times New Roman" w:hAnsi="Times New Roman" w:eastAsia="仿宋_GB2312" w:cs="Times New Roman"/>
          <w:b/>
          <w:color w:val="auto"/>
          <w:szCs w:val="24"/>
        </w:rPr>
      </w:pPr>
    </w:p>
    <w:p>
      <w:pPr>
        <w:jc w:val="center"/>
        <w:rPr>
          <w:rFonts w:ascii="Times New Roman" w:hAnsi="Times New Roman" w:eastAsia="仿宋_GB2312" w:cs="Times New Roman"/>
          <w:b/>
          <w:color w:val="auto"/>
          <w:szCs w:val="24"/>
        </w:rPr>
      </w:pPr>
    </w:p>
    <w:p>
      <w:pPr>
        <w:jc w:val="center"/>
        <w:rPr>
          <w:rFonts w:ascii="Times New Roman" w:hAnsi="Times New Roman" w:eastAsia="仿宋_GB2312" w:cs="Times New Roman"/>
          <w:b/>
          <w:color w:val="auto"/>
          <w:szCs w:val="24"/>
        </w:rPr>
      </w:pPr>
    </w:p>
    <w:p>
      <w:pPr>
        <w:spacing w:line="360" w:lineRule="auto"/>
        <w:jc w:val="center"/>
        <w:rPr>
          <w:rFonts w:ascii="Times New Roman" w:hAnsi="Times New Roman" w:eastAsia="仿宋_GB2312" w:cs="Times New Roman"/>
          <w:b/>
          <w:bCs/>
          <w:color w:val="auto"/>
          <w:szCs w:val="24"/>
        </w:rPr>
      </w:pPr>
      <w:r>
        <w:rPr>
          <w:rFonts w:ascii="Times New Roman" w:hAnsi="Times New Roman" w:eastAsia="仿宋_GB2312" w:cs="Times New Roman"/>
          <w:b/>
          <w:color w:val="auto"/>
          <w:szCs w:val="24"/>
        </w:rPr>
        <w:t>表7</w:t>
      </w:r>
      <w:r>
        <w:rPr>
          <w:rFonts w:hint="eastAsia" w:ascii="Times New Roman" w:hAnsi="Times New Roman" w:eastAsia="仿宋_GB2312" w:cs="Times New Roman"/>
          <w:b/>
          <w:color w:val="auto"/>
          <w:szCs w:val="24"/>
        </w:rPr>
        <w:t>.</w:t>
      </w:r>
      <w:r>
        <w:rPr>
          <w:rFonts w:ascii="Times New Roman" w:hAnsi="Times New Roman" w:eastAsia="仿宋_GB2312" w:cs="Times New Roman"/>
          <w:b/>
          <w:color w:val="auto"/>
          <w:szCs w:val="24"/>
        </w:rPr>
        <w:t>1-4：</w:t>
      </w:r>
      <w:r>
        <w:rPr>
          <w:rFonts w:ascii="Times New Roman" w:hAnsi="Times New Roman" w:eastAsia="仿宋_GB2312" w:cs="Times New Roman"/>
          <w:b/>
          <w:bCs/>
          <w:color w:val="auto"/>
          <w:szCs w:val="24"/>
        </w:rPr>
        <w:t>分区措施投资表</w:t>
      </w:r>
    </w:p>
    <w:tbl>
      <w:tblPr>
        <w:tblStyle w:val="37"/>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031"/>
        <w:gridCol w:w="2346"/>
        <w:gridCol w:w="1031"/>
        <w:gridCol w:w="1275"/>
        <w:gridCol w:w="1354"/>
        <w:gridCol w:w="148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序号</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分区措施或费用名称</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单位</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数量</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单价（元）</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合计（万元）</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1981" w:type="pct"/>
            <w:gridSpan w:val="2"/>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第一部分：工程措施</w:t>
            </w:r>
          </w:p>
        </w:tc>
        <w:tc>
          <w:tcPr>
            <w:tcW w:w="60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b/>
                <w:bCs/>
                <w:i w:val="0"/>
                <w:iCs w:val="0"/>
                <w:color w:val="auto"/>
                <w:sz w:val="21"/>
                <w:szCs w:val="21"/>
                <w:u w:val="none"/>
              </w:rPr>
            </w:pPr>
          </w:p>
        </w:tc>
        <w:tc>
          <w:tcPr>
            <w:tcW w:w="748"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b/>
                <w:bCs/>
                <w:i w:val="0"/>
                <w:iCs w:val="0"/>
                <w:color w:val="auto"/>
                <w:sz w:val="21"/>
                <w:szCs w:val="21"/>
                <w:u w:val="none"/>
              </w:rPr>
            </w:pP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b/>
                <w:bCs/>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779.11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一</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公共基础设施防治区</w:t>
            </w:r>
          </w:p>
        </w:tc>
        <w:tc>
          <w:tcPr>
            <w:tcW w:w="60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48"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730.96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土地整治工程</w:t>
            </w:r>
          </w:p>
        </w:tc>
        <w:tc>
          <w:tcPr>
            <w:tcW w:w="60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48"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139.39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表土剥离</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万m³</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4.63</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80.01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表土回填</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万m³</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4.91</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22.29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1.3</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场地平整</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hm²</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31.68</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37.09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排水工程</w:t>
            </w:r>
          </w:p>
        </w:tc>
        <w:tc>
          <w:tcPr>
            <w:tcW w:w="60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378.37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雨水管</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w:t>
            </w:r>
          </w:p>
        </w:tc>
        <w:tc>
          <w:tcPr>
            <w:tcW w:w="748" w:type="pct"/>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2496</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49.92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2.2</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雨水口</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个</w:t>
            </w:r>
          </w:p>
        </w:tc>
        <w:tc>
          <w:tcPr>
            <w:tcW w:w="748" w:type="pct"/>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112</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3.36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2.3</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雨水井</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座</w:t>
            </w:r>
          </w:p>
        </w:tc>
        <w:tc>
          <w:tcPr>
            <w:tcW w:w="748" w:type="pct"/>
            <w:tcBorders>
              <w:tl2br w:val="nil"/>
              <w:tr2bl w:val="nil"/>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56</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1.04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2.4</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雨水箱涵</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1336</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320.64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2.5</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植草沟◆</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955</w:t>
            </w: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3.42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2.5.1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土方开挖</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m³</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191</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37.33</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0.71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2.5.2</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铺植草皮</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m²</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1146</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23.60</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透水铺装工程</w:t>
            </w:r>
          </w:p>
        </w:tc>
        <w:tc>
          <w:tcPr>
            <w:tcW w:w="60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150.59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透水铺装</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hm²</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5.03</w:t>
            </w: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150.59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护坡工程</w:t>
            </w:r>
          </w:p>
        </w:tc>
        <w:tc>
          <w:tcPr>
            <w:tcW w:w="60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62.61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铺植草皮护坡◆</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hm²</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2.10</w:t>
            </w:r>
          </w:p>
        </w:tc>
        <w:tc>
          <w:tcPr>
            <w:tcW w:w="794"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298136.04</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62.61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二</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区域规划功能防治区</w:t>
            </w:r>
          </w:p>
        </w:tc>
        <w:tc>
          <w:tcPr>
            <w:tcW w:w="60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48.15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土地整治工程</w:t>
            </w:r>
          </w:p>
        </w:tc>
        <w:tc>
          <w:tcPr>
            <w:tcW w:w="60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35.54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表土剥离</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万m³</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0.28</w:t>
            </w: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4.84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场地平整</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hm²</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26.22</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30.70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排水工程</w:t>
            </w:r>
          </w:p>
        </w:tc>
        <w:tc>
          <w:tcPr>
            <w:tcW w:w="60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12.61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雨水管</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585</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2.2</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雨水口</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个</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23</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0.69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2.3</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雨水井</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座</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0.22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81" w:type="pct"/>
            <w:gridSpan w:val="2"/>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第二部分：植物措施</w:t>
            </w:r>
          </w:p>
        </w:tc>
        <w:tc>
          <w:tcPr>
            <w:tcW w:w="60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b/>
                <w:bCs/>
                <w:i w:val="0"/>
                <w:iCs w:val="0"/>
                <w:color w:val="auto"/>
                <w:sz w:val="21"/>
                <w:szCs w:val="21"/>
                <w:u w:val="none"/>
              </w:rPr>
            </w:pPr>
          </w:p>
        </w:tc>
        <w:tc>
          <w:tcPr>
            <w:tcW w:w="748"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b/>
                <w:bCs/>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1027.56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一</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公共基础设施防治区</w:t>
            </w:r>
          </w:p>
        </w:tc>
        <w:tc>
          <w:tcPr>
            <w:tcW w:w="60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48"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1015.44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绿化工程</w:t>
            </w:r>
          </w:p>
        </w:tc>
        <w:tc>
          <w:tcPr>
            <w:tcW w:w="60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48"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1015.44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道路绿化</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hm²</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0.46</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69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撒播草籽</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hm²</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12.87</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5.94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1.3</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景观绿化</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hm²</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18.81</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940.50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二</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区域规划功能防治区</w:t>
            </w:r>
          </w:p>
        </w:tc>
        <w:tc>
          <w:tcPr>
            <w:tcW w:w="60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48"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b/>
                <w:bCs/>
                <w:i w:val="0"/>
                <w:iCs w:val="0"/>
                <w:color w:val="auto"/>
                <w:sz w:val="21"/>
                <w:szCs w:val="21"/>
                <w:u w:val="none"/>
              </w:rPr>
            </w:pP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b/>
                <w:bCs/>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12.12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绿化工程</w:t>
            </w:r>
          </w:p>
        </w:tc>
        <w:tc>
          <w:tcPr>
            <w:tcW w:w="60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48"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b/>
                <w:bCs/>
                <w:i w:val="0"/>
                <w:iCs w:val="0"/>
                <w:color w:val="auto"/>
                <w:sz w:val="21"/>
                <w:szCs w:val="21"/>
                <w:u w:val="none"/>
              </w:rPr>
            </w:pP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b/>
                <w:bCs/>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12.12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厂区绿化</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hm²</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0.02</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撒播草籽</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hm²</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26.22</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81" w:type="pct"/>
            <w:gridSpan w:val="2"/>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第三部分：临时措施</w:t>
            </w:r>
          </w:p>
        </w:tc>
        <w:tc>
          <w:tcPr>
            <w:tcW w:w="60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b/>
                <w:bCs/>
                <w:i w:val="0"/>
                <w:iCs w:val="0"/>
                <w:color w:val="auto"/>
                <w:sz w:val="21"/>
                <w:szCs w:val="21"/>
                <w:u w:val="none"/>
              </w:rPr>
            </w:pPr>
          </w:p>
        </w:tc>
        <w:tc>
          <w:tcPr>
            <w:tcW w:w="748"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b/>
                <w:bCs/>
                <w:i w:val="0"/>
                <w:iCs w:val="0"/>
                <w:color w:val="auto"/>
                <w:sz w:val="21"/>
                <w:szCs w:val="21"/>
                <w:u w:val="none"/>
              </w:rPr>
            </w:pP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b/>
                <w:bCs/>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b/>
                <w:bCs/>
                <w:i w:val="0"/>
                <w:iCs w:val="0"/>
                <w:color w:val="auto"/>
                <w:sz w:val="21"/>
                <w:szCs w:val="21"/>
                <w:u w:val="none"/>
              </w:rPr>
            </w:pPr>
            <w:r>
              <w:rPr>
                <w:rFonts w:hint="default" w:ascii="Times New Roman" w:hAnsi="Times New Roman" w:eastAsia="仿宋_GB2312" w:cs="Times New Roman"/>
                <w:b/>
                <w:bCs/>
                <w:i w:val="0"/>
                <w:iCs w:val="0"/>
                <w:color w:val="auto"/>
                <w:kern w:val="0"/>
                <w:sz w:val="21"/>
                <w:szCs w:val="21"/>
                <w:u w:val="none"/>
                <w:lang w:val="en-US" w:eastAsia="zh-CN" w:bidi="ar"/>
              </w:rPr>
              <w:t>375.62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临时防护措施</w:t>
            </w:r>
          </w:p>
        </w:tc>
        <w:tc>
          <w:tcPr>
            <w:tcW w:w="60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48"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339.48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一</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公共基础设施防治区</w:t>
            </w:r>
          </w:p>
        </w:tc>
        <w:tc>
          <w:tcPr>
            <w:tcW w:w="60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48"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190.76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5"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基坑排水沟◆</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1150</w:t>
            </w: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11.32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土方开挖</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m³</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310.5</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37.33</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1.1.2</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砖砌</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m³</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115</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456.76</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5.25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1.1.3</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M10砂浆抹面</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m²</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1656</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24.09</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3.99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1.1.4</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土方回填</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m³</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34.5</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4.54</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1.1.5</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c15素混凝土</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m³</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23</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394.10</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0.91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3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基坑沉沙池◆</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座</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9</w:t>
            </w: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0.77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土方开挖</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m³</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28.89</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50.06</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0.14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1.2.2</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砖砌</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m³</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10.35</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456.76</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0.47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1.2.3</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M10砂浆抹面</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m²</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85.14</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4.54</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0.04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1.2.4</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土方回填</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m³</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2.79</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394.10</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0.11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1.3</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临时排水沟◆</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10686</w:t>
            </w: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10.74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1.3.1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土方开挖</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m³</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2564.64</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37.33</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9.57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1.3.2</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土方回填</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m³</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2564.64</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4.54</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1.4</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临时沉沙池◆</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座</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70</w:t>
            </w: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0.83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1.4.1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土方开挖</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m³</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151.9</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50.06</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0.76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1.4.2</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土方回填</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m³</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151.9</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4.54</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0.07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1.5</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苫布覆盖◆</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hm²</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34.98</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4.78</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167.11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二</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区域规划功能防治区</w:t>
            </w:r>
          </w:p>
        </w:tc>
        <w:tc>
          <w:tcPr>
            <w:tcW w:w="60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48"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88.78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临时排水沟◆</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w:t>
            </w:r>
          </w:p>
        </w:tc>
        <w:tc>
          <w:tcPr>
            <w:tcW w:w="74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1826</w:t>
            </w: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1.83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2.1.1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土方开挖</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m³</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438.24</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37.33</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1.64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2.1.2</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土方回填</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m³</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438.24</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4.54</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2.2</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临时沉沙池◆</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座</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w:t>
            </w: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0.14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2.2.1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土方开挖</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m³</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26.04</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50.06</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0.13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2.2.2</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土方回填</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m³</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26.04</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4.54</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2.3</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苫布覆盖◆</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hm²</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18.17</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4.78</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86.80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三</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施工临时设施防治区</w:t>
            </w:r>
          </w:p>
        </w:tc>
        <w:tc>
          <w:tcPr>
            <w:tcW w:w="605"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48"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59.94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撒播草籽◆</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hm²</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2.45</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0.46</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1.13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3.2</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临时排水沟◆</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1220</w:t>
            </w: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3.2.1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土方开挖</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m³</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292.8</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37.33</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1.09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3.2.2</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土方回填</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m³</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292.8</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4.54</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0.13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3.3</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临时沉沙池◆</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座</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7</w:t>
            </w: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0.09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3.3.1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土方开挖</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m³</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15.19</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50.06</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0.08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3.3.2</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土方回填</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m³</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15.19</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4.54</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3.4</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苫布覆盖◆</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hm²</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4.49</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4.78</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21.45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3.5</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编织袋围挡◆</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1028</w:t>
            </w:r>
          </w:p>
        </w:tc>
        <w:tc>
          <w:tcPr>
            <w:tcW w:w="79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_GB2312" w:cs="Times New Roman"/>
                <w:i w:val="0"/>
                <w:iCs w:val="0"/>
                <w:color w:val="auto"/>
                <w:sz w:val="21"/>
                <w:szCs w:val="21"/>
                <w:u w:val="none"/>
              </w:rPr>
            </w:pP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36.04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3.5.1</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装土编织袋挡墙填筑</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m³</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1285</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250.18</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32.15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3.5.2</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装土编织袋挡墙拆除</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m³</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1285</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30.30</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3.89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w:t>
            </w:r>
          </w:p>
        </w:tc>
        <w:tc>
          <w:tcPr>
            <w:tcW w:w="137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其他临时措施</w:t>
            </w:r>
          </w:p>
        </w:tc>
        <w:tc>
          <w:tcPr>
            <w:tcW w:w="60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w:t>
            </w:r>
          </w:p>
        </w:tc>
        <w:tc>
          <w:tcPr>
            <w:tcW w:w="7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2</w:t>
            </w:r>
          </w:p>
        </w:tc>
        <w:tc>
          <w:tcPr>
            <w:tcW w:w="79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1806.67</w:t>
            </w:r>
          </w:p>
        </w:tc>
        <w:tc>
          <w:tcPr>
            <w:tcW w:w="86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36.13</w:t>
            </w:r>
          </w:p>
        </w:tc>
      </w:tr>
    </w:tbl>
    <w:p>
      <w:pPr>
        <w:ind w:firstLine="493" w:firstLineChars="235"/>
        <w:jc w:val="left"/>
        <w:rPr>
          <w:rFonts w:ascii="Times New Roman" w:hAnsi="Times New Roman" w:eastAsia="仿宋_GB2312" w:cs="Times New Roman"/>
          <w:color w:val="auto"/>
          <w:sz w:val="21"/>
          <w:szCs w:val="24"/>
        </w:rPr>
      </w:pPr>
      <w:r>
        <w:rPr>
          <w:rFonts w:ascii="Times New Roman" w:hAnsi="Times New Roman" w:eastAsia="仿宋_GB2312" w:cs="Times New Roman"/>
          <w:color w:val="auto"/>
          <w:sz w:val="21"/>
          <w:szCs w:val="24"/>
        </w:rPr>
        <w:t>注：</w:t>
      </w:r>
      <w:r>
        <w:rPr>
          <w:rFonts w:hint="eastAsia" w:ascii="宋体" w:hAnsi="宋体" w:cs="宋体"/>
          <w:bCs/>
          <w:color w:val="auto"/>
          <w:sz w:val="21"/>
          <w:szCs w:val="24"/>
        </w:rPr>
        <w:t>◆</w:t>
      </w:r>
      <w:r>
        <w:rPr>
          <w:rFonts w:ascii="Times New Roman" w:hAnsi="Times New Roman" w:eastAsia="仿宋_GB2312" w:cs="Times New Roman"/>
          <w:color w:val="auto"/>
          <w:sz w:val="21"/>
          <w:szCs w:val="24"/>
        </w:rPr>
        <w:t>表示本</w:t>
      </w:r>
      <w:r>
        <w:rPr>
          <w:rFonts w:hint="eastAsia" w:ascii="Times New Roman" w:hAnsi="Times New Roman" w:eastAsia="仿宋_GB2312" w:cs="Times New Roman"/>
          <w:color w:val="auto"/>
          <w:sz w:val="21"/>
          <w:szCs w:val="24"/>
          <w:lang w:val="en-US" w:eastAsia="zh-CN"/>
        </w:rPr>
        <w:t>区域评估报告</w:t>
      </w:r>
      <w:r>
        <w:rPr>
          <w:rFonts w:ascii="Times New Roman" w:hAnsi="Times New Roman" w:eastAsia="仿宋_GB2312" w:cs="Times New Roman"/>
          <w:color w:val="auto"/>
          <w:sz w:val="21"/>
          <w:szCs w:val="24"/>
        </w:rPr>
        <w:t>新增或补充措施</w:t>
      </w:r>
    </w:p>
    <w:p>
      <w:pPr>
        <w:ind w:firstLine="493" w:firstLineChars="235"/>
        <w:jc w:val="left"/>
        <w:rPr>
          <w:rFonts w:ascii="Times New Roman" w:hAnsi="Times New Roman" w:eastAsia="仿宋_GB2312" w:cs="Times New Roman"/>
          <w:color w:val="auto"/>
          <w:sz w:val="21"/>
          <w:szCs w:val="24"/>
        </w:rPr>
      </w:pPr>
    </w:p>
    <w:p>
      <w:pPr>
        <w:pStyle w:val="2"/>
        <w:rPr>
          <w:rFonts w:ascii="Times New Roman" w:hAnsi="Times New Roman" w:eastAsia="仿宋_GB2312" w:cs="Times New Roman"/>
          <w:color w:val="auto"/>
          <w:sz w:val="21"/>
          <w:szCs w:val="24"/>
        </w:rPr>
      </w:pPr>
    </w:p>
    <w:p>
      <w:pPr>
        <w:pStyle w:val="2"/>
        <w:rPr>
          <w:rFonts w:ascii="Times New Roman" w:hAnsi="Times New Roman" w:eastAsia="仿宋_GB2312" w:cs="Times New Roman"/>
          <w:color w:val="auto"/>
          <w:sz w:val="21"/>
          <w:szCs w:val="24"/>
        </w:rPr>
      </w:pPr>
    </w:p>
    <w:p>
      <w:pPr>
        <w:pStyle w:val="2"/>
        <w:rPr>
          <w:rFonts w:ascii="Times New Roman" w:hAnsi="Times New Roman" w:eastAsia="仿宋_GB2312" w:cs="Times New Roman"/>
          <w:color w:val="auto"/>
          <w:sz w:val="21"/>
          <w:szCs w:val="24"/>
        </w:rPr>
      </w:pPr>
    </w:p>
    <w:p>
      <w:pPr>
        <w:pStyle w:val="2"/>
        <w:rPr>
          <w:rFonts w:ascii="Times New Roman" w:hAnsi="Times New Roman" w:eastAsia="仿宋_GB2312" w:cs="Times New Roman"/>
          <w:color w:val="auto"/>
          <w:sz w:val="21"/>
          <w:szCs w:val="24"/>
        </w:rPr>
      </w:pPr>
    </w:p>
    <w:p>
      <w:pPr>
        <w:spacing w:line="360" w:lineRule="auto"/>
        <w:jc w:val="center"/>
        <w:rPr>
          <w:rFonts w:ascii="Times New Roman" w:hAnsi="Times New Roman" w:eastAsia="仿宋_GB2312" w:cs="Times New Roman"/>
          <w:b/>
          <w:bCs/>
          <w:color w:val="auto"/>
          <w:szCs w:val="24"/>
        </w:rPr>
      </w:pPr>
      <w:r>
        <w:rPr>
          <w:rFonts w:ascii="Times New Roman" w:hAnsi="Times New Roman" w:eastAsia="仿宋_GB2312" w:cs="Times New Roman"/>
          <w:b/>
          <w:bCs/>
          <w:color w:val="auto"/>
          <w:szCs w:val="24"/>
        </w:rPr>
        <w:t>表7</w:t>
      </w:r>
      <w:r>
        <w:rPr>
          <w:rFonts w:hint="eastAsia" w:ascii="Times New Roman" w:hAnsi="Times New Roman" w:eastAsia="仿宋_GB2312" w:cs="Times New Roman"/>
          <w:b/>
          <w:bCs/>
          <w:color w:val="auto"/>
          <w:szCs w:val="24"/>
        </w:rPr>
        <w:t>.</w:t>
      </w:r>
      <w:r>
        <w:rPr>
          <w:rFonts w:ascii="Times New Roman" w:hAnsi="Times New Roman" w:eastAsia="仿宋_GB2312" w:cs="Times New Roman"/>
          <w:b/>
          <w:bCs/>
          <w:color w:val="auto"/>
          <w:szCs w:val="24"/>
        </w:rPr>
        <w:t>1-5：分年度投资估算表（单位：万元）</w:t>
      </w:r>
    </w:p>
    <w:tbl>
      <w:tblPr>
        <w:tblStyle w:val="37"/>
        <w:tblW w:w="5722"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24"/>
        <w:gridCol w:w="2114"/>
        <w:gridCol w:w="1051"/>
        <w:gridCol w:w="930"/>
        <w:gridCol w:w="993"/>
        <w:gridCol w:w="993"/>
        <w:gridCol w:w="993"/>
        <w:gridCol w:w="995"/>
        <w:gridCol w:w="96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序号</w:t>
            </w:r>
          </w:p>
        </w:tc>
        <w:tc>
          <w:tcPr>
            <w:tcW w:w="108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措施或费用名称</w:t>
            </w:r>
          </w:p>
        </w:tc>
        <w:tc>
          <w:tcPr>
            <w:tcW w:w="539"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合计</w:t>
            </w:r>
          </w:p>
        </w:tc>
        <w:tc>
          <w:tcPr>
            <w:tcW w:w="477"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2021年</w:t>
            </w:r>
          </w:p>
        </w:tc>
        <w:tc>
          <w:tcPr>
            <w:tcW w:w="509"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2022年</w:t>
            </w:r>
          </w:p>
        </w:tc>
        <w:tc>
          <w:tcPr>
            <w:tcW w:w="509"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2023年</w:t>
            </w:r>
          </w:p>
        </w:tc>
        <w:tc>
          <w:tcPr>
            <w:tcW w:w="509"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2024年</w:t>
            </w:r>
          </w:p>
        </w:tc>
        <w:tc>
          <w:tcPr>
            <w:tcW w:w="510" w:type="pct"/>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2025年</w:t>
            </w:r>
          </w:p>
        </w:tc>
        <w:tc>
          <w:tcPr>
            <w:tcW w:w="492" w:type="pct"/>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2026</w:t>
            </w:r>
            <w:r>
              <w:rPr>
                <w:rFonts w:hint="eastAsia" w:ascii="Times New Roman" w:hAnsi="Times New Roman" w:eastAsia="仿宋_GB2312" w:cs="Times New Roman"/>
                <w:b/>
                <w:bCs/>
                <w:color w:val="auto"/>
                <w:kern w:val="0"/>
                <w:sz w:val="21"/>
                <w:szCs w:val="21"/>
              </w:rPr>
              <w:t>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Ⅰ</w:t>
            </w:r>
          </w:p>
        </w:tc>
        <w:tc>
          <w:tcPr>
            <w:tcW w:w="108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第一部分 工程措施</w:t>
            </w:r>
          </w:p>
        </w:tc>
        <w:tc>
          <w:tcPr>
            <w:tcW w:w="105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779.11</w:t>
            </w:r>
          </w:p>
        </w:tc>
        <w:tc>
          <w:tcPr>
            <w:tcW w:w="93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95.56</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33.93</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236.76</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385.11</w:t>
            </w:r>
          </w:p>
        </w:tc>
        <w:tc>
          <w:tcPr>
            <w:tcW w:w="99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27.75</w:t>
            </w:r>
          </w:p>
        </w:tc>
        <w:tc>
          <w:tcPr>
            <w:tcW w:w="96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1</w:t>
            </w:r>
          </w:p>
        </w:tc>
        <w:tc>
          <w:tcPr>
            <w:tcW w:w="1084" w:type="pct"/>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公共基础设施防治区</w:t>
            </w:r>
          </w:p>
        </w:tc>
        <w:tc>
          <w:tcPr>
            <w:tcW w:w="105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730.96</w:t>
            </w:r>
          </w:p>
        </w:tc>
        <w:tc>
          <w:tcPr>
            <w:tcW w:w="93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86.73</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24.00</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231.76</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370.90</w:t>
            </w:r>
          </w:p>
        </w:tc>
        <w:tc>
          <w:tcPr>
            <w:tcW w:w="995"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17.57</w:t>
            </w:r>
          </w:p>
        </w:tc>
        <w:tc>
          <w:tcPr>
            <w:tcW w:w="96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2</w:t>
            </w:r>
          </w:p>
        </w:tc>
        <w:tc>
          <w:tcPr>
            <w:tcW w:w="1084" w:type="pct"/>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区域规划功能防治区</w:t>
            </w:r>
          </w:p>
        </w:tc>
        <w:tc>
          <w:tcPr>
            <w:tcW w:w="105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48.15</w:t>
            </w:r>
          </w:p>
        </w:tc>
        <w:tc>
          <w:tcPr>
            <w:tcW w:w="93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8.83</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9.92</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5.01</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14.22</w:t>
            </w:r>
          </w:p>
        </w:tc>
        <w:tc>
          <w:tcPr>
            <w:tcW w:w="995"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10.18</w:t>
            </w:r>
          </w:p>
        </w:tc>
        <w:tc>
          <w:tcPr>
            <w:tcW w:w="96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Ⅱ</w:t>
            </w:r>
          </w:p>
        </w:tc>
        <w:tc>
          <w:tcPr>
            <w:tcW w:w="108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第二部分 植物措施</w:t>
            </w:r>
          </w:p>
        </w:tc>
        <w:tc>
          <w:tcPr>
            <w:tcW w:w="105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1027.56</w:t>
            </w:r>
          </w:p>
        </w:tc>
        <w:tc>
          <w:tcPr>
            <w:tcW w:w="93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22.06</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32.17</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34.50</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266.60</w:t>
            </w:r>
          </w:p>
        </w:tc>
        <w:tc>
          <w:tcPr>
            <w:tcW w:w="99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672.23</w:t>
            </w:r>
          </w:p>
        </w:tc>
        <w:tc>
          <w:tcPr>
            <w:tcW w:w="96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1</w:t>
            </w:r>
          </w:p>
        </w:tc>
        <w:tc>
          <w:tcPr>
            <w:tcW w:w="1084" w:type="pct"/>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公共基础设施防治区</w:t>
            </w:r>
          </w:p>
        </w:tc>
        <w:tc>
          <w:tcPr>
            <w:tcW w:w="105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1015.44</w:t>
            </w:r>
          </w:p>
        </w:tc>
        <w:tc>
          <w:tcPr>
            <w:tcW w:w="93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22.06</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32.15</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34.50</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266.60</w:t>
            </w:r>
          </w:p>
        </w:tc>
        <w:tc>
          <w:tcPr>
            <w:tcW w:w="995"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660.13</w:t>
            </w:r>
          </w:p>
        </w:tc>
        <w:tc>
          <w:tcPr>
            <w:tcW w:w="96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2</w:t>
            </w:r>
          </w:p>
        </w:tc>
        <w:tc>
          <w:tcPr>
            <w:tcW w:w="1084" w:type="pct"/>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区域规划功能防治区</w:t>
            </w:r>
          </w:p>
        </w:tc>
        <w:tc>
          <w:tcPr>
            <w:tcW w:w="105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12.12</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993"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c>
          <w:tcPr>
            <w:tcW w:w="993"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c>
          <w:tcPr>
            <w:tcW w:w="995"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12.10</w:t>
            </w:r>
          </w:p>
        </w:tc>
        <w:tc>
          <w:tcPr>
            <w:tcW w:w="96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Ⅲ</w:t>
            </w:r>
          </w:p>
        </w:tc>
        <w:tc>
          <w:tcPr>
            <w:tcW w:w="108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第三部分 临时措施</w:t>
            </w:r>
          </w:p>
        </w:tc>
        <w:tc>
          <w:tcPr>
            <w:tcW w:w="105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375.62</w:t>
            </w:r>
          </w:p>
        </w:tc>
        <w:tc>
          <w:tcPr>
            <w:tcW w:w="93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2.35</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81.60</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156.82</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61.88</w:t>
            </w:r>
          </w:p>
        </w:tc>
        <w:tc>
          <w:tcPr>
            <w:tcW w:w="99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72.96</w:t>
            </w:r>
          </w:p>
        </w:tc>
        <w:tc>
          <w:tcPr>
            <w:tcW w:w="96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一</w:t>
            </w:r>
          </w:p>
        </w:tc>
        <w:tc>
          <w:tcPr>
            <w:tcW w:w="108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临时工程</w:t>
            </w:r>
          </w:p>
        </w:tc>
        <w:tc>
          <w:tcPr>
            <w:tcW w:w="105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339.48</w:t>
            </w:r>
          </w:p>
        </w:tc>
        <w:tc>
          <w:tcPr>
            <w:tcW w:w="93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c>
          <w:tcPr>
            <w:tcW w:w="993"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80.28</w:t>
            </w:r>
          </w:p>
        </w:tc>
        <w:tc>
          <w:tcPr>
            <w:tcW w:w="993"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151.39</w:t>
            </w:r>
          </w:p>
        </w:tc>
        <w:tc>
          <w:tcPr>
            <w:tcW w:w="993"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48.85</w:t>
            </w:r>
          </w:p>
        </w:tc>
        <w:tc>
          <w:tcPr>
            <w:tcW w:w="995"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58.96</w:t>
            </w:r>
          </w:p>
        </w:tc>
        <w:tc>
          <w:tcPr>
            <w:tcW w:w="96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1</w:t>
            </w:r>
          </w:p>
        </w:tc>
        <w:tc>
          <w:tcPr>
            <w:tcW w:w="1084" w:type="pct"/>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公共基础设施防治区</w:t>
            </w:r>
          </w:p>
        </w:tc>
        <w:tc>
          <w:tcPr>
            <w:tcW w:w="105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190.76</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58.49</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96.54</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35.74</w:t>
            </w:r>
          </w:p>
        </w:tc>
        <w:tc>
          <w:tcPr>
            <w:tcW w:w="995"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c>
          <w:tcPr>
            <w:tcW w:w="96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2</w:t>
            </w:r>
          </w:p>
        </w:tc>
        <w:tc>
          <w:tcPr>
            <w:tcW w:w="1084" w:type="pct"/>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区域规划功能防治区</w:t>
            </w:r>
          </w:p>
        </w:tc>
        <w:tc>
          <w:tcPr>
            <w:tcW w:w="105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88.78</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0.97</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27.03</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3.97</w:t>
            </w:r>
          </w:p>
        </w:tc>
        <w:tc>
          <w:tcPr>
            <w:tcW w:w="995"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56.82</w:t>
            </w:r>
          </w:p>
        </w:tc>
        <w:tc>
          <w:tcPr>
            <w:tcW w:w="96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3</w:t>
            </w:r>
          </w:p>
        </w:tc>
        <w:tc>
          <w:tcPr>
            <w:tcW w:w="1084" w:type="pct"/>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施工临时设施防治区</w:t>
            </w:r>
          </w:p>
        </w:tc>
        <w:tc>
          <w:tcPr>
            <w:tcW w:w="105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59.94</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20.82</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27.82</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9.15</w:t>
            </w:r>
          </w:p>
        </w:tc>
        <w:tc>
          <w:tcPr>
            <w:tcW w:w="995"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2.14</w:t>
            </w:r>
          </w:p>
        </w:tc>
        <w:tc>
          <w:tcPr>
            <w:tcW w:w="96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二</w:t>
            </w:r>
          </w:p>
        </w:tc>
        <w:tc>
          <w:tcPr>
            <w:tcW w:w="108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其他临时工程</w:t>
            </w:r>
          </w:p>
        </w:tc>
        <w:tc>
          <w:tcPr>
            <w:tcW w:w="105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36.13</w:t>
            </w:r>
          </w:p>
        </w:tc>
        <w:tc>
          <w:tcPr>
            <w:tcW w:w="93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2.35</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1.32</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5.43</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13.03</w:t>
            </w:r>
          </w:p>
        </w:tc>
        <w:tc>
          <w:tcPr>
            <w:tcW w:w="99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14.00</w:t>
            </w:r>
          </w:p>
        </w:tc>
        <w:tc>
          <w:tcPr>
            <w:tcW w:w="96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Ⅳ</w:t>
            </w:r>
          </w:p>
        </w:tc>
        <w:tc>
          <w:tcPr>
            <w:tcW w:w="108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第四部分 独立费用</w:t>
            </w:r>
          </w:p>
        </w:tc>
        <w:tc>
          <w:tcPr>
            <w:tcW w:w="105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288.11</w:t>
            </w:r>
          </w:p>
        </w:tc>
        <w:tc>
          <w:tcPr>
            <w:tcW w:w="93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64.00</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61.14</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40.51</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36.58</w:t>
            </w:r>
          </w:p>
        </w:tc>
        <w:tc>
          <w:tcPr>
            <w:tcW w:w="99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35.10</w:t>
            </w:r>
          </w:p>
        </w:tc>
        <w:tc>
          <w:tcPr>
            <w:tcW w:w="96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50.78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1</w:t>
            </w:r>
          </w:p>
        </w:tc>
        <w:tc>
          <w:tcPr>
            <w:tcW w:w="108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建设管理费</w:t>
            </w:r>
          </w:p>
        </w:tc>
        <w:tc>
          <w:tcPr>
            <w:tcW w:w="105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43.65</w:t>
            </w:r>
          </w:p>
        </w:tc>
        <w:tc>
          <w:tcPr>
            <w:tcW w:w="93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6.20</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7.58</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8.56</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8.97</w:t>
            </w:r>
          </w:p>
        </w:tc>
        <w:tc>
          <w:tcPr>
            <w:tcW w:w="995"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12.34</w:t>
            </w:r>
          </w:p>
        </w:tc>
        <w:tc>
          <w:tcPr>
            <w:tcW w:w="96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2</w:t>
            </w:r>
          </w:p>
        </w:tc>
        <w:tc>
          <w:tcPr>
            <w:tcW w:w="108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水土保持监理费</w:t>
            </w:r>
          </w:p>
        </w:tc>
        <w:tc>
          <w:tcPr>
            <w:tcW w:w="105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81.26</w:t>
            </w:r>
          </w:p>
        </w:tc>
        <w:tc>
          <w:tcPr>
            <w:tcW w:w="93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5.42</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16.25</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24.36</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20.35</w:t>
            </w:r>
          </w:p>
        </w:tc>
        <w:tc>
          <w:tcPr>
            <w:tcW w:w="995"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14.88</w:t>
            </w:r>
          </w:p>
        </w:tc>
        <w:tc>
          <w:tcPr>
            <w:tcW w:w="96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3</w:t>
            </w:r>
          </w:p>
        </w:tc>
        <w:tc>
          <w:tcPr>
            <w:tcW w:w="108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科研勘测设计费</w:t>
            </w:r>
          </w:p>
        </w:tc>
        <w:tc>
          <w:tcPr>
            <w:tcW w:w="105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74.54</w:t>
            </w:r>
          </w:p>
        </w:tc>
        <w:tc>
          <w:tcPr>
            <w:tcW w:w="93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44.54</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30.00</w:t>
            </w:r>
          </w:p>
        </w:tc>
        <w:tc>
          <w:tcPr>
            <w:tcW w:w="993"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c>
          <w:tcPr>
            <w:tcW w:w="993"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c>
          <w:tcPr>
            <w:tcW w:w="995"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c>
          <w:tcPr>
            <w:tcW w:w="96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4</w:t>
            </w:r>
          </w:p>
        </w:tc>
        <w:tc>
          <w:tcPr>
            <w:tcW w:w="108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水土保持监测费</w:t>
            </w:r>
          </w:p>
        </w:tc>
        <w:tc>
          <w:tcPr>
            <w:tcW w:w="105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48.66</w:t>
            </w:r>
          </w:p>
        </w:tc>
        <w:tc>
          <w:tcPr>
            <w:tcW w:w="93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7.84</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7.31</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7.59</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7.26</w:t>
            </w:r>
          </w:p>
        </w:tc>
        <w:tc>
          <w:tcPr>
            <w:tcW w:w="995"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7.88</w:t>
            </w:r>
          </w:p>
        </w:tc>
        <w:tc>
          <w:tcPr>
            <w:tcW w:w="960"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10.78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5</w:t>
            </w:r>
          </w:p>
        </w:tc>
        <w:tc>
          <w:tcPr>
            <w:tcW w:w="108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kern w:val="0"/>
                <w:sz w:val="21"/>
                <w:szCs w:val="21"/>
              </w:rPr>
              <w:t>水土保持设施验收费</w:t>
            </w:r>
          </w:p>
        </w:tc>
        <w:tc>
          <w:tcPr>
            <w:tcW w:w="105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40.00</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c>
          <w:tcPr>
            <w:tcW w:w="993"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c>
          <w:tcPr>
            <w:tcW w:w="993"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c>
          <w:tcPr>
            <w:tcW w:w="993"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c>
          <w:tcPr>
            <w:tcW w:w="995"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c>
          <w:tcPr>
            <w:tcW w:w="960"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ascii="Times New Roman" w:hAnsi="Times New Roman" w:eastAsia="仿宋_GB2312" w:cs="Times New Roman"/>
                <w:b/>
                <w:bCs/>
                <w:color w:val="auto"/>
                <w:sz w:val="21"/>
                <w:szCs w:val="21"/>
              </w:rPr>
            </w:pPr>
          </w:p>
        </w:tc>
        <w:tc>
          <w:tcPr>
            <w:tcW w:w="108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第一至第四部分合计</w:t>
            </w:r>
          </w:p>
        </w:tc>
        <w:tc>
          <w:tcPr>
            <w:tcW w:w="105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2470.39</w:t>
            </w:r>
          </w:p>
        </w:tc>
        <w:tc>
          <w:tcPr>
            <w:tcW w:w="93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183.97</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208.84</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468.59</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750.17</w:t>
            </w:r>
          </w:p>
        </w:tc>
        <w:tc>
          <w:tcPr>
            <w:tcW w:w="99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808.04</w:t>
            </w:r>
          </w:p>
        </w:tc>
        <w:tc>
          <w:tcPr>
            <w:tcW w:w="96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50.78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Ⅴ</w:t>
            </w:r>
          </w:p>
        </w:tc>
        <w:tc>
          <w:tcPr>
            <w:tcW w:w="108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基本预备费</w:t>
            </w:r>
          </w:p>
        </w:tc>
        <w:tc>
          <w:tcPr>
            <w:tcW w:w="105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148.22</w:t>
            </w:r>
          </w:p>
        </w:tc>
        <w:tc>
          <w:tcPr>
            <w:tcW w:w="93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11.04</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12.53</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28.12</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45.01</w:t>
            </w:r>
          </w:p>
        </w:tc>
        <w:tc>
          <w:tcPr>
            <w:tcW w:w="99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48.48</w:t>
            </w:r>
          </w:p>
        </w:tc>
        <w:tc>
          <w:tcPr>
            <w:tcW w:w="96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Ⅵ</w:t>
            </w:r>
          </w:p>
        </w:tc>
        <w:tc>
          <w:tcPr>
            <w:tcW w:w="108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静态总投资</w:t>
            </w:r>
          </w:p>
        </w:tc>
        <w:tc>
          <w:tcPr>
            <w:tcW w:w="105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2618.61</w:t>
            </w:r>
          </w:p>
        </w:tc>
        <w:tc>
          <w:tcPr>
            <w:tcW w:w="93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195.00</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221.37</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496.70</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795.18</w:t>
            </w:r>
          </w:p>
        </w:tc>
        <w:tc>
          <w:tcPr>
            <w:tcW w:w="99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856.52</w:t>
            </w:r>
          </w:p>
        </w:tc>
        <w:tc>
          <w:tcPr>
            <w:tcW w:w="96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53.83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Ⅶ</w:t>
            </w:r>
          </w:p>
        </w:tc>
        <w:tc>
          <w:tcPr>
            <w:tcW w:w="108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水土保持补偿费</w:t>
            </w:r>
          </w:p>
        </w:tc>
        <w:tc>
          <w:tcPr>
            <w:tcW w:w="105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100.00</w:t>
            </w:r>
          </w:p>
        </w:tc>
        <w:tc>
          <w:tcPr>
            <w:tcW w:w="93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26.34</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73.66</w:t>
            </w:r>
          </w:p>
        </w:tc>
        <w:tc>
          <w:tcPr>
            <w:tcW w:w="993"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c>
          <w:tcPr>
            <w:tcW w:w="993"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c>
          <w:tcPr>
            <w:tcW w:w="995"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c>
          <w:tcPr>
            <w:tcW w:w="96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rPr>
                <w:rFonts w:hint="default" w:ascii="Times New Roman" w:hAnsi="Times New Roman" w:eastAsia="仿宋_GB2312"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71"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Ⅷ</w:t>
            </w:r>
          </w:p>
        </w:tc>
        <w:tc>
          <w:tcPr>
            <w:tcW w:w="108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tLeast"/>
              <w:ind w:firstLineChars="0"/>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水土保持总投资</w:t>
            </w:r>
          </w:p>
        </w:tc>
        <w:tc>
          <w:tcPr>
            <w:tcW w:w="105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2718.61</w:t>
            </w:r>
          </w:p>
        </w:tc>
        <w:tc>
          <w:tcPr>
            <w:tcW w:w="93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221.34</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295.03</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496.70</w:t>
            </w:r>
          </w:p>
        </w:tc>
        <w:tc>
          <w:tcPr>
            <w:tcW w:w="9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795.18</w:t>
            </w:r>
          </w:p>
        </w:tc>
        <w:tc>
          <w:tcPr>
            <w:tcW w:w="99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856.52</w:t>
            </w:r>
          </w:p>
        </w:tc>
        <w:tc>
          <w:tcPr>
            <w:tcW w:w="96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Chars="0"/>
              <w:jc w:val="center"/>
              <w:textAlignment w:val="center"/>
              <w:rPr>
                <w:rFonts w:hint="default" w:ascii="Times New Roman" w:hAnsi="Times New Roman" w:eastAsia="仿宋_GB2312" w:cs="Times New Roman"/>
                <w:b/>
                <w:bCs/>
                <w:color w:val="auto"/>
                <w:sz w:val="21"/>
                <w:szCs w:val="21"/>
              </w:rPr>
            </w:pPr>
            <w:r>
              <w:rPr>
                <w:rFonts w:hint="default" w:ascii="Times New Roman" w:hAnsi="Times New Roman" w:eastAsia="宋体" w:cs="Times New Roman"/>
                <w:b/>
                <w:bCs/>
                <w:i w:val="0"/>
                <w:iCs w:val="0"/>
                <w:color w:val="auto"/>
                <w:kern w:val="0"/>
                <w:sz w:val="21"/>
                <w:szCs w:val="21"/>
                <w:u w:val="none"/>
                <w:lang w:val="en-US" w:eastAsia="zh-CN" w:bidi="ar"/>
              </w:rPr>
              <w:t>53.83</w:t>
            </w:r>
          </w:p>
        </w:tc>
      </w:tr>
    </w:tbl>
    <w:p>
      <w:pPr>
        <w:spacing w:line="360" w:lineRule="auto"/>
        <w:jc w:val="center"/>
        <w:rPr>
          <w:rFonts w:ascii="Times New Roman" w:hAnsi="Times New Roman" w:eastAsia="仿宋_GB2312" w:cs="Times New Roman"/>
          <w:b/>
          <w:bCs/>
          <w:color w:val="auto"/>
          <w:szCs w:val="24"/>
        </w:rPr>
      </w:pPr>
      <w:r>
        <w:rPr>
          <w:rFonts w:ascii="Times New Roman" w:hAnsi="Times New Roman" w:eastAsia="仿宋_GB2312" w:cs="Times New Roman"/>
          <w:b/>
          <w:bCs/>
          <w:color w:val="auto"/>
          <w:szCs w:val="24"/>
        </w:rPr>
        <w:t>表7</w:t>
      </w:r>
      <w:r>
        <w:rPr>
          <w:rFonts w:hint="eastAsia" w:ascii="Times New Roman" w:hAnsi="Times New Roman" w:eastAsia="仿宋_GB2312" w:cs="Times New Roman"/>
          <w:b/>
          <w:bCs/>
          <w:color w:val="auto"/>
          <w:szCs w:val="24"/>
        </w:rPr>
        <w:t>.</w:t>
      </w:r>
      <w:r>
        <w:rPr>
          <w:rFonts w:ascii="Times New Roman" w:hAnsi="Times New Roman" w:eastAsia="仿宋_GB2312" w:cs="Times New Roman"/>
          <w:b/>
          <w:bCs/>
          <w:color w:val="auto"/>
          <w:szCs w:val="24"/>
        </w:rPr>
        <w:t>1-6：独立费用计算表（单位：万元）</w:t>
      </w:r>
    </w:p>
    <w:tbl>
      <w:tblPr>
        <w:tblStyle w:val="37"/>
        <w:tblW w:w="486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01"/>
        <w:gridCol w:w="1593"/>
        <w:gridCol w:w="5204"/>
        <w:gridCol w:w="79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4" w:hRule="atLeast"/>
          <w:jc w:val="center"/>
        </w:trPr>
        <w:tc>
          <w:tcPr>
            <w:tcW w:w="423" w:type="pct"/>
            <w:vAlign w:val="center"/>
          </w:tcPr>
          <w:p>
            <w:pPr>
              <w:spacing w:line="240" w:lineRule="exac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序号</w:t>
            </w:r>
          </w:p>
        </w:tc>
        <w:tc>
          <w:tcPr>
            <w:tcW w:w="961" w:type="pct"/>
            <w:vAlign w:val="center"/>
          </w:tcPr>
          <w:p>
            <w:pPr>
              <w:spacing w:line="240" w:lineRule="exac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工程或费用名称</w:t>
            </w:r>
          </w:p>
        </w:tc>
        <w:tc>
          <w:tcPr>
            <w:tcW w:w="3138" w:type="pct"/>
            <w:vAlign w:val="center"/>
          </w:tcPr>
          <w:p>
            <w:pPr>
              <w:spacing w:line="240" w:lineRule="exac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计算方法或依据</w:t>
            </w:r>
          </w:p>
        </w:tc>
        <w:tc>
          <w:tcPr>
            <w:tcW w:w="478" w:type="pct"/>
            <w:vAlign w:val="center"/>
          </w:tcPr>
          <w:p>
            <w:pPr>
              <w:spacing w:line="240" w:lineRule="exac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结果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423"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1</w:t>
            </w:r>
          </w:p>
        </w:tc>
        <w:tc>
          <w:tcPr>
            <w:tcW w:w="961"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建设管理费</w:t>
            </w:r>
          </w:p>
        </w:tc>
        <w:tc>
          <w:tcPr>
            <w:tcW w:w="3138" w:type="pct"/>
            <w:vAlign w:val="center"/>
          </w:tcPr>
          <w:p>
            <w:pPr>
              <w:spacing w:line="240" w:lineRule="exac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按一至三部分之和</w:t>
            </w:r>
            <w:r>
              <w:rPr>
                <w:rFonts w:ascii="Times New Roman" w:hAnsi="Times New Roman" w:eastAsia="仿宋_GB2312" w:cs="Times New Roman"/>
                <w:color w:val="auto"/>
                <w:sz w:val="21"/>
                <w:szCs w:val="21"/>
              </w:rPr>
              <w:t>的2.0%计列</w:t>
            </w:r>
          </w:p>
        </w:tc>
        <w:tc>
          <w:tcPr>
            <w:tcW w:w="79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44.50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6" w:hRule="atLeast"/>
          <w:jc w:val="center"/>
        </w:trPr>
        <w:tc>
          <w:tcPr>
            <w:tcW w:w="423"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2</w:t>
            </w:r>
          </w:p>
        </w:tc>
        <w:tc>
          <w:tcPr>
            <w:tcW w:w="961"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水土保持监理费</w:t>
            </w:r>
          </w:p>
        </w:tc>
        <w:tc>
          <w:tcPr>
            <w:tcW w:w="3138" w:type="pct"/>
            <w:vAlign w:val="center"/>
          </w:tcPr>
          <w:p>
            <w:pPr>
              <w:spacing w:line="240" w:lineRule="exac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参考</w:t>
            </w:r>
            <w:r>
              <w:rPr>
                <w:rFonts w:ascii="Times New Roman" w:hAnsi="Times New Roman" w:eastAsia="仿宋_GB2312" w:cs="Times New Roman"/>
                <w:color w:val="auto"/>
                <w:sz w:val="21"/>
                <w:szCs w:val="21"/>
              </w:rPr>
              <w:t>《建设工程监理与相关服务收费管理规定》（发改价格[2007]670号文）有关规定计列，并根据实际情况调整；</w:t>
            </w:r>
          </w:p>
        </w:tc>
        <w:tc>
          <w:tcPr>
            <w:tcW w:w="79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81.26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9" w:hRule="atLeast"/>
          <w:jc w:val="center"/>
        </w:trPr>
        <w:tc>
          <w:tcPr>
            <w:tcW w:w="423"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3</w:t>
            </w:r>
          </w:p>
        </w:tc>
        <w:tc>
          <w:tcPr>
            <w:tcW w:w="961"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科研勘测设计费</w:t>
            </w:r>
          </w:p>
        </w:tc>
        <w:tc>
          <w:tcPr>
            <w:tcW w:w="3138" w:type="pct"/>
            <w:vAlign w:val="center"/>
          </w:tcPr>
          <w:p>
            <w:pPr>
              <w:spacing w:line="240" w:lineRule="exact"/>
              <w:jc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参考</w:t>
            </w:r>
            <w:r>
              <w:rPr>
                <w:rFonts w:ascii="Times New Roman" w:hAnsi="Times New Roman" w:eastAsia="仿宋_GB2312" w:cs="Times New Roman"/>
                <w:color w:val="auto"/>
                <w:sz w:val="21"/>
                <w:szCs w:val="21"/>
              </w:rPr>
              <w:t>《工程勘测设计收费标准》（国家计委、建设部计价格[2002]10号文）计列，并根据实际情况调整</w:t>
            </w:r>
          </w:p>
        </w:tc>
        <w:tc>
          <w:tcPr>
            <w:tcW w:w="79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75.38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423"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4</w:t>
            </w:r>
          </w:p>
        </w:tc>
        <w:tc>
          <w:tcPr>
            <w:tcW w:w="961"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水土保持监测费</w:t>
            </w:r>
          </w:p>
        </w:tc>
        <w:tc>
          <w:tcPr>
            <w:tcW w:w="3138" w:type="pct"/>
            <w:vAlign w:val="center"/>
          </w:tcPr>
          <w:p>
            <w:pPr>
              <w:spacing w:line="240" w:lineRule="exact"/>
              <w:jc w:val="center"/>
              <w:rPr>
                <w:rFonts w:hint="default" w:ascii="Times New Roman" w:hAnsi="Times New Roman" w:eastAsia="仿宋_GB2312" w:cs="Times New Roman"/>
                <w:color w:val="auto"/>
                <w:sz w:val="21"/>
                <w:szCs w:val="21"/>
                <w:lang w:val="en-US" w:eastAsia="zh-CN"/>
              </w:rPr>
            </w:pPr>
            <w:r>
              <w:rPr>
                <w:rFonts w:ascii="Times New Roman" w:hAnsi="Times New Roman" w:eastAsia="仿宋_GB2312" w:cs="Times New Roman"/>
                <w:color w:val="auto"/>
                <w:kern w:val="0"/>
                <w:sz w:val="21"/>
                <w:szCs w:val="21"/>
              </w:rPr>
              <w:t>根据监测安排及所需监测设备、人员确定，并根据实际情况调整，详见</w:t>
            </w:r>
            <w:r>
              <w:rPr>
                <w:rFonts w:hint="eastAsia" w:ascii="Times New Roman" w:hAnsi="Times New Roman" w:eastAsia="仿宋_GB2312" w:cs="Times New Roman"/>
                <w:color w:val="auto"/>
                <w:kern w:val="0"/>
                <w:sz w:val="21"/>
                <w:szCs w:val="21"/>
                <w:lang w:val="en-US" w:eastAsia="zh-CN"/>
              </w:rPr>
              <w:t>单价分析表</w:t>
            </w:r>
          </w:p>
        </w:tc>
        <w:tc>
          <w:tcPr>
            <w:tcW w:w="79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48.66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3"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5</w:t>
            </w:r>
          </w:p>
        </w:tc>
        <w:tc>
          <w:tcPr>
            <w:tcW w:w="961"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水土保持设施验收费</w:t>
            </w:r>
          </w:p>
        </w:tc>
        <w:tc>
          <w:tcPr>
            <w:tcW w:w="3138" w:type="pct"/>
            <w:vAlign w:val="center"/>
          </w:tcPr>
          <w:p>
            <w:pPr>
              <w:spacing w:line="240" w:lineRule="exact"/>
              <w:jc w:val="center"/>
              <w:rPr>
                <w:rFonts w:ascii="Times New Roman" w:hAnsi="Times New Roman" w:eastAsia="仿宋_GB2312" w:cs="Times New Roman"/>
                <w:color w:val="auto"/>
                <w:sz w:val="21"/>
                <w:szCs w:val="21"/>
              </w:rPr>
            </w:pPr>
            <w:r>
              <w:rPr>
                <w:rFonts w:ascii="Times New Roman" w:hAnsi="Times New Roman" w:eastAsia="仿宋_GB2312" w:cs="Times New Roman"/>
                <w:color w:val="auto"/>
                <w:sz w:val="21"/>
                <w:szCs w:val="21"/>
              </w:rPr>
              <w:t>依据实际情况估算</w:t>
            </w:r>
          </w:p>
        </w:tc>
        <w:tc>
          <w:tcPr>
            <w:tcW w:w="79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0" w:hRule="atLeast"/>
          <w:jc w:val="center"/>
        </w:trPr>
        <w:tc>
          <w:tcPr>
            <w:tcW w:w="423" w:type="pct"/>
            <w:vAlign w:val="center"/>
          </w:tcPr>
          <w:p>
            <w:pPr>
              <w:spacing w:line="240" w:lineRule="exac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6</w:t>
            </w:r>
          </w:p>
        </w:tc>
        <w:tc>
          <w:tcPr>
            <w:tcW w:w="4099" w:type="pct"/>
            <w:gridSpan w:val="2"/>
            <w:vAlign w:val="center"/>
          </w:tcPr>
          <w:p>
            <w:pPr>
              <w:spacing w:line="240" w:lineRule="exact"/>
              <w:jc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合计</w:t>
            </w:r>
          </w:p>
        </w:tc>
        <w:tc>
          <w:tcPr>
            <w:tcW w:w="478" w:type="pct"/>
            <w:vAlign w:val="center"/>
          </w:tcPr>
          <w:p>
            <w:pPr>
              <w:widowControl/>
              <w:spacing w:line="240" w:lineRule="exact"/>
              <w:jc w:val="center"/>
              <w:textAlignment w:val="center"/>
              <w:rPr>
                <w:rFonts w:hint="default" w:ascii="Times New Roman" w:hAnsi="Times New Roman" w:eastAsia="仿宋_GB2312" w:cs="Times New Roman"/>
                <w:b/>
                <w:bCs/>
                <w:color w:val="auto"/>
                <w:sz w:val="21"/>
                <w:szCs w:val="21"/>
                <w:lang w:val="en-US" w:eastAsia="zh-CN"/>
              </w:rPr>
            </w:pPr>
            <w:r>
              <w:rPr>
                <w:rFonts w:hint="eastAsia" w:ascii="Times New Roman" w:hAnsi="Times New Roman" w:eastAsia="仿宋_GB2312" w:cs="Times New Roman"/>
                <w:b/>
                <w:bCs/>
                <w:color w:val="auto"/>
                <w:sz w:val="21"/>
                <w:szCs w:val="21"/>
                <w:lang w:val="en-US" w:eastAsia="zh-CN"/>
              </w:rPr>
              <w:t>289.80</w:t>
            </w:r>
          </w:p>
        </w:tc>
      </w:tr>
    </w:tbl>
    <w:p>
      <w:pPr>
        <w:pStyle w:val="174"/>
        <w:widowControl w:val="0"/>
        <w:snapToGrid w:val="0"/>
        <w:spacing w:before="0" w:beforeAutospacing="0" w:after="0" w:afterAutospacing="0"/>
        <w:rPr>
          <w:rFonts w:ascii="Times New Roman" w:hAnsi="Times New Roman" w:eastAsia="仿宋_GB2312" w:cs="Times New Roman"/>
          <w:color w:val="auto"/>
          <w:kern w:val="2"/>
          <w:sz w:val="24"/>
          <w:szCs w:val="24"/>
        </w:rPr>
      </w:pPr>
    </w:p>
    <w:p>
      <w:pPr>
        <w:pStyle w:val="174"/>
        <w:widowControl w:val="0"/>
        <w:snapToGrid w:val="0"/>
        <w:spacing w:before="0" w:beforeAutospacing="0" w:after="0" w:afterAutospacing="0"/>
        <w:rPr>
          <w:rFonts w:ascii="Times New Roman" w:hAnsi="Times New Roman" w:eastAsia="仿宋_GB2312" w:cs="Times New Roman"/>
          <w:color w:val="auto"/>
          <w:kern w:val="2"/>
          <w:sz w:val="24"/>
          <w:szCs w:val="24"/>
        </w:rPr>
      </w:pPr>
    </w:p>
    <w:p>
      <w:pPr>
        <w:pStyle w:val="174"/>
        <w:widowControl w:val="0"/>
        <w:snapToGrid w:val="0"/>
        <w:spacing w:before="0" w:beforeAutospacing="0" w:after="0" w:afterAutospacing="0"/>
        <w:rPr>
          <w:rFonts w:ascii="Times New Roman" w:hAnsi="Times New Roman" w:eastAsia="仿宋_GB2312" w:cs="Times New Roman"/>
          <w:color w:val="auto"/>
          <w:kern w:val="2"/>
          <w:sz w:val="24"/>
          <w:szCs w:val="24"/>
        </w:rPr>
      </w:pPr>
    </w:p>
    <w:p>
      <w:pPr>
        <w:spacing w:line="360" w:lineRule="auto"/>
        <w:jc w:val="center"/>
        <w:rPr>
          <w:rFonts w:ascii="Times New Roman" w:hAnsi="Times New Roman" w:eastAsia="仿宋_GB2312" w:cs="Times New Roman"/>
          <w:b/>
          <w:bCs/>
          <w:color w:val="auto"/>
          <w:szCs w:val="24"/>
        </w:rPr>
      </w:pPr>
      <w:r>
        <w:rPr>
          <w:rFonts w:ascii="Times New Roman" w:hAnsi="Times New Roman" w:eastAsia="仿宋_GB2312" w:cs="Times New Roman"/>
          <w:b/>
          <w:bCs/>
          <w:color w:val="auto"/>
          <w:szCs w:val="24"/>
        </w:rPr>
        <w:t>表7</w:t>
      </w:r>
      <w:r>
        <w:rPr>
          <w:rFonts w:hint="eastAsia" w:ascii="Times New Roman" w:hAnsi="Times New Roman" w:eastAsia="仿宋_GB2312" w:cs="Times New Roman"/>
          <w:b/>
          <w:bCs/>
          <w:color w:val="auto"/>
          <w:szCs w:val="24"/>
        </w:rPr>
        <w:t>.</w:t>
      </w:r>
      <w:r>
        <w:rPr>
          <w:rFonts w:ascii="Times New Roman" w:hAnsi="Times New Roman" w:eastAsia="仿宋_GB2312" w:cs="Times New Roman"/>
          <w:b/>
          <w:bCs/>
          <w:color w:val="auto"/>
          <w:szCs w:val="24"/>
        </w:rPr>
        <w:t>1-7：水土保持补偿费计算表</w:t>
      </w:r>
    </w:p>
    <w:tbl>
      <w:tblPr>
        <w:tblStyle w:val="37"/>
        <w:tblW w:w="8524"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15" w:type="dxa"/>
          <w:left w:w="15" w:type="dxa"/>
          <w:bottom w:w="15" w:type="dxa"/>
          <w:right w:w="15" w:type="dxa"/>
        </w:tblCellMar>
      </w:tblPr>
      <w:tblGrid>
        <w:gridCol w:w="1341"/>
        <w:gridCol w:w="1276"/>
        <w:gridCol w:w="1275"/>
        <w:gridCol w:w="3217"/>
        <w:gridCol w:w="141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blHeader/>
          <w:jc w:val="center"/>
        </w:trPr>
        <w:tc>
          <w:tcPr>
            <w:tcW w:w="1341" w:type="dxa"/>
            <w:noWrap/>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b/>
                <w:bCs/>
                <w:color w:val="auto"/>
                <w:kern w:val="0"/>
                <w:sz w:val="21"/>
                <w:szCs w:val="21"/>
              </w:rPr>
              <w:t>项目名称</w:t>
            </w:r>
          </w:p>
        </w:tc>
        <w:tc>
          <w:tcPr>
            <w:tcW w:w="1276" w:type="dxa"/>
            <w:noWrap/>
            <w:vAlign w:val="center"/>
          </w:tcPr>
          <w:p>
            <w:pPr>
              <w:widowControl/>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占地面积（m</w:t>
            </w:r>
            <w:r>
              <w:rPr>
                <w:rFonts w:ascii="Times New Roman" w:hAnsi="Times New Roman" w:eastAsia="仿宋_GB2312" w:cs="Times New Roman"/>
                <w:b/>
                <w:bCs/>
                <w:color w:val="auto"/>
                <w:kern w:val="0"/>
                <w:sz w:val="21"/>
                <w:szCs w:val="21"/>
                <w:vertAlign w:val="superscript"/>
              </w:rPr>
              <w:t>2</w:t>
            </w:r>
            <w:r>
              <w:rPr>
                <w:rFonts w:ascii="Times New Roman" w:hAnsi="Times New Roman" w:eastAsia="仿宋_GB2312" w:cs="Times New Roman"/>
                <w:b/>
                <w:bCs/>
                <w:color w:val="auto"/>
                <w:kern w:val="0"/>
                <w:sz w:val="21"/>
                <w:szCs w:val="21"/>
              </w:rPr>
              <w:t>）</w:t>
            </w:r>
          </w:p>
        </w:tc>
        <w:tc>
          <w:tcPr>
            <w:tcW w:w="1275" w:type="dxa"/>
            <w:noWrap/>
            <w:vAlign w:val="center"/>
          </w:tcPr>
          <w:p>
            <w:pPr>
              <w:widowControl/>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sz w:val="21"/>
                <w:szCs w:val="21"/>
              </w:rPr>
              <w:t>所属区域</w:t>
            </w:r>
          </w:p>
        </w:tc>
        <w:tc>
          <w:tcPr>
            <w:tcW w:w="3217" w:type="dxa"/>
            <w:vAlign w:val="center"/>
          </w:tcPr>
          <w:p>
            <w:pPr>
              <w:widowControl/>
              <w:jc w:val="center"/>
              <w:textAlignment w:val="center"/>
              <w:rPr>
                <w:rFonts w:ascii="Times New Roman" w:hAnsi="Times New Roman" w:eastAsia="仿宋_GB2312" w:cs="Times New Roman"/>
                <w:b/>
                <w:bCs/>
                <w:color w:val="auto"/>
                <w:kern w:val="0"/>
                <w:sz w:val="21"/>
                <w:szCs w:val="21"/>
              </w:rPr>
            </w:pPr>
            <w:r>
              <w:rPr>
                <w:rFonts w:ascii="Times New Roman" w:hAnsi="Times New Roman" w:eastAsia="仿宋_GB2312" w:cs="Times New Roman"/>
                <w:b/>
                <w:bCs/>
                <w:color w:val="auto"/>
                <w:kern w:val="0"/>
                <w:sz w:val="21"/>
                <w:szCs w:val="21"/>
              </w:rPr>
              <w:t>计算方法或依据</w:t>
            </w:r>
          </w:p>
        </w:tc>
        <w:tc>
          <w:tcPr>
            <w:tcW w:w="1415" w:type="dxa"/>
            <w:noWrap/>
            <w:vAlign w:val="center"/>
          </w:tcPr>
          <w:p>
            <w:pPr>
              <w:widowControl/>
              <w:jc w:val="center"/>
              <w:textAlignment w:val="center"/>
              <w:rPr>
                <w:rFonts w:ascii="Times New Roman" w:hAnsi="Times New Roman" w:eastAsia="仿宋_GB2312" w:cs="Times New Roman"/>
                <w:b/>
                <w:bCs/>
                <w:color w:val="auto"/>
                <w:sz w:val="21"/>
                <w:szCs w:val="21"/>
              </w:rPr>
            </w:pPr>
            <w:r>
              <w:rPr>
                <w:rFonts w:ascii="Times New Roman" w:hAnsi="Times New Roman" w:eastAsia="仿宋_GB2312" w:cs="Times New Roman"/>
                <w:b/>
                <w:bCs/>
                <w:color w:val="auto"/>
                <w:kern w:val="0"/>
                <w:sz w:val="21"/>
                <w:szCs w:val="21"/>
              </w:rPr>
              <w:t>水土保持补偿费（元）</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blHeader/>
          <w:jc w:val="center"/>
        </w:trPr>
        <w:tc>
          <w:tcPr>
            <w:tcW w:w="1341" w:type="dxa"/>
            <w:noWrap/>
            <w:vAlign w:val="center"/>
          </w:tcPr>
          <w:p>
            <w:pPr>
              <w:widowControl/>
              <w:jc w:val="center"/>
              <w:textAlignment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青山湖高新技术产业园部分区域</w:t>
            </w:r>
          </w:p>
        </w:tc>
        <w:tc>
          <w:tcPr>
            <w:tcW w:w="1276" w:type="dxa"/>
            <w:noWrap/>
            <w:vAlign w:val="center"/>
          </w:tcPr>
          <w:p>
            <w:pPr>
              <w:widowControl/>
              <w:jc w:val="center"/>
              <w:textAlignment w:val="center"/>
              <w:rPr>
                <w:rFonts w:ascii="Times New Roman" w:hAnsi="Times New Roman" w:eastAsia="仿宋_GB2312" w:cs="Times New Roman"/>
                <w:color w:val="auto"/>
                <w:sz w:val="21"/>
                <w:szCs w:val="21"/>
              </w:rPr>
            </w:pPr>
            <w:r>
              <w:rPr>
                <w:rFonts w:hint="eastAsia" w:ascii="Times New Roman" w:hAnsi="Times New Roman" w:eastAsia="仿宋_GB2312" w:cs="Times New Roman"/>
                <w:color w:val="auto"/>
                <w:sz w:val="21"/>
                <w:szCs w:val="21"/>
              </w:rPr>
              <w:t>1000000</w:t>
            </w:r>
          </w:p>
        </w:tc>
        <w:tc>
          <w:tcPr>
            <w:tcW w:w="1275" w:type="dxa"/>
            <w:noWrap/>
            <w:vAlign w:val="center"/>
          </w:tcPr>
          <w:p>
            <w:pPr>
              <w:widowControl/>
              <w:jc w:val="center"/>
              <w:textAlignment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江西省</w:t>
            </w:r>
            <w:r>
              <w:rPr>
                <w:rFonts w:hint="eastAsia" w:ascii="Times New Roman" w:hAnsi="Times New Roman" w:eastAsia="仿宋_GB2312" w:cs="Times New Roman"/>
                <w:color w:val="auto"/>
                <w:kern w:val="0"/>
                <w:sz w:val="21"/>
                <w:szCs w:val="21"/>
              </w:rPr>
              <w:t>南昌市青山湖区</w:t>
            </w:r>
          </w:p>
        </w:tc>
        <w:tc>
          <w:tcPr>
            <w:tcW w:w="3217" w:type="dxa"/>
            <w:vAlign w:val="center"/>
          </w:tcPr>
          <w:p>
            <w:pPr>
              <w:widowControl/>
              <w:jc w:val="center"/>
              <w:textAlignment w:val="center"/>
              <w:rPr>
                <w:rFonts w:ascii="Times New Roman" w:hAnsi="Times New Roman" w:eastAsia="仿宋_GB2312" w:cs="Times New Roman"/>
                <w:color w:val="auto"/>
                <w:sz w:val="21"/>
                <w:szCs w:val="21"/>
                <w:vertAlign w:val="superscript"/>
              </w:rPr>
            </w:pPr>
            <w:r>
              <w:rPr>
                <w:rFonts w:ascii="Times New Roman" w:hAnsi="Times New Roman" w:eastAsia="仿宋_GB2312" w:cs="Times New Roman"/>
                <w:color w:val="auto"/>
                <w:sz w:val="21"/>
                <w:szCs w:val="21"/>
              </w:rPr>
              <w:t>按关于印发《水土保持补偿费征收使用管理办法》的通知（财政部、国家发展改革委、水利部、中国人民银行，财综[2014]8号文）和根据《江西省水土保持设施补偿费、水土流失防治费的收费标准和使用管理办法》，水土保持设施补偿费按用地面积1元/m</w:t>
            </w:r>
            <w:r>
              <w:rPr>
                <w:rFonts w:ascii="Times New Roman" w:hAnsi="Times New Roman" w:eastAsia="仿宋_GB2312" w:cs="Times New Roman"/>
                <w:color w:val="auto"/>
                <w:sz w:val="21"/>
                <w:szCs w:val="21"/>
                <w:vertAlign w:val="superscript"/>
              </w:rPr>
              <w:t>2</w:t>
            </w:r>
            <w:r>
              <w:rPr>
                <w:rFonts w:ascii="Times New Roman" w:hAnsi="Times New Roman" w:eastAsia="仿宋_GB2312" w:cs="Times New Roman"/>
                <w:color w:val="auto"/>
                <w:sz w:val="21"/>
                <w:szCs w:val="21"/>
              </w:rPr>
              <w:t>计价</w:t>
            </w:r>
          </w:p>
        </w:tc>
        <w:tc>
          <w:tcPr>
            <w:tcW w:w="1415" w:type="dxa"/>
            <w:noWrap/>
            <w:vAlign w:val="center"/>
          </w:tcPr>
          <w:p>
            <w:pPr>
              <w:widowControl/>
              <w:jc w:val="center"/>
              <w:textAlignment w:val="center"/>
              <w:rPr>
                <w:rFonts w:hint="eastAsia" w:ascii="Times New Roman" w:hAnsi="Times New Roman" w:eastAsia="仿宋_GB2312" w:cs="Times New Roman"/>
                <w:color w:val="auto"/>
                <w:sz w:val="21"/>
                <w:szCs w:val="21"/>
                <w:lang w:eastAsia="zh-CN"/>
              </w:rPr>
            </w:pPr>
            <w:r>
              <w:rPr>
                <w:rFonts w:hint="eastAsia" w:ascii="Times New Roman" w:hAnsi="Times New Roman" w:eastAsia="仿宋_GB2312" w:cs="Times New Roman"/>
                <w:color w:val="auto"/>
                <w:sz w:val="21"/>
                <w:szCs w:val="21"/>
              </w:rPr>
              <w:t>1000000</w:t>
            </w:r>
            <w:r>
              <w:rPr>
                <w:rFonts w:hint="eastAsia" w:ascii="Times New Roman" w:hAnsi="Times New Roman" w:eastAsia="仿宋_GB2312" w:cs="Times New Roman"/>
                <w:color w:val="auto"/>
                <w:sz w:val="21"/>
                <w:szCs w:val="21"/>
                <w:lang w:eastAsia="zh-CN"/>
              </w:rPr>
              <w:t>（包含已缴纳南昌电子信息（LED）产业创新示范园（二期）一组团项目水土保持补偿费</w:t>
            </w:r>
            <w:r>
              <w:rPr>
                <w:rFonts w:hint="eastAsia" w:ascii="Times New Roman" w:hAnsi="Times New Roman" w:eastAsia="仿宋_GB2312" w:cs="Times New Roman"/>
                <w:color w:val="auto"/>
                <w:sz w:val="21"/>
                <w:szCs w:val="21"/>
                <w:lang w:val="en-US" w:eastAsia="zh-CN"/>
              </w:rPr>
              <w:t>26.34万元</w:t>
            </w:r>
            <w:r>
              <w:rPr>
                <w:rFonts w:hint="eastAsia" w:ascii="Times New Roman" w:hAnsi="Times New Roman" w:eastAsia="仿宋_GB2312" w:cs="Times New Roman"/>
                <w:color w:val="auto"/>
                <w:sz w:val="21"/>
                <w:szCs w:val="21"/>
                <w:lang w:eastAsia="zh-CN"/>
              </w:rPr>
              <w:t>）</w:t>
            </w:r>
          </w:p>
        </w:tc>
      </w:tr>
    </w:tbl>
    <w:p>
      <w:pPr>
        <w:pStyle w:val="174"/>
        <w:widowControl w:val="0"/>
        <w:snapToGrid w:val="0"/>
        <w:spacing w:before="0" w:beforeAutospacing="0" w:after="0" w:afterAutospacing="0"/>
        <w:rPr>
          <w:rFonts w:ascii="Times New Roman" w:hAnsi="Times New Roman" w:eastAsia="仿宋_GB2312" w:cs="Times New Roman"/>
          <w:color w:val="auto"/>
          <w:kern w:val="2"/>
          <w:sz w:val="24"/>
          <w:szCs w:val="24"/>
        </w:rPr>
      </w:pPr>
    </w:p>
    <w:p>
      <w:pPr>
        <w:pStyle w:val="174"/>
        <w:widowControl w:val="0"/>
        <w:snapToGrid w:val="0"/>
        <w:spacing w:before="0" w:beforeAutospacing="0" w:after="0" w:afterAutospacing="0"/>
        <w:rPr>
          <w:rFonts w:ascii="Times New Roman" w:hAnsi="Times New Roman" w:eastAsia="仿宋_GB2312" w:cs="Times New Roman"/>
          <w:color w:val="auto"/>
          <w:kern w:val="2"/>
          <w:sz w:val="24"/>
          <w:szCs w:val="24"/>
        </w:rPr>
      </w:pPr>
    </w:p>
    <w:p>
      <w:pPr>
        <w:ind w:firstLine="482" w:firstLineChars="200"/>
        <w:jc w:val="center"/>
        <w:rPr>
          <w:rFonts w:ascii="Times New Roman" w:hAnsi="Times New Roman" w:eastAsia="仿宋_GB2312" w:cs="Times New Roman"/>
          <w:b/>
          <w:color w:val="auto"/>
        </w:rPr>
        <w:sectPr>
          <w:headerReference r:id="rId40"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26" w:charSpace="0"/>
        </w:sectPr>
      </w:pPr>
    </w:p>
    <w:p>
      <w:pPr>
        <w:spacing w:line="360" w:lineRule="auto"/>
        <w:jc w:val="center"/>
        <w:rPr>
          <w:rFonts w:ascii="Times New Roman" w:hAnsi="Times New Roman" w:eastAsia="仿宋_GB2312" w:cs="Times New Roman"/>
          <w:b/>
          <w:bCs/>
          <w:color w:val="auto"/>
          <w:szCs w:val="24"/>
        </w:rPr>
      </w:pPr>
      <w:r>
        <w:rPr>
          <w:rFonts w:ascii="Times New Roman" w:hAnsi="Times New Roman" w:eastAsia="仿宋_GB2312" w:cs="Times New Roman"/>
          <w:b/>
          <w:bCs/>
          <w:color w:val="auto"/>
          <w:szCs w:val="24"/>
        </w:rPr>
        <w:t>表7</w:t>
      </w:r>
      <w:r>
        <w:rPr>
          <w:rFonts w:hint="eastAsia" w:ascii="Times New Roman" w:hAnsi="Times New Roman" w:eastAsia="仿宋_GB2312" w:cs="Times New Roman"/>
          <w:b/>
          <w:bCs/>
          <w:color w:val="auto"/>
          <w:szCs w:val="24"/>
        </w:rPr>
        <w:t>.</w:t>
      </w:r>
      <w:r>
        <w:rPr>
          <w:rFonts w:ascii="Times New Roman" w:hAnsi="Times New Roman" w:eastAsia="仿宋_GB2312" w:cs="Times New Roman"/>
          <w:b/>
          <w:bCs/>
          <w:color w:val="auto"/>
          <w:szCs w:val="24"/>
        </w:rPr>
        <w:t>1-8：工程单价汇总表（单位：元）</w:t>
      </w:r>
    </w:p>
    <w:tbl>
      <w:tblPr>
        <w:tblStyle w:val="37"/>
        <w:tblW w:w="4676"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160"/>
        <w:gridCol w:w="602"/>
        <w:gridCol w:w="901"/>
        <w:gridCol w:w="979"/>
        <w:gridCol w:w="851"/>
        <w:gridCol w:w="971"/>
        <w:gridCol w:w="1193"/>
        <w:gridCol w:w="994"/>
        <w:gridCol w:w="888"/>
        <w:gridCol w:w="783"/>
        <w:gridCol w:w="722"/>
        <w:gridCol w:w="798"/>
        <w:gridCol w:w="74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0" w:hRule="atLeast"/>
          <w:jc w:val="center"/>
        </w:trPr>
        <w:tc>
          <w:tcPr>
            <w:tcW w:w="858" w:type="pct"/>
            <w:vMerge w:val="restart"/>
            <w:shd w:val="clear" w:color="auto" w:fill="auto"/>
            <w:noWrap/>
            <w:vAlign w:val="center"/>
          </w:tcPr>
          <w:p>
            <w:pPr>
              <w:pStyle w:val="184"/>
              <w:spacing w:line="240" w:lineRule="auto"/>
              <w:rPr>
                <w:rFonts w:cs="Times New Roman"/>
                <w:b/>
                <w:color w:val="auto"/>
                <w:sz w:val="21"/>
                <w:szCs w:val="21"/>
              </w:rPr>
            </w:pPr>
            <w:r>
              <w:rPr>
                <w:rFonts w:cs="Times New Roman"/>
                <w:b/>
                <w:color w:val="auto"/>
                <w:sz w:val="21"/>
                <w:szCs w:val="21"/>
              </w:rPr>
              <w:t>工程名称</w:t>
            </w:r>
          </w:p>
        </w:tc>
        <w:tc>
          <w:tcPr>
            <w:tcW w:w="239" w:type="pct"/>
            <w:vMerge w:val="restart"/>
            <w:shd w:val="clear" w:color="auto" w:fill="auto"/>
            <w:noWrap/>
            <w:vAlign w:val="center"/>
          </w:tcPr>
          <w:p>
            <w:pPr>
              <w:pStyle w:val="184"/>
              <w:spacing w:line="240" w:lineRule="auto"/>
              <w:rPr>
                <w:rFonts w:cs="Times New Roman"/>
                <w:b/>
                <w:color w:val="auto"/>
                <w:sz w:val="21"/>
                <w:szCs w:val="21"/>
              </w:rPr>
            </w:pPr>
            <w:r>
              <w:rPr>
                <w:rFonts w:cs="Times New Roman"/>
                <w:b/>
                <w:color w:val="auto"/>
                <w:sz w:val="21"/>
                <w:szCs w:val="21"/>
              </w:rPr>
              <w:t>单位</w:t>
            </w:r>
          </w:p>
        </w:tc>
        <w:tc>
          <w:tcPr>
            <w:tcW w:w="358" w:type="pct"/>
            <w:vMerge w:val="restart"/>
            <w:shd w:val="clear" w:color="auto" w:fill="auto"/>
            <w:noWrap/>
            <w:vAlign w:val="center"/>
          </w:tcPr>
          <w:p>
            <w:pPr>
              <w:pStyle w:val="184"/>
              <w:spacing w:line="240" w:lineRule="auto"/>
              <w:rPr>
                <w:rFonts w:cs="Times New Roman"/>
                <w:b/>
                <w:color w:val="auto"/>
                <w:sz w:val="21"/>
                <w:szCs w:val="21"/>
              </w:rPr>
            </w:pPr>
            <w:r>
              <w:rPr>
                <w:rFonts w:cs="Times New Roman"/>
                <w:b/>
                <w:color w:val="auto"/>
                <w:sz w:val="21"/>
                <w:szCs w:val="21"/>
              </w:rPr>
              <w:t>单价</w:t>
            </w:r>
          </w:p>
        </w:tc>
        <w:tc>
          <w:tcPr>
            <w:tcW w:w="2335" w:type="pct"/>
            <w:gridSpan w:val="6"/>
            <w:shd w:val="clear" w:color="auto" w:fill="auto"/>
            <w:noWrap/>
            <w:vAlign w:val="center"/>
          </w:tcPr>
          <w:p>
            <w:pPr>
              <w:pStyle w:val="184"/>
              <w:spacing w:line="240" w:lineRule="auto"/>
              <w:rPr>
                <w:rFonts w:cs="Times New Roman"/>
                <w:b/>
                <w:color w:val="auto"/>
                <w:sz w:val="21"/>
                <w:szCs w:val="21"/>
              </w:rPr>
            </w:pPr>
            <w:r>
              <w:rPr>
                <w:rFonts w:cs="Times New Roman"/>
                <w:b/>
                <w:color w:val="auto"/>
                <w:sz w:val="21"/>
                <w:szCs w:val="21"/>
              </w:rPr>
              <w:t>直接工程费</w:t>
            </w:r>
          </w:p>
        </w:tc>
        <w:tc>
          <w:tcPr>
            <w:tcW w:w="311" w:type="pct"/>
            <w:vMerge w:val="restart"/>
            <w:shd w:val="clear" w:color="auto" w:fill="auto"/>
            <w:noWrap/>
            <w:vAlign w:val="center"/>
          </w:tcPr>
          <w:p>
            <w:pPr>
              <w:pStyle w:val="184"/>
              <w:spacing w:line="240" w:lineRule="auto"/>
              <w:rPr>
                <w:rFonts w:cs="Times New Roman"/>
                <w:b/>
                <w:color w:val="auto"/>
                <w:sz w:val="21"/>
                <w:szCs w:val="21"/>
              </w:rPr>
            </w:pPr>
            <w:r>
              <w:rPr>
                <w:rFonts w:cs="Times New Roman"/>
                <w:b/>
                <w:color w:val="auto"/>
                <w:sz w:val="21"/>
                <w:szCs w:val="21"/>
              </w:rPr>
              <w:t>间接费</w:t>
            </w:r>
          </w:p>
        </w:tc>
        <w:tc>
          <w:tcPr>
            <w:tcW w:w="287" w:type="pct"/>
            <w:vMerge w:val="restart"/>
            <w:shd w:val="clear" w:color="auto" w:fill="auto"/>
            <w:noWrap/>
            <w:vAlign w:val="center"/>
          </w:tcPr>
          <w:p>
            <w:pPr>
              <w:pStyle w:val="184"/>
              <w:spacing w:line="240" w:lineRule="auto"/>
              <w:rPr>
                <w:rFonts w:cs="Times New Roman"/>
                <w:b/>
                <w:color w:val="auto"/>
                <w:sz w:val="21"/>
                <w:szCs w:val="21"/>
              </w:rPr>
            </w:pPr>
            <w:r>
              <w:rPr>
                <w:rFonts w:cs="Times New Roman"/>
                <w:b/>
                <w:color w:val="auto"/>
                <w:sz w:val="21"/>
                <w:szCs w:val="21"/>
              </w:rPr>
              <w:t>利润</w:t>
            </w:r>
          </w:p>
        </w:tc>
        <w:tc>
          <w:tcPr>
            <w:tcW w:w="317" w:type="pct"/>
            <w:vMerge w:val="restart"/>
            <w:shd w:val="clear" w:color="auto" w:fill="auto"/>
            <w:noWrap/>
            <w:vAlign w:val="center"/>
          </w:tcPr>
          <w:p>
            <w:pPr>
              <w:pStyle w:val="184"/>
              <w:spacing w:line="240" w:lineRule="auto"/>
              <w:rPr>
                <w:rFonts w:cs="Times New Roman"/>
                <w:b/>
                <w:color w:val="auto"/>
                <w:sz w:val="21"/>
                <w:szCs w:val="21"/>
              </w:rPr>
            </w:pPr>
            <w:r>
              <w:rPr>
                <w:rFonts w:cs="Times New Roman"/>
                <w:b/>
                <w:color w:val="auto"/>
                <w:sz w:val="21"/>
                <w:szCs w:val="21"/>
              </w:rPr>
              <w:t>税金</w:t>
            </w:r>
          </w:p>
        </w:tc>
        <w:tc>
          <w:tcPr>
            <w:tcW w:w="294" w:type="pct"/>
            <w:vMerge w:val="restart"/>
            <w:shd w:val="clear" w:color="auto" w:fill="auto"/>
            <w:noWrap/>
            <w:vAlign w:val="center"/>
          </w:tcPr>
          <w:p>
            <w:pPr>
              <w:pStyle w:val="184"/>
              <w:spacing w:line="240" w:lineRule="auto"/>
              <w:rPr>
                <w:rFonts w:cs="Times New Roman"/>
                <w:b/>
                <w:color w:val="auto"/>
                <w:sz w:val="21"/>
                <w:szCs w:val="21"/>
              </w:rPr>
            </w:pPr>
            <w:r>
              <w:rPr>
                <w:rFonts w:cs="Times New Roman"/>
                <w:b/>
                <w:color w:val="auto"/>
                <w:sz w:val="21"/>
                <w:szCs w:val="21"/>
              </w:rPr>
              <w:t>扩大系数</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0" w:hRule="atLeast"/>
          <w:jc w:val="center"/>
        </w:trPr>
        <w:tc>
          <w:tcPr>
            <w:tcW w:w="858" w:type="pct"/>
            <w:vMerge w:val="continue"/>
            <w:shd w:val="clear" w:color="auto" w:fill="auto"/>
            <w:noWrap/>
            <w:vAlign w:val="center"/>
          </w:tcPr>
          <w:p>
            <w:pPr>
              <w:pStyle w:val="184"/>
              <w:spacing w:line="240" w:lineRule="auto"/>
              <w:rPr>
                <w:rFonts w:cs="Times New Roman"/>
                <w:color w:val="auto"/>
                <w:sz w:val="21"/>
                <w:szCs w:val="21"/>
              </w:rPr>
            </w:pPr>
          </w:p>
        </w:tc>
        <w:tc>
          <w:tcPr>
            <w:tcW w:w="239" w:type="pct"/>
            <w:vMerge w:val="continue"/>
            <w:shd w:val="clear" w:color="auto" w:fill="auto"/>
            <w:noWrap/>
            <w:vAlign w:val="center"/>
          </w:tcPr>
          <w:p>
            <w:pPr>
              <w:pStyle w:val="184"/>
              <w:spacing w:line="240" w:lineRule="auto"/>
              <w:rPr>
                <w:rFonts w:cs="Times New Roman"/>
                <w:color w:val="auto"/>
                <w:sz w:val="21"/>
                <w:szCs w:val="21"/>
              </w:rPr>
            </w:pPr>
          </w:p>
        </w:tc>
        <w:tc>
          <w:tcPr>
            <w:tcW w:w="358" w:type="pct"/>
            <w:vMerge w:val="continue"/>
            <w:shd w:val="clear" w:color="auto" w:fill="auto"/>
            <w:noWrap/>
            <w:vAlign w:val="center"/>
          </w:tcPr>
          <w:p>
            <w:pPr>
              <w:pStyle w:val="184"/>
              <w:spacing w:line="240" w:lineRule="auto"/>
              <w:rPr>
                <w:rFonts w:cs="Times New Roman"/>
                <w:color w:val="auto"/>
                <w:sz w:val="21"/>
                <w:szCs w:val="21"/>
              </w:rPr>
            </w:pPr>
          </w:p>
        </w:tc>
        <w:tc>
          <w:tcPr>
            <w:tcW w:w="1113" w:type="pct"/>
            <w:gridSpan w:val="3"/>
            <w:shd w:val="clear" w:color="auto" w:fill="auto"/>
            <w:noWrap/>
            <w:vAlign w:val="center"/>
          </w:tcPr>
          <w:p>
            <w:pPr>
              <w:pStyle w:val="184"/>
              <w:spacing w:line="240" w:lineRule="auto"/>
              <w:rPr>
                <w:rFonts w:cs="Times New Roman"/>
                <w:b/>
                <w:color w:val="auto"/>
                <w:sz w:val="21"/>
                <w:szCs w:val="21"/>
              </w:rPr>
            </w:pPr>
            <w:r>
              <w:rPr>
                <w:rFonts w:cs="Times New Roman"/>
                <w:b/>
                <w:color w:val="auto"/>
                <w:sz w:val="21"/>
                <w:szCs w:val="21"/>
              </w:rPr>
              <w:t>直接费</w:t>
            </w:r>
          </w:p>
        </w:tc>
        <w:tc>
          <w:tcPr>
            <w:tcW w:w="474" w:type="pct"/>
            <w:vMerge w:val="restart"/>
            <w:shd w:val="clear" w:color="auto" w:fill="auto"/>
            <w:noWrap/>
            <w:vAlign w:val="center"/>
          </w:tcPr>
          <w:p>
            <w:pPr>
              <w:pStyle w:val="184"/>
              <w:spacing w:line="240" w:lineRule="auto"/>
              <w:rPr>
                <w:rFonts w:cs="Times New Roman"/>
                <w:b/>
                <w:color w:val="auto"/>
                <w:sz w:val="21"/>
                <w:szCs w:val="21"/>
              </w:rPr>
            </w:pPr>
            <w:r>
              <w:rPr>
                <w:rFonts w:cs="Times New Roman"/>
                <w:b/>
                <w:color w:val="auto"/>
                <w:sz w:val="21"/>
                <w:szCs w:val="21"/>
              </w:rPr>
              <w:t>其他直接费</w:t>
            </w:r>
          </w:p>
        </w:tc>
        <w:tc>
          <w:tcPr>
            <w:tcW w:w="395" w:type="pct"/>
            <w:vMerge w:val="restart"/>
            <w:shd w:val="clear" w:color="auto" w:fill="auto"/>
            <w:noWrap/>
            <w:vAlign w:val="center"/>
          </w:tcPr>
          <w:p>
            <w:pPr>
              <w:pStyle w:val="184"/>
              <w:spacing w:line="240" w:lineRule="auto"/>
              <w:rPr>
                <w:rFonts w:cs="Times New Roman"/>
                <w:b/>
                <w:color w:val="auto"/>
                <w:sz w:val="21"/>
                <w:szCs w:val="21"/>
              </w:rPr>
            </w:pPr>
            <w:r>
              <w:rPr>
                <w:rFonts w:cs="Times New Roman"/>
                <w:b/>
                <w:color w:val="auto"/>
                <w:sz w:val="21"/>
                <w:szCs w:val="21"/>
              </w:rPr>
              <w:t>现场经费</w:t>
            </w:r>
          </w:p>
        </w:tc>
        <w:tc>
          <w:tcPr>
            <w:tcW w:w="353" w:type="pct"/>
            <w:vMerge w:val="restart"/>
            <w:shd w:val="clear" w:color="auto" w:fill="auto"/>
            <w:noWrap/>
            <w:vAlign w:val="center"/>
          </w:tcPr>
          <w:p>
            <w:pPr>
              <w:pStyle w:val="184"/>
              <w:spacing w:line="240" w:lineRule="auto"/>
              <w:rPr>
                <w:rFonts w:cs="Times New Roman"/>
                <w:b/>
                <w:color w:val="auto"/>
                <w:sz w:val="21"/>
                <w:szCs w:val="21"/>
              </w:rPr>
            </w:pPr>
            <w:r>
              <w:rPr>
                <w:rFonts w:cs="Times New Roman"/>
                <w:b/>
                <w:color w:val="auto"/>
                <w:sz w:val="21"/>
                <w:szCs w:val="21"/>
              </w:rPr>
              <w:t>小计</w:t>
            </w:r>
          </w:p>
        </w:tc>
        <w:tc>
          <w:tcPr>
            <w:tcW w:w="311" w:type="pct"/>
            <w:vMerge w:val="continue"/>
            <w:shd w:val="clear" w:color="auto" w:fill="auto"/>
            <w:noWrap/>
            <w:vAlign w:val="center"/>
          </w:tcPr>
          <w:p>
            <w:pPr>
              <w:pStyle w:val="184"/>
              <w:spacing w:line="240" w:lineRule="auto"/>
              <w:rPr>
                <w:rFonts w:cs="Times New Roman"/>
                <w:color w:val="auto"/>
                <w:sz w:val="21"/>
                <w:szCs w:val="21"/>
              </w:rPr>
            </w:pPr>
          </w:p>
        </w:tc>
        <w:tc>
          <w:tcPr>
            <w:tcW w:w="287" w:type="pct"/>
            <w:vMerge w:val="continue"/>
            <w:shd w:val="clear" w:color="auto" w:fill="auto"/>
            <w:noWrap/>
            <w:vAlign w:val="center"/>
          </w:tcPr>
          <w:p>
            <w:pPr>
              <w:pStyle w:val="184"/>
              <w:spacing w:line="240" w:lineRule="auto"/>
              <w:rPr>
                <w:rFonts w:cs="Times New Roman"/>
                <w:color w:val="auto"/>
                <w:sz w:val="21"/>
                <w:szCs w:val="21"/>
              </w:rPr>
            </w:pPr>
          </w:p>
        </w:tc>
        <w:tc>
          <w:tcPr>
            <w:tcW w:w="317" w:type="pct"/>
            <w:vMerge w:val="continue"/>
            <w:shd w:val="clear" w:color="auto" w:fill="auto"/>
            <w:noWrap/>
            <w:vAlign w:val="center"/>
          </w:tcPr>
          <w:p>
            <w:pPr>
              <w:pStyle w:val="184"/>
              <w:spacing w:line="240" w:lineRule="auto"/>
              <w:rPr>
                <w:rFonts w:cs="Times New Roman"/>
                <w:color w:val="auto"/>
                <w:sz w:val="21"/>
                <w:szCs w:val="21"/>
              </w:rPr>
            </w:pPr>
          </w:p>
        </w:tc>
        <w:tc>
          <w:tcPr>
            <w:tcW w:w="294" w:type="pct"/>
            <w:vMerge w:val="continue"/>
            <w:shd w:val="clear" w:color="auto" w:fill="auto"/>
            <w:noWrap/>
            <w:vAlign w:val="center"/>
          </w:tcPr>
          <w:p>
            <w:pPr>
              <w:pStyle w:val="184"/>
              <w:spacing w:line="240" w:lineRule="auto"/>
              <w:rPr>
                <w:rFonts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858" w:type="pct"/>
            <w:vMerge w:val="continue"/>
            <w:shd w:val="clear" w:color="auto" w:fill="auto"/>
            <w:noWrap/>
            <w:vAlign w:val="center"/>
          </w:tcPr>
          <w:p>
            <w:pPr>
              <w:pStyle w:val="184"/>
              <w:spacing w:line="240" w:lineRule="auto"/>
              <w:rPr>
                <w:rFonts w:cs="Times New Roman"/>
                <w:color w:val="auto"/>
                <w:sz w:val="21"/>
                <w:szCs w:val="21"/>
              </w:rPr>
            </w:pPr>
          </w:p>
        </w:tc>
        <w:tc>
          <w:tcPr>
            <w:tcW w:w="239" w:type="pct"/>
            <w:vMerge w:val="continue"/>
            <w:shd w:val="clear" w:color="auto" w:fill="auto"/>
            <w:noWrap/>
            <w:vAlign w:val="center"/>
          </w:tcPr>
          <w:p>
            <w:pPr>
              <w:pStyle w:val="184"/>
              <w:spacing w:line="240" w:lineRule="auto"/>
              <w:rPr>
                <w:rFonts w:cs="Times New Roman"/>
                <w:color w:val="auto"/>
                <w:sz w:val="21"/>
                <w:szCs w:val="21"/>
              </w:rPr>
            </w:pPr>
          </w:p>
        </w:tc>
        <w:tc>
          <w:tcPr>
            <w:tcW w:w="358" w:type="pct"/>
            <w:vMerge w:val="continue"/>
            <w:shd w:val="clear" w:color="auto" w:fill="auto"/>
            <w:noWrap/>
            <w:vAlign w:val="center"/>
          </w:tcPr>
          <w:p>
            <w:pPr>
              <w:pStyle w:val="184"/>
              <w:spacing w:line="240" w:lineRule="auto"/>
              <w:rPr>
                <w:rFonts w:cs="Times New Roman"/>
                <w:color w:val="auto"/>
                <w:sz w:val="21"/>
                <w:szCs w:val="21"/>
              </w:rPr>
            </w:pPr>
          </w:p>
        </w:tc>
        <w:tc>
          <w:tcPr>
            <w:tcW w:w="389" w:type="pct"/>
            <w:shd w:val="clear" w:color="auto" w:fill="auto"/>
            <w:noWrap/>
            <w:vAlign w:val="center"/>
          </w:tcPr>
          <w:p>
            <w:pPr>
              <w:pStyle w:val="184"/>
              <w:spacing w:line="240" w:lineRule="auto"/>
              <w:rPr>
                <w:rFonts w:cs="Times New Roman"/>
                <w:b/>
                <w:color w:val="auto"/>
                <w:sz w:val="21"/>
                <w:szCs w:val="21"/>
              </w:rPr>
            </w:pPr>
            <w:r>
              <w:rPr>
                <w:rFonts w:cs="Times New Roman"/>
                <w:b/>
                <w:color w:val="auto"/>
                <w:sz w:val="21"/>
                <w:szCs w:val="21"/>
              </w:rPr>
              <w:t>人工费</w:t>
            </w:r>
          </w:p>
        </w:tc>
        <w:tc>
          <w:tcPr>
            <w:tcW w:w="338" w:type="pct"/>
            <w:shd w:val="clear" w:color="auto" w:fill="auto"/>
            <w:noWrap/>
            <w:vAlign w:val="center"/>
          </w:tcPr>
          <w:p>
            <w:pPr>
              <w:pStyle w:val="184"/>
              <w:spacing w:line="240" w:lineRule="auto"/>
              <w:rPr>
                <w:rFonts w:cs="Times New Roman"/>
                <w:b/>
                <w:color w:val="auto"/>
                <w:sz w:val="21"/>
                <w:szCs w:val="21"/>
              </w:rPr>
            </w:pPr>
            <w:r>
              <w:rPr>
                <w:rFonts w:cs="Times New Roman"/>
                <w:b/>
                <w:color w:val="auto"/>
                <w:sz w:val="21"/>
                <w:szCs w:val="21"/>
              </w:rPr>
              <w:t>材料费</w:t>
            </w:r>
          </w:p>
        </w:tc>
        <w:tc>
          <w:tcPr>
            <w:tcW w:w="385" w:type="pct"/>
            <w:shd w:val="clear" w:color="auto" w:fill="auto"/>
            <w:noWrap/>
            <w:vAlign w:val="center"/>
          </w:tcPr>
          <w:p>
            <w:pPr>
              <w:pStyle w:val="184"/>
              <w:spacing w:line="240" w:lineRule="auto"/>
              <w:rPr>
                <w:rFonts w:cs="Times New Roman"/>
                <w:b/>
                <w:color w:val="auto"/>
                <w:sz w:val="21"/>
                <w:szCs w:val="21"/>
              </w:rPr>
            </w:pPr>
            <w:r>
              <w:rPr>
                <w:rFonts w:cs="Times New Roman"/>
                <w:b/>
                <w:color w:val="auto"/>
                <w:sz w:val="21"/>
                <w:szCs w:val="21"/>
              </w:rPr>
              <w:t>机械使用费</w:t>
            </w:r>
          </w:p>
        </w:tc>
        <w:tc>
          <w:tcPr>
            <w:tcW w:w="474" w:type="pct"/>
            <w:vMerge w:val="continue"/>
            <w:shd w:val="clear" w:color="auto" w:fill="auto"/>
            <w:noWrap/>
            <w:vAlign w:val="center"/>
          </w:tcPr>
          <w:p>
            <w:pPr>
              <w:pStyle w:val="184"/>
              <w:spacing w:line="240" w:lineRule="auto"/>
              <w:rPr>
                <w:rFonts w:cs="Times New Roman"/>
                <w:color w:val="auto"/>
                <w:sz w:val="21"/>
                <w:szCs w:val="21"/>
              </w:rPr>
            </w:pPr>
          </w:p>
        </w:tc>
        <w:tc>
          <w:tcPr>
            <w:tcW w:w="395" w:type="pct"/>
            <w:vMerge w:val="continue"/>
            <w:shd w:val="clear" w:color="auto" w:fill="auto"/>
            <w:noWrap/>
            <w:vAlign w:val="center"/>
          </w:tcPr>
          <w:p>
            <w:pPr>
              <w:pStyle w:val="184"/>
              <w:spacing w:line="240" w:lineRule="auto"/>
              <w:rPr>
                <w:rFonts w:cs="Times New Roman"/>
                <w:color w:val="auto"/>
                <w:sz w:val="21"/>
                <w:szCs w:val="21"/>
              </w:rPr>
            </w:pPr>
          </w:p>
        </w:tc>
        <w:tc>
          <w:tcPr>
            <w:tcW w:w="353" w:type="pct"/>
            <w:vMerge w:val="continue"/>
            <w:shd w:val="clear" w:color="auto" w:fill="auto"/>
            <w:noWrap/>
            <w:vAlign w:val="center"/>
          </w:tcPr>
          <w:p>
            <w:pPr>
              <w:pStyle w:val="184"/>
              <w:spacing w:line="240" w:lineRule="auto"/>
              <w:rPr>
                <w:rFonts w:cs="Times New Roman"/>
                <w:color w:val="auto"/>
                <w:sz w:val="21"/>
                <w:szCs w:val="21"/>
              </w:rPr>
            </w:pPr>
          </w:p>
        </w:tc>
        <w:tc>
          <w:tcPr>
            <w:tcW w:w="311" w:type="pct"/>
            <w:vMerge w:val="continue"/>
            <w:shd w:val="clear" w:color="auto" w:fill="auto"/>
            <w:noWrap/>
            <w:vAlign w:val="center"/>
          </w:tcPr>
          <w:p>
            <w:pPr>
              <w:pStyle w:val="184"/>
              <w:spacing w:line="240" w:lineRule="auto"/>
              <w:rPr>
                <w:rFonts w:cs="Times New Roman"/>
                <w:color w:val="auto"/>
                <w:sz w:val="21"/>
                <w:szCs w:val="21"/>
              </w:rPr>
            </w:pPr>
          </w:p>
        </w:tc>
        <w:tc>
          <w:tcPr>
            <w:tcW w:w="287" w:type="pct"/>
            <w:vMerge w:val="continue"/>
            <w:shd w:val="clear" w:color="auto" w:fill="auto"/>
            <w:noWrap/>
            <w:vAlign w:val="center"/>
          </w:tcPr>
          <w:p>
            <w:pPr>
              <w:pStyle w:val="184"/>
              <w:spacing w:line="240" w:lineRule="auto"/>
              <w:rPr>
                <w:rFonts w:cs="Times New Roman"/>
                <w:color w:val="auto"/>
                <w:sz w:val="21"/>
                <w:szCs w:val="21"/>
              </w:rPr>
            </w:pPr>
          </w:p>
        </w:tc>
        <w:tc>
          <w:tcPr>
            <w:tcW w:w="317" w:type="pct"/>
            <w:vMerge w:val="continue"/>
            <w:shd w:val="clear" w:color="auto" w:fill="auto"/>
            <w:noWrap/>
            <w:vAlign w:val="center"/>
          </w:tcPr>
          <w:p>
            <w:pPr>
              <w:pStyle w:val="184"/>
              <w:spacing w:line="240" w:lineRule="auto"/>
              <w:rPr>
                <w:rFonts w:cs="Times New Roman"/>
                <w:color w:val="auto"/>
                <w:sz w:val="21"/>
                <w:szCs w:val="21"/>
              </w:rPr>
            </w:pPr>
          </w:p>
        </w:tc>
        <w:tc>
          <w:tcPr>
            <w:tcW w:w="294" w:type="pct"/>
            <w:vMerge w:val="continue"/>
            <w:shd w:val="clear" w:color="auto" w:fill="auto"/>
            <w:noWrap/>
            <w:vAlign w:val="center"/>
          </w:tcPr>
          <w:p>
            <w:pPr>
              <w:pStyle w:val="184"/>
              <w:spacing w:line="240" w:lineRule="auto"/>
              <w:rPr>
                <w:rFonts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5" w:hRule="atLeast"/>
          <w:jc w:val="center"/>
        </w:trPr>
        <w:tc>
          <w:tcPr>
            <w:tcW w:w="858"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排水沟土方开挖</w:t>
            </w:r>
          </w:p>
        </w:tc>
        <w:tc>
          <w:tcPr>
            <w:tcW w:w="239"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m</w:t>
            </w:r>
            <w:r>
              <w:rPr>
                <w:rFonts w:ascii="Times New Roman" w:hAnsi="Times New Roman" w:eastAsia="仿宋_GB2312" w:cs="Times New Roman"/>
                <w:color w:val="auto"/>
                <w:kern w:val="0"/>
                <w:sz w:val="21"/>
                <w:szCs w:val="21"/>
                <w:vertAlign w:val="superscript"/>
              </w:rPr>
              <w:t>3</w:t>
            </w:r>
          </w:p>
        </w:tc>
        <w:tc>
          <w:tcPr>
            <w:tcW w:w="358"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37.33</w:t>
            </w:r>
          </w:p>
        </w:tc>
        <w:tc>
          <w:tcPr>
            <w:tcW w:w="389"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25.63</w:t>
            </w:r>
          </w:p>
        </w:tc>
        <w:tc>
          <w:tcPr>
            <w:tcW w:w="338"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0.77</w:t>
            </w:r>
          </w:p>
        </w:tc>
        <w:tc>
          <w:tcPr>
            <w:tcW w:w="385" w:type="pct"/>
            <w:shd w:val="clear" w:color="auto" w:fill="auto"/>
            <w:noWrap/>
            <w:vAlign w:val="center"/>
          </w:tcPr>
          <w:p>
            <w:pPr>
              <w:jc w:val="center"/>
              <w:rPr>
                <w:rFonts w:cs="Times New Roman"/>
                <w:color w:val="auto"/>
                <w:sz w:val="21"/>
                <w:szCs w:val="21"/>
              </w:rPr>
            </w:pPr>
          </w:p>
        </w:tc>
        <w:tc>
          <w:tcPr>
            <w:tcW w:w="474"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0.53</w:t>
            </w:r>
          </w:p>
        </w:tc>
        <w:tc>
          <w:tcPr>
            <w:tcW w:w="395"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1.06</w:t>
            </w:r>
          </w:p>
        </w:tc>
        <w:tc>
          <w:tcPr>
            <w:tcW w:w="353"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27.98</w:t>
            </w:r>
          </w:p>
        </w:tc>
        <w:tc>
          <w:tcPr>
            <w:tcW w:w="311"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1.12</w:t>
            </w:r>
          </w:p>
        </w:tc>
        <w:tc>
          <w:tcPr>
            <w:tcW w:w="287"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2.04</w:t>
            </w:r>
          </w:p>
        </w:tc>
        <w:tc>
          <w:tcPr>
            <w:tcW w:w="317"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2.80</w:t>
            </w:r>
          </w:p>
        </w:tc>
        <w:tc>
          <w:tcPr>
            <w:tcW w:w="294"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3.39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5" w:hRule="atLeast"/>
          <w:jc w:val="center"/>
        </w:trPr>
        <w:tc>
          <w:tcPr>
            <w:tcW w:w="858"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沉沙池土方开挖</w:t>
            </w:r>
          </w:p>
        </w:tc>
        <w:tc>
          <w:tcPr>
            <w:tcW w:w="239"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m</w:t>
            </w:r>
            <w:r>
              <w:rPr>
                <w:rFonts w:ascii="Times New Roman" w:hAnsi="Times New Roman" w:eastAsia="仿宋_GB2312" w:cs="Times New Roman"/>
                <w:color w:val="auto"/>
                <w:kern w:val="0"/>
                <w:sz w:val="21"/>
                <w:szCs w:val="21"/>
                <w:vertAlign w:val="superscript"/>
              </w:rPr>
              <w:t>3</w:t>
            </w:r>
          </w:p>
        </w:tc>
        <w:tc>
          <w:tcPr>
            <w:tcW w:w="358"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50.06</w:t>
            </w:r>
          </w:p>
        </w:tc>
        <w:tc>
          <w:tcPr>
            <w:tcW w:w="389"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34.70</w:t>
            </w:r>
          </w:p>
        </w:tc>
        <w:tc>
          <w:tcPr>
            <w:tcW w:w="338"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0.69</w:t>
            </w:r>
          </w:p>
        </w:tc>
        <w:tc>
          <w:tcPr>
            <w:tcW w:w="385" w:type="pct"/>
            <w:shd w:val="clear" w:color="auto" w:fill="auto"/>
            <w:noWrap/>
            <w:vAlign w:val="center"/>
          </w:tcPr>
          <w:p>
            <w:pPr>
              <w:jc w:val="center"/>
              <w:rPr>
                <w:rFonts w:cs="Times New Roman"/>
                <w:color w:val="auto"/>
                <w:sz w:val="21"/>
                <w:szCs w:val="21"/>
              </w:rPr>
            </w:pPr>
          </w:p>
        </w:tc>
        <w:tc>
          <w:tcPr>
            <w:tcW w:w="474"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0.71</w:t>
            </w:r>
          </w:p>
        </w:tc>
        <w:tc>
          <w:tcPr>
            <w:tcW w:w="395"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1.42</w:t>
            </w:r>
          </w:p>
        </w:tc>
        <w:tc>
          <w:tcPr>
            <w:tcW w:w="353"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37.52</w:t>
            </w:r>
          </w:p>
        </w:tc>
        <w:tc>
          <w:tcPr>
            <w:tcW w:w="311"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1.50</w:t>
            </w:r>
          </w:p>
        </w:tc>
        <w:tc>
          <w:tcPr>
            <w:tcW w:w="287"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2.73</w:t>
            </w:r>
          </w:p>
        </w:tc>
        <w:tc>
          <w:tcPr>
            <w:tcW w:w="317"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3.76</w:t>
            </w:r>
          </w:p>
        </w:tc>
        <w:tc>
          <w:tcPr>
            <w:tcW w:w="294"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4.55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5" w:hRule="atLeast"/>
          <w:jc w:val="center"/>
        </w:trPr>
        <w:tc>
          <w:tcPr>
            <w:tcW w:w="858"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土方回填</w:t>
            </w:r>
          </w:p>
        </w:tc>
        <w:tc>
          <w:tcPr>
            <w:tcW w:w="239"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m</w:t>
            </w:r>
            <w:r>
              <w:rPr>
                <w:rFonts w:ascii="Times New Roman" w:hAnsi="Times New Roman" w:eastAsia="仿宋_GB2312" w:cs="Times New Roman"/>
                <w:color w:val="auto"/>
                <w:kern w:val="0"/>
                <w:sz w:val="21"/>
                <w:szCs w:val="21"/>
                <w:vertAlign w:val="superscript"/>
              </w:rPr>
              <w:t>3</w:t>
            </w:r>
          </w:p>
        </w:tc>
        <w:tc>
          <w:tcPr>
            <w:tcW w:w="901"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4.54</w:t>
            </w:r>
          </w:p>
        </w:tc>
        <w:tc>
          <w:tcPr>
            <w:tcW w:w="979"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1.00</w:t>
            </w:r>
          </w:p>
        </w:tc>
        <w:tc>
          <w:tcPr>
            <w:tcW w:w="851"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0.33</w:t>
            </w:r>
          </w:p>
        </w:tc>
        <w:tc>
          <w:tcPr>
            <w:tcW w:w="971" w:type="dxa"/>
            <w:shd w:val="clear" w:color="auto" w:fill="auto"/>
            <w:noWrap/>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1.97</w:t>
            </w:r>
          </w:p>
        </w:tc>
        <w:tc>
          <w:tcPr>
            <w:tcW w:w="1193"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0.03</w:t>
            </w:r>
          </w:p>
        </w:tc>
        <w:tc>
          <w:tcPr>
            <w:tcW w:w="994"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0.10</w:t>
            </w:r>
          </w:p>
        </w:tc>
        <w:tc>
          <w:tcPr>
            <w:tcW w:w="888"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3.42</w:t>
            </w:r>
          </w:p>
        </w:tc>
        <w:tc>
          <w:tcPr>
            <w:tcW w:w="783"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0.11</w:t>
            </w:r>
          </w:p>
        </w:tc>
        <w:tc>
          <w:tcPr>
            <w:tcW w:w="722"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0.25</w:t>
            </w:r>
          </w:p>
        </w:tc>
        <w:tc>
          <w:tcPr>
            <w:tcW w:w="317" w:type="pct"/>
            <w:shd w:val="clear" w:color="auto" w:fill="auto"/>
            <w:noWrap/>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0.34</w:t>
            </w:r>
          </w:p>
        </w:tc>
        <w:tc>
          <w:tcPr>
            <w:tcW w:w="294" w:type="pct"/>
            <w:shd w:val="clear" w:color="auto" w:fill="auto"/>
            <w:noWrap/>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0.41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5" w:hRule="atLeast"/>
          <w:jc w:val="center"/>
        </w:trPr>
        <w:tc>
          <w:tcPr>
            <w:tcW w:w="858"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M10砂浆抹面</w:t>
            </w:r>
          </w:p>
        </w:tc>
        <w:tc>
          <w:tcPr>
            <w:tcW w:w="239"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m</w:t>
            </w:r>
            <w:r>
              <w:rPr>
                <w:rFonts w:ascii="Times New Roman" w:hAnsi="Times New Roman" w:eastAsia="仿宋_GB2312" w:cs="Times New Roman"/>
                <w:color w:val="auto"/>
                <w:kern w:val="0"/>
                <w:sz w:val="21"/>
                <w:szCs w:val="21"/>
                <w:vertAlign w:val="superscript"/>
              </w:rPr>
              <w:t>2</w:t>
            </w:r>
          </w:p>
        </w:tc>
        <w:tc>
          <w:tcPr>
            <w:tcW w:w="901"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24.09</w:t>
            </w:r>
          </w:p>
        </w:tc>
        <w:tc>
          <w:tcPr>
            <w:tcW w:w="979"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10.73</w:t>
            </w:r>
          </w:p>
        </w:tc>
        <w:tc>
          <w:tcPr>
            <w:tcW w:w="851"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5.76</w:t>
            </w:r>
          </w:p>
        </w:tc>
        <w:tc>
          <w:tcPr>
            <w:tcW w:w="971" w:type="dxa"/>
            <w:shd w:val="clear" w:color="auto" w:fill="auto"/>
            <w:noWrap/>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0.18</w:t>
            </w:r>
          </w:p>
        </w:tc>
        <w:tc>
          <w:tcPr>
            <w:tcW w:w="1193"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0.33</w:t>
            </w:r>
          </w:p>
        </w:tc>
        <w:tc>
          <w:tcPr>
            <w:tcW w:w="994"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1.00</w:t>
            </w:r>
          </w:p>
        </w:tc>
        <w:tc>
          <w:tcPr>
            <w:tcW w:w="888"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18.00</w:t>
            </w:r>
          </w:p>
        </w:tc>
        <w:tc>
          <w:tcPr>
            <w:tcW w:w="783"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0.77</w:t>
            </w:r>
          </w:p>
        </w:tc>
        <w:tc>
          <w:tcPr>
            <w:tcW w:w="722"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1.31</w:t>
            </w:r>
          </w:p>
        </w:tc>
        <w:tc>
          <w:tcPr>
            <w:tcW w:w="317" w:type="pct"/>
            <w:shd w:val="clear" w:color="auto" w:fill="auto"/>
            <w:noWrap/>
            <w:vAlign w:val="center"/>
          </w:tcPr>
          <w:p>
            <w:pPr>
              <w:widowControl/>
              <w:jc w:val="center"/>
              <w:textAlignment w:val="center"/>
              <w:rPr>
                <w:rFonts w:hint="default" w:eastAsia="宋体" w:cs="Times New Roman"/>
                <w:color w:val="auto"/>
                <w:sz w:val="21"/>
                <w:szCs w:val="21"/>
                <w:lang w:val="en-US" w:eastAsia="zh-CN"/>
              </w:rPr>
            </w:pPr>
            <w:r>
              <w:rPr>
                <w:rFonts w:hint="eastAsia" w:cs="Times New Roman"/>
                <w:color w:val="auto"/>
                <w:sz w:val="21"/>
                <w:szCs w:val="21"/>
                <w:lang w:val="en-US" w:eastAsia="zh-CN"/>
              </w:rPr>
              <w:t>1.81</w:t>
            </w:r>
          </w:p>
        </w:tc>
        <w:tc>
          <w:tcPr>
            <w:tcW w:w="294" w:type="pct"/>
            <w:shd w:val="clear" w:color="auto" w:fill="auto"/>
            <w:noWrap/>
            <w:vAlign w:val="center"/>
          </w:tcPr>
          <w:p>
            <w:pPr>
              <w:widowControl/>
              <w:jc w:val="center"/>
              <w:textAlignment w:val="center"/>
              <w:rPr>
                <w:rFonts w:hint="default" w:eastAsia="宋体" w:cs="Times New Roman"/>
                <w:color w:val="auto"/>
                <w:kern w:val="0"/>
                <w:sz w:val="21"/>
                <w:szCs w:val="21"/>
                <w:lang w:val="en-US" w:eastAsia="zh-CN"/>
              </w:rPr>
            </w:pPr>
            <w:r>
              <w:rPr>
                <w:rFonts w:hint="eastAsia" w:cs="Times New Roman"/>
                <w:color w:val="auto"/>
                <w:kern w:val="0"/>
                <w:sz w:val="21"/>
                <w:szCs w:val="21"/>
                <w:lang w:val="en-US" w:eastAsia="zh-CN"/>
              </w:rPr>
              <w:t>2.19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5" w:hRule="atLeast"/>
          <w:jc w:val="center"/>
        </w:trPr>
        <w:tc>
          <w:tcPr>
            <w:tcW w:w="858"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砖砌</w:t>
            </w:r>
          </w:p>
        </w:tc>
        <w:tc>
          <w:tcPr>
            <w:tcW w:w="239"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m</w:t>
            </w:r>
            <w:r>
              <w:rPr>
                <w:rFonts w:ascii="Times New Roman" w:hAnsi="Times New Roman" w:eastAsia="仿宋_GB2312" w:cs="Times New Roman"/>
                <w:color w:val="auto"/>
                <w:kern w:val="0"/>
                <w:sz w:val="21"/>
                <w:szCs w:val="21"/>
                <w:vertAlign w:val="superscript"/>
              </w:rPr>
              <w:t>3</w:t>
            </w:r>
          </w:p>
        </w:tc>
        <w:tc>
          <w:tcPr>
            <w:tcW w:w="901"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456.76 </w:t>
            </w:r>
          </w:p>
        </w:tc>
        <w:tc>
          <w:tcPr>
            <w:tcW w:w="979"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18.75 </w:t>
            </w:r>
          </w:p>
        </w:tc>
        <w:tc>
          <w:tcPr>
            <w:tcW w:w="851"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295.28 </w:t>
            </w:r>
          </w:p>
        </w:tc>
        <w:tc>
          <w:tcPr>
            <w:tcW w:w="971" w:type="dxa"/>
            <w:shd w:val="clear" w:color="auto" w:fill="auto"/>
            <w:noWrap/>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2.04 </w:t>
            </w:r>
          </w:p>
        </w:tc>
        <w:tc>
          <w:tcPr>
            <w:tcW w:w="1193"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6.32 </w:t>
            </w:r>
          </w:p>
        </w:tc>
        <w:tc>
          <w:tcPr>
            <w:tcW w:w="994"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18.96 </w:t>
            </w:r>
          </w:p>
        </w:tc>
        <w:tc>
          <w:tcPr>
            <w:tcW w:w="888"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341.35 </w:t>
            </w:r>
          </w:p>
        </w:tc>
        <w:tc>
          <w:tcPr>
            <w:tcW w:w="783"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14.68 </w:t>
            </w:r>
          </w:p>
        </w:tc>
        <w:tc>
          <w:tcPr>
            <w:tcW w:w="722"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24.92 </w:t>
            </w:r>
          </w:p>
        </w:tc>
        <w:tc>
          <w:tcPr>
            <w:tcW w:w="798" w:type="dxa"/>
            <w:shd w:val="clear" w:color="auto" w:fill="auto"/>
            <w:noWrap/>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34.29 </w:t>
            </w:r>
          </w:p>
        </w:tc>
        <w:tc>
          <w:tcPr>
            <w:tcW w:w="740"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41.52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5" w:hRule="atLeast"/>
          <w:jc w:val="center"/>
        </w:trPr>
        <w:tc>
          <w:tcPr>
            <w:tcW w:w="858"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铺素混凝土（C15砼）</w:t>
            </w:r>
          </w:p>
        </w:tc>
        <w:tc>
          <w:tcPr>
            <w:tcW w:w="239"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m</w:t>
            </w:r>
            <w:r>
              <w:rPr>
                <w:rFonts w:ascii="Times New Roman" w:hAnsi="Times New Roman" w:eastAsia="仿宋_GB2312" w:cs="Times New Roman"/>
                <w:color w:val="auto"/>
                <w:kern w:val="0"/>
                <w:sz w:val="21"/>
                <w:szCs w:val="21"/>
                <w:vertAlign w:val="superscript"/>
              </w:rPr>
              <w:t>3</w:t>
            </w:r>
          </w:p>
        </w:tc>
        <w:tc>
          <w:tcPr>
            <w:tcW w:w="901"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394.10</w:t>
            </w:r>
          </w:p>
        </w:tc>
        <w:tc>
          <w:tcPr>
            <w:tcW w:w="979"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63.45</w:t>
            </w:r>
          </w:p>
        </w:tc>
        <w:tc>
          <w:tcPr>
            <w:tcW w:w="851"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209.25</w:t>
            </w:r>
          </w:p>
        </w:tc>
        <w:tc>
          <w:tcPr>
            <w:tcW w:w="971" w:type="dxa"/>
            <w:shd w:val="clear" w:color="auto" w:fill="auto"/>
            <w:noWrap/>
            <w:vAlign w:val="center"/>
          </w:tcPr>
          <w:p>
            <w:pPr>
              <w:jc w:val="center"/>
              <w:rPr>
                <w:rFonts w:cs="Times New Roman"/>
                <w:color w:val="auto"/>
                <w:sz w:val="21"/>
                <w:szCs w:val="21"/>
              </w:rPr>
            </w:pPr>
          </w:p>
        </w:tc>
        <w:tc>
          <w:tcPr>
            <w:tcW w:w="1193"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5.45</w:t>
            </w:r>
          </w:p>
        </w:tc>
        <w:tc>
          <w:tcPr>
            <w:tcW w:w="994"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16.36</w:t>
            </w:r>
          </w:p>
        </w:tc>
        <w:tc>
          <w:tcPr>
            <w:tcW w:w="888"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294.52</w:t>
            </w:r>
          </w:p>
        </w:tc>
        <w:tc>
          <w:tcPr>
            <w:tcW w:w="783"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12.66</w:t>
            </w:r>
          </w:p>
        </w:tc>
        <w:tc>
          <w:tcPr>
            <w:tcW w:w="722"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21.50</w:t>
            </w:r>
          </w:p>
        </w:tc>
        <w:tc>
          <w:tcPr>
            <w:tcW w:w="798" w:type="dxa"/>
            <w:shd w:val="clear" w:color="auto" w:fill="auto"/>
            <w:noWrap/>
            <w:vAlign w:val="center"/>
          </w:tcPr>
          <w:p>
            <w:pPr>
              <w:keepNext w:val="0"/>
              <w:keepLines w:val="0"/>
              <w:widowControl/>
              <w:suppressLineNumbers w:val="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29.58 </w:t>
            </w:r>
          </w:p>
        </w:tc>
        <w:tc>
          <w:tcPr>
            <w:tcW w:w="740" w:type="dxa"/>
            <w:shd w:val="clear" w:color="auto" w:fill="auto"/>
            <w:noWrap/>
            <w:vAlign w:val="center"/>
          </w:tcPr>
          <w:p>
            <w:pPr>
              <w:keepNext w:val="0"/>
              <w:keepLines w:val="0"/>
              <w:widowControl/>
              <w:suppressLineNumbers w:val="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35.83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28" w:hRule="atLeast"/>
          <w:jc w:val="center"/>
        </w:trPr>
        <w:tc>
          <w:tcPr>
            <w:tcW w:w="858"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铺苫布</w:t>
            </w:r>
          </w:p>
        </w:tc>
        <w:tc>
          <w:tcPr>
            <w:tcW w:w="239"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m</w:t>
            </w:r>
            <w:r>
              <w:rPr>
                <w:rFonts w:ascii="Times New Roman" w:hAnsi="Times New Roman" w:eastAsia="仿宋_GB2312" w:cs="Times New Roman"/>
                <w:color w:val="auto"/>
                <w:kern w:val="0"/>
                <w:sz w:val="21"/>
                <w:szCs w:val="21"/>
                <w:vertAlign w:val="superscript"/>
              </w:rPr>
              <w:t>2</w:t>
            </w:r>
          </w:p>
        </w:tc>
        <w:tc>
          <w:tcPr>
            <w:tcW w:w="358"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4.78</w:t>
            </w:r>
          </w:p>
        </w:tc>
        <w:tc>
          <w:tcPr>
            <w:tcW w:w="389"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1.25</w:t>
            </w:r>
          </w:p>
        </w:tc>
        <w:tc>
          <w:tcPr>
            <w:tcW w:w="338"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2.22</w:t>
            </w:r>
          </w:p>
        </w:tc>
        <w:tc>
          <w:tcPr>
            <w:tcW w:w="385" w:type="pct"/>
            <w:shd w:val="clear" w:color="auto" w:fill="auto"/>
            <w:noWrap/>
            <w:vAlign w:val="center"/>
          </w:tcPr>
          <w:p>
            <w:pPr>
              <w:jc w:val="center"/>
              <w:rPr>
                <w:rFonts w:cs="Times New Roman"/>
                <w:color w:val="auto"/>
                <w:sz w:val="21"/>
                <w:szCs w:val="21"/>
              </w:rPr>
            </w:pPr>
          </w:p>
        </w:tc>
        <w:tc>
          <w:tcPr>
            <w:tcW w:w="474"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0.03</w:t>
            </w:r>
          </w:p>
        </w:tc>
        <w:tc>
          <w:tcPr>
            <w:tcW w:w="395"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0.10</w:t>
            </w:r>
          </w:p>
        </w:tc>
        <w:tc>
          <w:tcPr>
            <w:tcW w:w="353"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3.60</w:t>
            </w:r>
          </w:p>
        </w:tc>
        <w:tc>
          <w:tcPr>
            <w:tcW w:w="311"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0.12</w:t>
            </w:r>
          </w:p>
        </w:tc>
        <w:tc>
          <w:tcPr>
            <w:tcW w:w="287"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0.26</w:t>
            </w:r>
          </w:p>
        </w:tc>
        <w:tc>
          <w:tcPr>
            <w:tcW w:w="317"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0.36</w:t>
            </w:r>
          </w:p>
        </w:tc>
        <w:tc>
          <w:tcPr>
            <w:tcW w:w="294"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0.43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5" w:hRule="atLeast"/>
          <w:jc w:val="center"/>
        </w:trPr>
        <w:tc>
          <w:tcPr>
            <w:tcW w:w="858"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装土编织袋挡墙填筑</w:t>
            </w:r>
          </w:p>
        </w:tc>
        <w:tc>
          <w:tcPr>
            <w:tcW w:w="239"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m</w:t>
            </w:r>
            <w:r>
              <w:rPr>
                <w:rFonts w:ascii="Times New Roman" w:hAnsi="Times New Roman" w:eastAsia="仿宋_GB2312" w:cs="Times New Roman"/>
                <w:color w:val="auto"/>
                <w:kern w:val="0"/>
                <w:sz w:val="21"/>
                <w:szCs w:val="21"/>
                <w:vertAlign w:val="superscript"/>
              </w:rPr>
              <w:t>3</w:t>
            </w:r>
          </w:p>
        </w:tc>
        <w:tc>
          <w:tcPr>
            <w:tcW w:w="358"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250.18</w:t>
            </w:r>
          </w:p>
        </w:tc>
        <w:tc>
          <w:tcPr>
            <w:tcW w:w="389"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145.25</w:t>
            </w:r>
          </w:p>
        </w:tc>
        <w:tc>
          <w:tcPr>
            <w:tcW w:w="338"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33.33</w:t>
            </w:r>
          </w:p>
        </w:tc>
        <w:tc>
          <w:tcPr>
            <w:tcW w:w="385" w:type="pct"/>
            <w:shd w:val="clear" w:color="auto" w:fill="auto"/>
            <w:noWrap/>
            <w:vAlign w:val="center"/>
          </w:tcPr>
          <w:p>
            <w:pPr>
              <w:jc w:val="center"/>
              <w:rPr>
                <w:rFonts w:cs="Times New Roman"/>
                <w:color w:val="auto"/>
                <w:sz w:val="21"/>
                <w:szCs w:val="21"/>
              </w:rPr>
            </w:pPr>
          </w:p>
        </w:tc>
        <w:tc>
          <w:tcPr>
            <w:tcW w:w="474"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1.79</w:t>
            </w:r>
          </w:p>
        </w:tc>
        <w:tc>
          <w:tcPr>
            <w:tcW w:w="395"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7.14</w:t>
            </w:r>
          </w:p>
        </w:tc>
        <w:tc>
          <w:tcPr>
            <w:tcW w:w="353"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187.51</w:t>
            </w:r>
          </w:p>
        </w:tc>
        <w:tc>
          <w:tcPr>
            <w:tcW w:w="311"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7.50</w:t>
            </w:r>
          </w:p>
        </w:tc>
        <w:tc>
          <w:tcPr>
            <w:tcW w:w="287"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13.65</w:t>
            </w:r>
          </w:p>
        </w:tc>
        <w:tc>
          <w:tcPr>
            <w:tcW w:w="317"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18.78</w:t>
            </w:r>
          </w:p>
        </w:tc>
        <w:tc>
          <w:tcPr>
            <w:tcW w:w="294"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22.74</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5" w:hRule="atLeast"/>
          <w:jc w:val="center"/>
        </w:trPr>
        <w:tc>
          <w:tcPr>
            <w:tcW w:w="858"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装土编织袋挡墙拆除</w:t>
            </w:r>
          </w:p>
        </w:tc>
        <w:tc>
          <w:tcPr>
            <w:tcW w:w="239"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m</w:t>
            </w:r>
            <w:r>
              <w:rPr>
                <w:rFonts w:ascii="Times New Roman" w:hAnsi="Times New Roman" w:eastAsia="仿宋_GB2312" w:cs="Times New Roman"/>
                <w:color w:val="auto"/>
                <w:kern w:val="0"/>
                <w:sz w:val="21"/>
                <w:szCs w:val="21"/>
                <w:vertAlign w:val="superscript"/>
              </w:rPr>
              <w:t>3</w:t>
            </w:r>
          </w:p>
        </w:tc>
        <w:tc>
          <w:tcPr>
            <w:tcW w:w="358"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30.30</w:t>
            </w:r>
          </w:p>
        </w:tc>
        <w:tc>
          <w:tcPr>
            <w:tcW w:w="389"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21.00</w:t>
            </w:r>
          </w:p>
        </w:tc>
        <w:tc>
          <w:tcPr>
            <w:tcW w:w="338"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0.63</w:t>
            </w:r>
          </w:p>
        </w:tc>
        <w:tc>
          <w:tcPr>
            <w:tcW w:w="385" w:type="pct"/>
            <w:shd w:val="clear" w:color="auto" w:fill="auto"/>
            <w:noWrap/>
            <w:vAlign w:val="center"/>
          </w:tcPr>
          <w:p>
            <w:pPr>
              <w:jc w:val="center"/>
              <w:rPr>
                <w:rFonts w:cs="Times New Roman"/>
                <w:color w:val="auto"/>
                <w:sz w:val="21"/>
                <w:szCs w:val="21"/>
              </w:rPr>
            </w:pPr>
          </w:p>
        </w:tc>
        <w:tc>
          <w:tcPr>
            <w:tcW w:w="474"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0.22</w:t>
            </w:r>
          </w:p>
        </w:tc>
        <w:tc>
          <w:tcPr>
            <w:tcW w:w="395"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0.87</w:t>
            </w:r>
          </w:p>
        </w:tc>
        <w:tc>
          <w:tcPr>
            <w:tcW w:w="353"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22.71</w:t>
            </w:r>
          </w:p>
        </w:tc>
        <w:tc>
          <w:tcPr>
            <w:tcW w:w="311"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0.91</w:t>
            </w:r>
          </w:p>
        </w:tc>
        <w:tc>
          <w:tcPr>
            <w:tcW w:w="287"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1.65</w:t>
            </w:r>
          </w:p>
        </w:tc>
        <w:tc>
          <w:tcPr>
            <w:tcW w:w="317"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2.27</w:t>
            </w:r>
          </w:p>
        </w:tc>
        <w:tc>
          <w:tcPr>
            <w:tcW w:w="294"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2.75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5" w:hRule="atLeast"/>
          <w:jc w:val="center"/>
        </w:trPr>
        <w:tc>
          <w:tcPr>
            <w:tcW w:w="858"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铺植草皮</w:t>
            </w:r>
          </w:p>
        </w:tc>
        <w:tc>
          <w:tcPr>
            <w:tcW w:w="239"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m</w:t>
            </w:r>
            <w:r>
              <w:rPr>
                <w:rFonts w:ascii="Times New Roman" w:hAnsi="Times New Roman" w:eastAsia="仿宋_GB2312" w:cs="Times New Roman"/>
                <w:color w:val="auto"/>
                <w:kern w:val="0"/>
                <w:sz w:val="21"/>
                <w:szCs w:val="21"/>
                <w:vertAlign w:val="superscript"/>
              </w:rPr>
              <w:t>2</w:t>
            </w:r>
          </w:p>
        </w:tc>
        <w:tc>
          <w:tcPr>
            <w:tcW w:w="358"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23.60</w:t>
            </w:r>
          </w:p>
        </w:tc>
        <w:tc>
          <w:tcPr>
            <w:tcW w:w="389"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10.50</w:t>
            </w:r>
          </w:p>
        </w:tc>
        <w:tc>
          <w:tcPr>
            <w:tcW w:w="338"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6.78</w:t>
            </w:r>
          </w:p>
        </w:tc>
        <w:tc>
          <w:tcPr>
            <w:tcW w:w="385" w:type="pct"/>
            <w:shd w:val="clear" w:color="auto" w:fill="auto"/>
            <w:noWrap/>
            <w:vAlign w:val="center"/>
          </w:tcPr>
          <w:p>
            <w:pPr>
              <w:jc w:val="center"/>
              <w:rPr>
                <w:rFonts w:cs="Times New Roman"/>
                <w:color w:val="auto"/>
                <w:sz w:val="21"/>
                <w:szCs w:val="21"/>
              </w:rPr>
            </w:pPr>
          </w:p>
        </w:tc>
        <w:tc>
          <w:tcPr>
            <w:tcW w:w="474"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0.17</w:t>
            </w:r>
          </w:p>
        </w:tc>
        <w:tc>
          <w:tcPr>
            <w:tcW w:w="395"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0.69</w:t>
            </w:r>
          </w:p>
        </w:tc>
        <w:tc>
          <w:tcPr>
            <w:tcW w:w="353"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18.14</w:t>
            </w:r>
          </w:p>
        </w:tc>
        <w:tc>
          <w:tcPr>
            <w:tcW w:w="311"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0.60</w:t>
            </w:r>
          </w:p>
        </w:tc>
        <w:tc>
          <w:tcPr>
            <w:tcW w:w="287"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0.94</w:t>
            </w:r>
          </w:p>
        </w:tc>
        <w:tc>
          <w:tcPr>
            <w:tcW w:w="317" w:type="pct"/>
            <w:shd w:val="clear" w:color="auto" w:fill="auto"/>
            <w:noWrap/>
            <w:vAlign w:val="center"/>
          </w:tcPr>
          <w:p>
            <w:pPr>
              <w:widowControl/>
              <w:jc w:val="center"/>
              <w:rPr>
                <w:rFonts w:cs="Times New Roman"/>
                <w:color w:val="auto"/>
                <w:sz w:val="21"/>
                <w:szCs w:val="21"/>
              </w:rPr>
            </w:pPr>
            <w:r>
              <w:rPr>
                <w:rFonts w:ascii="Times New Roman" w:hAnsi="Times New Roman" w:eastAsia="仿宋_GB2312" w:cs="Times New Roman"/>
                <w:color w:val="auto"/>
                <w:sz w:val="21"/>
                <w:szCs w:val="21"/>
              </w:rPr>
              <w:t>1.77</w:t>
            </w:r>
          </w:p>
        </w:tc>
        <w:tc>
          <w:tcPr>
            <w:tcW w:w="294"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2.15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5" w:hRule="atLeast"/>
          <w:jc w:val="center"/>
        </w:trPr>
        <w:tc>
          <w:tcPr>
            <w:tcW w:w="858"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撒播草籽</w:t>
            </w:r>
          </w:p>
        </w:tc>
        <w:tc>
          <w:tcPr>
            <w:tcW w:w="239"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m</w:t>
            </w:r>
            <w:r>
              <w:rPr>
                <w:rFonts w:ascii="Times New Roman" w:hAnsi="Times New Roman" w:eastAsia="仿宋_GB2312" w:cs="Times New Roman"/>
                <w:color w:val="auto"/>
                <w:kern w:val="0"/>
                <w:sz w:val="21"/>
                <w:szCs w:val="21"/>
                <w:vertAlign w:val="superscript"/>
              </w:rPr>
              <w:t>2</w:t>
            </w:r>
          </w:p>
        </w:tc>
        <w:tc>
          <w:tcPr>
            <w:tcW w:w="358"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0.46</w:t>
            </w:r>
          </w:p>
        </w:tc>
        <w:tc>
          <w:tcPr>
            <w:tcW w:w="389"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1.25</w:t>
            </w:r>
          </w:p>
        </w:tc>
        <w:tc>
          <w:tcPr>
            <w:tcW w:w="338"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0.34</w:t>
            </w:r>
          </w:p>
        </w:tc>
        <w:tc>
          <w:tcPr>
            <w:tcW w:w="385" w:type="pct"/>
            <w:shd w:val="clear" w:color="auto" w:fill="auto"/>
            <w:noWrap/>
            <w:vAlign w:val="center"/>
          </w:tcPr>
          <w:p>
            <w:pPr>
              <w:jc w:val="center"/>
              <w:rPr>
                <w:rFonts w:cs="Times New Roman"/>
                <w:color w:val="auto"/>
                <w:sz w:val="21"/>
                <w:szCs w:val="21"/>
              </w:rPr>
            </w:pPr>
          </w:p>
        </w:tc>
        <w:tc>
          <w:tcPr>
            <w:tcW w:w="474" w:type="pct"/>
            <w:shd w:val="clear" w:color="auto" w:fill="auto"/>
            <w:noWrap/>
            <w:vAlign w:val="center"/>
          </w:tcPr>
          <w:p>
            <w:pPr>
              <w:widowControl/>
              <w:jc w:val="center"/>
              <w:textAlignment w:val="center"/>
              <w:rPr>
                <w:rFonts w:cs="Times New Roman"/>
                <w:color w:val="auto"/>
                <w:kern w:val="0"/>
                <w:sz w:val="21"/>
                <w:szCs w:val="21"/>
              </w:rPr>
            </w:pPr>
            <w:r>
              <w:rPr>
                <w:rFonts w:hint="eastAsia" w:ascii="Times New Roman" w:hAnsi="Times New Roman" w:cs="Times New Roman"/>
                <w:color w:val="auto"/>
                <w:kern w:val="0"/>
                <w:sz w:val="21"/>
                <w:szCs w:val="21"/>
              </w:rPr>
              <w:t xml:space="preserve">0.00 </w:t>
            </w:r>
          </w:p>
        </w:tc>
        <w:tc>
          <w:tcPr>
            <w:tcW w:w="395"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0.01</w:t>
            </w:r>
          </w:p>
        </w:tc>
        <w:tc>
          <w:tcPr>
            <w:tcW w:w="353"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0.35</w:t>
            </w:r>
          </w:p>
        </w:tc>
        <w:tc>
          <w:tcPr>
            <w:tcW w:w="311"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0.01</w:t>
            </w:r>
          </w:p>
        </w:tc>
        <w:tc>
          <w:tcPr>
            <w:tcW w:w="287"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0.02</w:t>
            </w:r>
          </w:p>
        </w:tc>
        <w:tc>
          <w:tcPr>
            <w:tcW w:w="317" w:type="pct"/>
            <w:shd w:val="clear" w:color="auto" w:fill="auto"/>
            <w:noWrap/>
            <w:vAlign w:val="center"/>
          </w:tcPr>
          <w:p>
            <w:pPr>
              <w:widowControl/>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0.03</w:t>
            </w:r>
          </w:p>
        </w:tc>
        <w:tc>
          <w:tcPr>
            <w:tcW w:w="294" w:type="pct"/>
            <w:shd w:val="clear" w:color="auto" w:fill="auto"/>
            <w:noWrap/>
            <w:vAlign w:val="center"/>
          </w:tcPr>
          <w:p>
            <w:pPr>
              <w:widowControl/>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0.04</w:t>
            </w:r>
          </w:p>
        </w:tc>
      </w:tr>
    </w:tbl>
    <w:p>
      <w:pPr>
        <w:rPr>
          <w:rFonts w:ascii="Times New Roman" w:hAnsi="Times New Roman" w:eastAsia="仿宋_GB2312" w:cs="Times New Roman"/>
          <w:color w:val="auto"/>
          <w:szCs w:val="24"/>
        </w:rPr>
      </w:pPr>
    </w:p>
    <w:p>
      <w:pPr>
        <w:snapToGrid w:val="0"/>
        <w:spacing w:beforeLines="15"/>
        <w:jc w:val="center"/>
        <w:rPr>
          <w:rFonts w:ascii="Times New Roman" w:hAnsi="Times New Roman" w:eastAsia="仿宋_GB2312" w:cs="Times New Roman"/>
          <w:b/>
          <w:color w:val="auto"/>
          <w:szCs w:val="24"/>
        </w:rPr>
      </w:pPr>
    </w:p>
    <w:p>
      <w:pPr>
        <w:snapToGrid w:val="0"/>
        <w:spacing w:beforeLines="15"/>
        <w:jc w:val="center"/>
        <w:rPr>
          <w:rFonts w:ascii="Times New Roman" w:hAnsi="Times New Roman" w:eastAsia="仿宋_GB2312" w:cs="Times New Roman"/>
          <w:b/>
          <w:color w:val="auto"/>
          <w:szCs w:val="24"/>
        </w:rPr>
      </w:pPr>
    </w:p>
    <w:p>
      <w:pPr>
        <w:snapToGrid w:val="0"/>
        <w:spacing w:beforeLines="15"/>
        <w:jc w:val="center"/>
        <w:rPr>
          <w:rFonts w:ascii="Times New Roman" w:hAnsi="Times New Roman" w:eastAsia="仿宋_GB2312" w:cs="Times New Roman"/>
          <w:b/>
          <w:color w:val="auto"/>
          <w:szCs w:val="24"/>
        </w:rPr>
      </w:pPr>
    </w:p>
    <w:p>
      <w:pPr>
        <w:snapToGrid w:val="0"/>
        <w:spacing w:beforeLines="15"/>
        <w:jc w:val="center"/>
        <w:rPr>
          <w:rFonts w:ascii="Times New Roman" w:hAnsi="Times New Roman" w:eastAsia="仿宋_GB2312" w:cs="Times New Roman"/>
          <w:b/>
          <w:color w:val="auto"/>
          <w:szCs w:val="24"/>
        </w:rPr>
      </w:pPr>
    </w:p>
    <w:p>
      <w:pPr>
        <w:snapToGrid w:val="0"/>
        <w:spacing w:beforeLines="15"/>
        <w:jc w:val="center"/>
        <w:rPr>
          <w:rFonts w:ascii="Times New Roman" w:hAnsi="Times New Roman" w:eastAsia="仿宋_GB2312" w:cs="Times New Roman"/>
          <w:b/>
          <w:color w:val="auto"/>
          <w:szCs w:val="24"/>
        </w:rPr>
      </w:pPr>
    </w:p>
    <w:p>
      <w:pPr>
        <w:snapToGrid w:val="0"/>
        <w:spacing w:beforeLines="15"/>
        <w:jc w:val="center"/>
        <w:rPr>
          <w:rFonts w:ascii="Times New Roman" w:hAnsi="Times New Roman" w:eastAsia="仿宋_GB2312" w:cs="Times New Roman"/>
          <w:b/>
          <w:color w:val="auto"/>
          <w:szCs w:val="24"/>
        </w:rPr>
      </w:pPr>
    </w:p>
    <w:p>
      <w:pPr>
        <w:snapToGrid w:val="0"/>
        <w:spacing w:beforeLines="15"/>
        <w:jc w:val="center"/>
        <w:rPr>
          <w:rFonts w:ascii="Times New Roman" w:hAnsi="Times New Roman" w:eastAsia="仿宋_GB2312" w:cs="Times New Roman"/>
          <w:b/>
          <w:color w:val="auto"/>
          <w:szCs w:val="24"/>
        </w:rPr>
      </w:pPr>
    </w:p>
    <w:p>
      <w:pPr>
        <w:snapToGrid w:val="0"/>
        <w:spacing w:beforeLines="15"/>
        <w:jc w:val="center"/>
        <w:rPr>
          <w:rFonts w:ascii="Times New Roman" w:hAnsi="Times New Roman" w:eastAsia="仿宋_GB2312" w:cs="Times New Roman"/>
          <w:b/>
          <w:color w:val="auto"/>
          <w:szCs w:val="24"/>
        </w:rPr>
      </w:pPr>
    </w:p>
    <w:p>
      <w:pPr>
        <w:snapToGrid w:val="0"/>
        <w:spacing w:beforeLines="15"/>
        <w:jc w:val="center"/>
        <w:rPr>
          <w:rFonts w:ascii="Times New Roman" w:hAnsi="Times New Roman" w:eastAsia="仿宋_GB2312" w:cs="Times New Roman"/>
          <w:b/>
          <w:color w:val="auto"/>
          <w:szCs w:val="24"/>
        </w:rPr>
      </w:pPr>
    </w:p>
    <w:p>
      <w:pPr>
        <w:spacing w:line="360" w:lineRule="auto"/>
        <w:jc w:val="center"/>
        <w:rPr>
          <w:rFonts w:ascii="Times New Roman" w:hAnsi="Times New Roman" w:eastAsia="仿宋_GB2312" w:cs="Times New Roman"/>
          <w:b/>
          <w:bCs/>
          <w:color w:val="auto"/>
          <w:szCs w:val="24"/>
        </w:rPr>
      </w:pPr>
      <w:r>
        <w:rPr>
          <w:rFonts w:ascii="Times New Roman" w:hAnsi="Times New Roman" w:eastAsia="仿宋_GB2312" w:cs="Times New Roman"/>
          <w:b/>
          <w:bCs/>
          <w:color w:val="auto"/>
          <w:szCs w:val="24"/>
        </w:rPr>
        <w:t>表7</w:t>
      </w:r>
      <w:r>
        <w:rPr>
          <w:rFonts w:hint="eastAsia" w:ascii="Times New Roman" w:hAnsi="Times New Roman" w:eastAsia="仿宋_GB2312" w:cs="Times New Roman"/>
          <w:b/>
          <w:bCs/>
          <w:color w:val="auto"/>
          <w:szCs w:val="24"/>
        </w:rPr>
        <w:t>.</w:t>
      </w:r>
      <w:r>
        <w:rPr>
          <w:rFonts w:ascii="Times New Roman" w:hAnsi="Times New Roman" w:eastAsia="仿宋_GB2312" w:cs="Times New Roman"/>
          <w:b/>
          <w:bCs/>
          <w:color w:val="auto"/>
          <w:szCs w:val="24"/>
        </w:rPr>
        <w:t>1-</w:t>
      </w:r>
      <w:r>
        <w:rPr>
          <w:rFonts w:hint="eastAsia" w:ascii="Times New Roman" w:hAnsi="Times New Roman" w:eastAsia="仿宋_GB2312" w:cs="Times New Roman"/>
          <w:b/>
          <w:bCs/>
          <w:color w:val="auto"/>
          <w:szCs w:val="24"/>
        </w:rPr>
        <w:t>9</w:t>
      </w:r>
      <w:r>
        <w:rPr>
          <w:rFonts w:ascii="Times New Roman" w:hAnsi="Times New Roman" w:eastAsia="仿宋_GB2312" w:cs="Times New Roman"/>
          <w:b/>
          <w:bCs/>
          <w:color w:val="auto"/>
          <w:szCs w:val="24"/>
        </w:rPr>
        <w:t>：施工机械台时费汇总表</w:t>
      </w:r>
    </w:p>
    <w:tbl>
      <w:tblPr>
        <w:tblStyle w:val="37"/>
        <w:tblW w:w="5134"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911"/>
        <w:gridCol w:w="1362"/>
        <w:gridCol w:w="1086"/>
        <w:gridCol w:w="989"/>
        <w:gridCol w:w="1216"/>
        <w:gridCol w:w="1075"/>
        <w:gridCol w:w="1149"/>
        <w:gridCol w:w="1288"/>
        <w:gridCol w:w="1136"/>
        <w:gridCol w:w="1194"/>
        <w:gridCol w:w="1138"/>
        <w:gridCol w:w="1271"/>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30" w:type="pct"/>
            <w:vMerge w:val="restart"/>
            <w:noWrap/>
            <w:vAlign w:val="center"/>
          </w:tcPr>
          <w:p>
            <w:pPr>
              <w:widowControl/>
              <w:spacing w:line="240" w:lineRule="atLeast"/>
              <w:jc w:val="center"/>
              <w:textAlignment w:val="center"/>
              <w:rPr>
                <w:rFonts w:cs="Times New Roman"/>
                <w:b/>
                <w:color w:val="auto"/>
                <w:sz w:val="21"/>
                <w:szCs w:val="21"/>
              </w:rPr>
            </w:pPr>
            <w:r>
              <w:rPr>
                <w:rFonts w:ascii="Times New Roman" w:hAnsi="Times New Roman" w:eastAsia="仿宋_GB2312" w:cs="Times New Roman"/>
                <w:b/>
                <w:color w:val="auto"/>
                <w:kern w:val="0"/>
                <w:sz w:val="21"/>
                <w:szCs w:val="21"/>
              </w:rPr>
              <w:t>定额序号</w:t>
            </w:r>
          </w:p>
        </w:tc>
        <w:tc>
          <w:tcPr>
            <w:tcW w:w="493" w:type="pct"/>
            <w:vMerge w:val="restart"/>
            <w:noWrap/>
            <w:vAlign w:val="center"/>
          </w:tcPr>
          <w:p>
            <w:pPr>
              <w:widowControl/>
              <w:spacing w:line="240" w:lineRule="atLeast"/>
              <w:jc w:val="center"/>
              <w:textAlignment w:val="center"/>
              <w:rPr>
                <w:rFonts w:cs="Times New Roman"/>
                <w:b/>
                <w:color w:val="auto"/>
                <w:sz w:val="21"/>
                <w:szCs w:val="21"/>
              </w:rPr>
            </w:pPr>
            <w:r>
              <w:rPr>
                <w:rFonts w:ascii="Times New Roman" w:hAnsi="Times New Roman" w:eastAsia="仿宋_GB2312" w:cs="Times New Roman"/>
                <w:b/>
                <w:color w:val="auto"/>
                <w:kern w:val="0"/>
                <w:sz w:val="21"/>
                <w:szCs w:val="21"/>
              </w:rPr>
              <w:t>机械名称</w:t>
            </w:r>
          </w:p>
        </w:tc>
        <w:tc>
          <w:tcPr>
            <w:tcW w:w="393" w:type="pct"/>
            <w:vMerge w:val="restart"/>
            <w:noWrap/>
            <w:vAlign w:val="center"/>
          </w:tcPr>
          <w:p>
            <w:pPr>
              <w:widowControl/>
              <w:spacing w:line="240" w:lineRule="atLeast"/>
              <w:jc w:val="center"/>
              <w:textAlignment w:val="center"/>
              <w:rPr>
                <w:rFonts w:cs="Times New Roman"/>
                <w:b/>
                <w:color w:val="auto"/>
                <w:sz w:val="21"/>
                <w:szCs w:val="21"/>
              </w:rPr>
            </w:pPr>
            <w:r>
              <w:rPr>
                <w:rFonts w:ascii="Times New Roman" w:hAnsi="Times New Roman" w:eastAsia="仿宋_GB2312" w:cs="Times New Roman"/>
                <w:b/>
                <w:color w:val="auto"/>
                <w:kern w:val="0"/>
                <w:sz w:val="21"/>
                <w:szCs w:val="21"/>
              </w:rPr>
              <w:t>台时费（元）</w:t>
            </w:r>
          </w:p>
        </w:tc>
        <w:tc>
          <w:tcPr>
            <w:tcW w:w="1603" w:type="pct"/>
            <w:gridSpan w:val="4"/>
            <w:noWrap/>
            <w:vAlign w:val="center"/>
          </w:tcPr>
          <w:p>
            <w:pPr>
              <w:widowControl/>
              <w:spacing w:line="240" w:lineRule="atLeast"/>
              <w:jc w:val="center"/>
              <w:textAlignment w:val="center"/>
              <w:rPr>
                <w:rFonts w:cs="Times New Roman"/>
                <w:b/>
                <w:color w:val="auto"/>
                <w:sz w:val="21"/>
                <w:szCs w:val="21"/>
              </w:rPr>
            </w:pPr>
            <w:r>
              <w:rPr>
                <w:rFonts w:ascii="Times New Roman" w:hAnsi="Times New Roman" w:eastAsia="仿宋_GB2312" w:cs="Times New Roman"/>
                <w:b/>
                <w:color w:val="auto"/>
                <w:kern w:val="0"/>
                <w:sz w:val="21"/>
                <w:szCs w:val="21"/>
              </w:rPr>
              <w:t>一类费用（元）</w:t>
            </w:r>
          </w:p>
        </w:tc>
        <w:tc>
          <w:tcPr>
            <w:tcW w:w="2181" w:type="pct"/>
            <w:gridSpan w:val="5"/>
            <w:noWrap/>
            <w:vAlign w:val="center"/>
          </w:tcPr>
          <w:p>
            <w:pPr>
              <w:widowControl/>
              <w:spacing w:line="240" w:lineRule="atLeast"/>
              <w:jc w:val="center"/>
              <w:textAlignment w:val="center"/>
              <w:rPr>
                <w:rFonts w:cs="Times New Roman"/>
                <w:b/>
                <w:color w:val="auto"/>
                <w:sz w:val="21"/>
                <w:szCs w:val="21"/>
              </w:rPr>
            </w:pPr>
            <w:r>
              <w:rPr>
                <w:rFonts w:ascii="Times New Roman" w:hAnsi="Times New Roman" w:eastAsia="仿宋_GB2312" w:cs="Times New Roman"/>
                <w:b/>
                <w:color w:val="auto"/>
                <w:kern w:val="0"/>
                <w:sz w:val="21"/>
                <w:szCs w:val="21"/>
              </w:rPr>
              <w:t>二类费用（元）</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80" w:hRule="atLeast"/>
          <w:jc w:val="center"/>
        </w:trPr>
        <w:tc>
          <w:tcPr>
            <w:tcW w:w="330" w:type="pct"/>
            <w:vMerge w:val="continue"/>
            <w:noWrap/>
            <w:vAlign w:val="center"/>
          </w:tcPr>
          <w:p>
            <w:pPr>
              <w:widowControl/>
              <w:spacing w:line="240" w:lineRule="atLeast"/>
              <w:jc w:val="center"/>
              <w:rPr>
                <w:rFonts w:cs="Times New Roman"/>
                <w:b/>
                <w:color w:val="auto"/>
                <w:sz w:val="21"/>
                <w:szCs w:val="21"/>
              </w:rPr>
            </w:pPr>
          </w:p>
        </w:tc>
        <w:tc>
          <w:tcPr>
            <w:tcW w:w="493" w:type="pct"/>
            <w:vMerge w:val="continue"/>
            <w:noWrap/>
            <w:vAlign w:val="center"/>
          </w:tcPr>
          <w:p>
            <w:pPr>
              <w:widowControl/>
              <w:spacing w:line="240" w:lineRule="atLeast"/>
              <w:jc w:val="center"/>
              <w:rPr>
                <w:rFonts w:cs="Times New Roman"/>
                <w:b/>
                <w:color w:val="auto"/>
                <w:sz w:val="21"/>
                <w:szCs w:val="21"/>
              </w:rPr>
            </w:pPr>
          </w:p>
        </w:tc>
        <w:tc>
          <w:tcPr>
            <w:tcW w:w="393" w:type="pct"/>
            <w:vMerge w:val="continue"/>
            <w:noWrap/>
            <w:vAlign w:val="center"/>
          </w:tcPr>
          <w:p>
            <w:pPr>
              <w:widowControl/>
              <w:spacing w:line="240" w:lineRule="atLeast"/>
              <w:jc w:val="center"/>
              <w:rPr>
                <w:rFonts w:cs="Times New Roman"/>
                <w:b/>
                <w:color w:val="auto"/>
                <w:sz w:val="21"/>
                <w:szCs w:val="21"/>
              </w:rPr>
            </w:pPr>
          </w:p>
        </w:tc>
        <w:tc>
          <w:tcPr>
            <w:tcW w:w="358" w:type="pct"/>
            <w:noWrap/>
            <w:vAlign w:val="center"/>
          </w:tcPr>
          <w:p>
            <w:pPr>
              <w:widowControl/>
              <w:spacing w:line="240" w:lineRule="atLeast"/>
              <w:jc w:val="center"/>
              <w:textAlignment w:val="center"/>
              <w:rPr>
                <w:rFonts w:cs="Times New Roman"/>
                <w:b/>
                <w:color w:val="auto"/>
                <w:sz w:val="21"/>
                <w:szCs w:val="21"/>
              </w:rPr>
            </w:pPr>
            <w:r>
              <w:rPr>
                <w:rFonts w:ascii="Times New Roman" w:hAnsi="Times New Roman" w:eastAsia="仿宋_GB2312" w:cs="Times New Roman"/>
                <w:b/>
                <w:color w:val="auto"/>
                <w:kern w:val="0"/>
                <w:sz w:val="21"/>
                <w:szCs w:val="21"/>
              </w:rPr>
              <w:t>折旧费</w:t>
            </w:r>
          </w:p>
        </w:tc>
        <w:tc>
          <w:tcPr>
            <w:tcW w:w="440" w:type="pct"/>
            <w:noWrap/>
            <w:vAlign w:val="center"/>
          </w:tcPr>
          <w:p>
            <w:pPr>
              <w:widowControl/>
              <w:spacing w:line="240" w:lineRule="atLeast"/>
              <w:jc w:val="center"/>
              <w:textAlignment w:val="center"/>
              <w:rPr>
                <w:rFonts w:cs="Times New Roman"/>
                <w:b/>
                <w:color w:val="auto"/>
                <w:sz w:val="21"/>
                <w:szCs w:val="21"/>
              </w:rPr>
            </w:pPr>
            <w:r>
              <w:rPr>
                <w:rFonts w:ascii="Times New Roman" w:hAnsi="Times New Roman" w:eastAsia="仿宋_GB2312" w:cs="Times New Roman"/>
                <w:b/>
                <w:color w:val="auto"/>
                <w:kern w:val="0"/>
                <w:sz w:val="21"/>
                <w:szCs w:val="21"/>
              </w:rPr>
              <w:t>修理及替换设备费</w:t>
            </w:r>
          </w:p>
        </w:tc>
        <w:tc>
          <w:tcPr>
            <w:tcW w:w="389" w:type="pct"/>
            <w:noWrap/>
            <w:vAlign w:val="center"/>
          </w:tcPr>
          <w:p>
            <w:pPr>
              <w:widowControl/>
              <w:spacing w:line="240" w:lineRule="atLeast"/>
              <w:jc w:val="center"/>
              <w:textAlignment w:val="center"/>
              <w:rPr>
                <w:rFonts w:cs="Times New Roman"/>
                <w:b/>
                <w:color w:val="auto"/>
                <w:sz w:val="21"/>
                <w:szCs w:val="21"/>
              </w:rPr>
            </w:pPr>
            <w:r>
              <w:rPr>
                <w:rFonts w:ascii="Times New Roman" w:hAnsi="Times New Roman" w:eastAsia="仿宋_GB2312" w:cs="Times New Roman"/>
                <w:b/>
                <w:color w:val="auto"/>
                <w:kern w:val="0"/>
                <w:sz w:val="21"/>
                <w:szCs w:val="21"/>
              </w:rPr>
              <w:t>安装拆卸费</w:t>
            </w:r>
          </w:p>
        </w:tc>
        <w:tc>
          <w:tcPr>
            <w:tcW w:w="416" w:type="pct"/>
            <w:noWrap/>
            <w:vAlign w:val="center"/>
          </w:tcPr>
          <w:p>
            <w:pPr>
              <w:widowControl/>
              <w:spacing w:line="240" w:lineRule="atLeast"/>
              <w:jc w:val="center"/>
              <w:textAlignment w:val="center"/>
              <w:rPr>
                <w:rFonts w:cs="Times New Roman"/>
                <w:b/>
                <w:color w:val="auto"/>
                <w:sz w:val="21"/>
                <w:szCs w:val="21"/>
              </w:rPr>
            </w:pPr>
            <w:r>
              <w:rPr>
                <w:rFonts w:ascii="Times New Roman" w:hAnsi="Times New Roman" w:eastAsia="仿宋_GB2312" w:cs="Times New Roman"/>
                <w:b/>
                <w:color w:val="auto"/>
                <w:kern w:val="0"/>
                <w:sz w:val="21"/>
                <w:szCs w:val="21"/>
              </w:rPr>
              <w:t>小计（元）</w:t>
            </w:r>
          </w:p>
        </w:tc>
        <w:tc>
          <w:tcPr>
            <w:tcW w:w="466" w:type="pct"/>
            <w:noWrap/>
            <w:vAlign w:val="center"/>
          </w:tcPr>
          <w:p>
            <w:pPr>
              <w:widowControl/>
              <w:spacing w:line="240" w:lineRule="atLeast"/>
              <w:jc w:val="center"/>
              <w:textAlignment w:val="center"/>
              <w:rPr>
                <w:rFonts w:cs="Times New Roman"/>
                <w:b/>
                <w:color w:val="auto"/>
                <w:sz w:val="21"/>
                <w:szCs w:val="21"/>
              </w:rPr>
            </w:pPr>
            <w:r>
              <w:rPr>
                <w:rFonts w:ascii="Times New Roman" w:hAnsi="Times New Roman" w:eastAsia="仿宋_GB2312" w:cs="Times New Roman"/>
                <w:b/>
                <w:color w:val="auto"/>
                <w:kern w:val="0"/>
                <w:sz w:val="21"/>
                <w:szCs w:val="21"/>
              </w:rPr>
              <w:t>人工（工时）</w:t>
            </w:r>
          </w:p>
        </w:tc>
        <w:tc>
          <w:tcPr>
            <w:tcW w:w="411" w:type="pct"/>
            <w:noWrap/>
            <w:vAlign w:val="center"/>
          </w:tcPr>
          <w:p>
            <w:pPr>
              <w:widowControl/>
              <w:spacing w:line="240" w:lineRule="atLeast"/>
              <w:jc w:val="center"/>
              <w:textAlignment w:val="center"/>
              <w:rPr>
                <w:rFonts w:cs="Times New Roman"/>
                <w:b/>
                <w:color w:val="auto"/>
                <w:sz w:val="21"/>
                <w:szCs w:val="21"/>
              </w:rPr>
            </w:pPr>
            <w:r>
              <w:rPr>
                <w:rFonts w:ascii="Times New Roman" w:hAnsi="Times New Roman" w:eastAsia="仿宋_GB2312" w:cs="Times New Roman"/>
                <w:b/>
                <w:color w:val="auto"/>
                <w:kern w:val="0"/>
                <w:sz w:val="21"/>
                <w:szCs w:val="21"/>
              </w:rPr>
              <w:t>汽油（kg）</w:t>
            </w:r>
          </w:p>
        </w:tc>
        <w:tc>
          <w:tcPr>
            <w:tcW w:w="432" w:type="pct"/>
            <w:noWrap/>
            <w:vAlign w:val="center"/>
          </w:tcPr>
          <w:p>
            <w:pPr>
              <w:widowControl/>
              <w:spacing w:line="240" w:lineRule="atLeast"/>
              <w:jc w:val="center"/>
              <w:textAlignment w:val="center"/>
              <w:rPr>
                <w:rFonts w:cs="Times New Roman"/>
                <w:b/>
                <w:color w:val="auto"/>
                <w:sz w:val="21"/>
                <w:szCs w:val="21"/>
              </w:rPr>
            </w:pPr>
            <w:r>
              <w:rPr>
                <w:rFonts w:ascii="Times New Roman" w:hAnsi="Times New Roman" w:eastAsia="仿宋_GB2312" w:cs="Times New Roman"/>
                <w:b/>
                <w:color w:val="auto"/>
                <w:kern w:val="0"/>
                <w:sz w:val="21"/>
                <w:szCs w:val="21"/>
              </w:rPr>
              <w:t>柴油（kg）</w:t>
            </w:r>
          </w:p>
        </w:tc>
        <w:tc>
          <w:tcPr>
            <w:tcW w:w="412" w:type="pct"/>
            <w:noWrap/>
            <w:vAlign w:val="center"/>
          </w:tcPr>
          <w:p>
            <w:pPr>
              <w:widowControl/>
              <w:spacing w:line="240" w:lineRule="atLeast"/>
              <w:jc w:val="center"/>
              <w:textAlignment w:val="center"/>
              <w:rPr>
                <w:rFonts w:cs="Times New Roman"/>
                <w:b/>
                <w:color w:val="auto"/>
                <w:sz w:val="21"/>
                <w:szCs w:val="21"/>
              </w:rPr>
            </w:pPr>
            <w:r>
              <w:rPr>
                <w:rFonts w:ascii="Times New Roman" w:hAnsi="Times New Roman" w:eastAsia="仿宋_GB2312" w:cs="Times New Roman"/>
                <w:b/>
                <w:color w:val="auto"/>
                <w:kern w:val="0"/>
                <w:sz w:val="21"/>
                <w:szCs w:val="21"/>
              </w:rPr>
              <w:t>电（kw·h）</w:t>
            </w:r>
          </w:p>
        </w:tc>
        <w:tc>
          <w:tcPr>
            <w:tcW w:w="460" w:type="pct"/>
            <w:noWrap/>
            <w:vAlign w:val="center"/>
          </w:tcPr>
          <w:p>
            <w:pPr>
              <w:widowControl/>
              <w:spacing w:line="240" w:lineRule="atLeast"/>
              <w:jc w:val="center"/>
              <w:textAlignment w:val="center"/>
              <w:rPr>
                <w:rFonts w:cs="Times New Roman"/>
                <w:b/>
                <w:color w:val="auto"/>
                <w:sz w:val="21"/>
                <w:szCs w:val="21"/>
              </w:rPr>
            </w:pPr>
            <w:r>
              <w:rPr>
                <w:rFonts w:ascii="Times New Roman" w:hAnsi="Times New Roman" w:eastAsia="仿宋_GB2312" w:cs="Times New Roman"/>
                <w:b/>
                <w:color w:val="auto"/>
                <w:kern w:val="0"/>
                <w:sz w:val="21"/>
                <w:szCs w:val="21"/>
              </w:rPr>
              <w:t>小计（元）</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0" w:hRule="atLeast"/>
          <w:jc w:val="center"/>
        </w:trPr>
        <w:tc>
          <w:tcPr>
            <w:tcW w:w="330" w:type="pct"/>
            <w:shd w:val="clear" w:color="auto" w:fill="FFFFFF"/>
            <w:noWrap/>
            <w:vAlign w:val="center"/>
          </w:tcPr>
          <w:p>
            <w:pPr>
              <w:widowControl/>
              <w:spacing w:line="240" w:lineRule="atLeast"/>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水保1056</w:t>
            </w:r>
          </w:p>
        </w:tc>
        <w:tc>
          <w:tcPr>
            <w:tcW w:w="493" w:type="pct"/>
            <w:shd w:val="clear" w:color="auto" w:fill="FFFFFF"/>
            <w:noWrap/>
            <w:vAlign w:val="center"/>
          </w:tcPr>
          <w:p>
            <w:pPr>
              <w:widowControl/>
              <w:spacing w:line="240" w:lineRule="atLeast"/>
              <w:jc w:val="center"/>
              <w:textAlignment w:val="center"/>
              <w:rPr>
                <w:rFonts w:cs="Times New Roman"/>
                <w:color w:val="auto"/>
                <w:sz w:val="21"/>
                <w:szCs w:val="21"/>
              </w:rPr>
            </w:pPr>
            <w:r>
              <w:rPr>
                <w:rFonts w:ascii="Times New Roman" w:hAnsi="Times New Roman" w:eastAsia="仿宋_GB2312" w:cs="Times New Roman"/>
                <w:color w:val="auto"/>
                <w:kern w:val="0"/>
                <w:sz w:val="21"/>
                <w:szCs w:val="21"/>
              </w:rPr>
              <w:t>9~12m</w:t>
            </w:r>
            <w:r>
              <w:rPr>
                <w:rFonts w:ascii="Times New Roman" w:hAnsi="Times New Roman" w:eastAsia="仿宋_GB2312" w:cs="Times New Roman"/>
                <w:color w:val="auto"/>
                <w:kern w:val="0"/>
                <w:sz w:val="21"/>
                <w:szCs w:val="21"/>
                <w:vertAlign w:val="superscript"/>
              </w:rPr>
              <w:t>3</w:t>
            </w:r>
            <w:r>
              <w:rPr>
                <w:rFonts w:ascii="Times New Roman" w:hAnsi="Times New Roman" w:eastAsia="仿宋_GB2312" w:cs="Times New Roman"/>
                <w:color w:val="auto"/>
                <w:kern w:val="0"/>
                <w:sz w:val="21"/>
                <w:szCs w:val="21"/>
              </w:rPr>
              <w:t>自行式铲运车</w:t>
            </w:r>
          </w:p>
        </w:tc>
        <w:tc>
          <w:tcPr>
            <w:tcW w:w="1086"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175.08</w:t>
            </w:r>
          </w:p>
        </w:tc>
        <w:tc>
          <w:tcPr>
            <w:tcW w:w="989"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20.32</w:t>
            </w:r>
          </w:p>
        </w:tc>
        <w:tc>
          <w:tcPr>
            <w:tcW w:w="1216"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31.60</w:t>
            </w:r>
          </w:p>
        </w:tc>
        <w:tc>
          <w:tcPr>
            <w:tcW w:w="1075"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0.00</w:t>
            </w:r>
          </w:p>
        </w:tc>
        <w:tc>
          <w:tcPr>
            <w:tcW w:w="1149"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51.91</w:t>
            </w:r>
          </w:p>
        </w:tc>
        <w:tc>
          <w:tcPr>
            <w:tcW w:w="1288"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2.40</w:t>
            </w:r>
          </w:p>
        </w:tc>
        <w:tc>
          <w:tcPr>
            <w:tcW w:w="1136"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sz w:val="21"/>
                <w:szCs w:val="21"/>
              </w:rPr>
            </w:pPr>
          </w:p>
        </w:tc>
        <w:tc>
          <w:tcPr>
            <w:tcW w:w="1194"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16.00</w:t>
            </w:r>
          </w:p>
        </w:tc>
        <w:tc>
          <w:tcPr>
            <w:tcW w:w="1138"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sz w:val="21"/>
                <w:szCs w:val="21"/>
              </w:rPr>
            </w:pPr>
          </w:p>
        </w:tc>
        <w:tc>
          <w:tcPr>
            <w:tcW w:w="1271"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123.17</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30" w:type="pct"/>
            <w:shd w:val="clear" w:color="auto" w:fill="FFFFFF"/>
            <w:noWrap/>
            <w:vAlign w:val="center"/>
          </w:tcPr>
          <w:p>
            <w:pPr>
              <w:widowControl/>
              <w:spacing w:line="240" w:lineRule="atLeast"/>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水保1030</w:t>
            </w:r>
          </w:p>
        </w:tc>
        <w:tc>
          <w:tcPr>
            <w:tcW w:w="493" w:type="pct"/>
            <w:shd w:val="clear" w:color="auto" w:fill="FFFFFF"/>
            <w:noWrap/>
            <w:vAlign w:val="center"/>
          </w:tcPr>
          <w:p>
            <w:pPr>
              <w:widowControl/>
              <w:spacing w:line="240" w:lineRule="atLeast"/>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推土机59kw</w:t>
            </w:r>
          </w:p>
        </w:tc>
        <w:tc>
          <w:tcPr>
            <w:tcW w:w="1086"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100.91</w:t>
            </w:r>
          </w:p>
        </w:tc>
        <w:tc>
          <w:tcPr>
            <w:tcW w:w="989"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9.56</w:t>
            </w:r>
          </w:p>
        </w:tc>
        <w:tc>
          <w:tcPr>
            <w:tcW w:w="1216"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11.94</w:t>
            </w:r>
          </w:p>
        </w:tc>
        <w:tc>
          <w:tcPr>
            <w:tcW w:w="1075"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0.49</w:t>
            </w:r>
          </w:p>
        </w:tc>
        <w:tc>
          <w:tcPr>
            <w:tcW w:w="1149"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21.99</w:t>
            </w:r>
          </w:p>
        </w:tc>
        <w:tc>
          <w:tcPr>
            <w:tcW w:w="1288"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2.40</w:t>
            </w:r>
          </w:p>
        </w:tc>
        <w:tc>
          <w:tcPr>
            <w:tcW w:w="1136"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p>
        </w:tc>
        <w:tc>
          <w:tcPr>
            <w:tcW w:w="1194"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8.40</w:t>
            </w:r>
          </w:p>
        </w:tc>
        <w:tc>
          <w:tcPr>
            <w:tcW w:w="1138"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p>
        </w:tc>
        <w:tc>
          <w:tcPr>
            <w:tcW w:w="1271"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78.91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30" w:type="pct"/>
            <w:shd w:val="clear" w:color="auto" w:fill="FFFFFF"/>
            <w:noWrap/>
            <w:vAlign w:val="center"/>
          </w:tcPr>
          <w:p>
            <w:pPr>
              <w:widowControl/>
              <w:spacing w:line="240" w:lineRule="atLeast"/>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水保1031</w:t>
            </w:r>
          </w:p>
        </w:tc>
        <w:tc>
          <w:tcPr>
            <w:tcW w:w="493" w:type="pct"/>
            <w:shd w:val="clear" w:color="auto" w:fill="FFFFFF"/>
            <w:noWrap/>
            <w:vAlign w:val="center"/>
          </w:tcPr>
          <w:p>
            <w:pPr>
              <w:widowControl/>
              <w:spacing w:line="240" w:lineRule="atLeast"/>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推土机74kw</w:t>
            </w:r>
          </w:p>
        </w:tc>
        <w:tc>
          <w:tcPr>
            <w:tcW w:w="1086"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130.32</w:t>
            </w:r>
          </w:p>
        </w:tc>
        <w:tc>
          <w:tcPr>
            <w:tcW w:w="989"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16.81</w:t>
            </w:r>
          </w:p>
        </w:tc>
        <w:tc>
          <w:tcPr>
            <w:tcW w:w="1216"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20.93</w:t>
            </w:r>
          </w:p>
        </w:tc>
        <w:tc>
          <w:tcPr>
            <w:tcW w:w="1075"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0.86</w:t>
            </w:r>
          </w:p>
        </w:tc>
        <w:tc>
          <w:tcPr>
            <w:tcW w:w="1149"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38.60</w:t>
            </w:r>
          </w:p>
        </w:tc>
        <w:tc>
          <w:tcPr>
            <w:tcW w:w="1288"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2.40</w:t>
            </w:r>
          </w:p>
        </w:tc>
        <w:tc>
          <w:tcPr>
            <w:tcW w:w="1136"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p>
        </w:tc>
        <w:tc>
          <w:tcPr>
            <w:tcW w:w="1194"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10.60</w:t>
            </w:r>
          </w:p>
        </w:tc>
        <w:tc>
          <w:tcPr>
            <w:tcW w:w="1138"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p>
        </w:tc>
        <w:tc>
          <w:tcPr>
            <w:tcW w:w="1271"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91.72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30" w:type="pct"/>
            <w:shd w:val="clear" w:color="auto" w:fill="FFFFFF"/>
            <w:noWrap/>
            <w:vAlign w:val="center"/>
          </w:tcPr>
          <w:p>
            <w:pPr>
              <w:widowControl/>
              <w:spacing w:line="240" w:lineRule="atLeast"/>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水保2002</w:t>
            </w:r>
          </w:p>
        </w:tc>
        <w:tc>
          <w:tcPr>
            <w:tcW w:w="493" w:type="pct"/>
            <w:shd w:val="clear" w:color="auto" w:fill="FFFFFF"/>
            <w:noWrap/>
            <w:vAlign w:val="center"/>
          </w:tcPr>
          <w:p>
            <w:pPr>
              <w:widowControl/>
              <w:spacing w:line="240" w:lineRule="atLeast"/>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砂浆搅拌机0.4m</w:t>
            </w:r>
            <w:r>
              <w:rPr>
                <w:rFonts w:ascii="Times New Roman" w:hAnsi="Times New Roman" w:eastAsia="仿宋_GB2312" w:cs="Times New Roman"/>
                <w:color w:val="auto"/>
                <w:kern w:val="0"/>
                <w:sz w:val="21"/>
                <w:szCs w:val="21"/>
                <w:vertAlign w:val="superscript"/>
              </w:rPr>
              <w:t>3</w:t>
            </w:r>
          </w:p>
        </w:tc>
        <w:tc>
          <w:tcPr>
            <w:tcW w:w="1086"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32.89</w:t>
            </w:r>
          </w:p>
        </w:tc>
        <w:tc>
          <w:tcPr>
            <w:tcW w:w="989"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2.91</w:t>
            </w:r>
          </w:p>
        </w:tc>
        <w:tc>
          <w:tcPr>
            <w:tcW w:w="1216"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4.90</w:t>
            </w:r>
          </w:p>
        </w:tc>
        <w:tc>
          <w:tcPr>
            <w:tcW w:w="1075"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1.07</w:t>
            </w:r>
          </w:p>
        </w:tc>
        <w:tc>
          <w:tcPr>
            <w:tcW w:w="1149"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8.88</w:t>
            </w:r>
          </w:p>
        </w:tc>
        <w:tc>
          <w:tcPr>
            <w:tcW w:w="1288"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1.30</w:t>
            </w:r>
          </w:p>
        </w:tc>
        <w:tc>
          <w:tcPr>
            <w:tcW w:w="1136"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p>
        </w:tc>
        <w:tc>
          <w:tcPr>
            <w:tcW w:w="1194"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p>
        </w:tc>
        <w:tc>
          <w:tcPr>
            <w:tcW w:w="1138"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8.60</w:t>
            </w:r>
          </w:p>
        </w:tc>
        <w:tc>
          <w:tcPr>
            <w:tcW w:w="1271"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24.01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330" w:type="pct"/>
            <w:shd w:val="clear" w:color="auto" w:fill="FFFFFF"/>
            <w:noWrap/>
            <w:vAlign w:val="center"/>
          </w:tcPr>
          <w:p>
            <w:pPr>
              <w:widowControl/>
              <w:spacing w:line="240" w:lineRule="atLeast"/>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水保3059</w:t>
            </w:r>
          </w:p>
        </w:tc>
        <w:tc>
          <w:tcPr>
            <w:tcW w:w="493" w:type="pct"/>
            <w:shd w:val="clear" w:color="auto" w:fill="FFFFFF"/>
            <w:noWrap/>
            <w:vAlign w:val="center"/>
          </w:tcPr>
          <w:p>
            <w:pPr>
              <w:widowControl/>
              <w:spacing w:line="240" w:lineRule="atLeast"/>
              <w:jc w:val="center"/>
              <w:textAlignment w:val="center"/>
              <w:rPr>
                <w:rFonts w:cs="Times New Roman"/>
                <w:color w:val="auto"/>
                <w:kern w:val="0"/>
                <w:sz w:val="21"/>
                <w:szCs w:val="21"/>
              </w:rPr>
            </w:pPr>
            <w:r>
              <w:rPr>
                <w:rFonts w:ascii="Times New Roman" w:hAnsi="Times New Roman" w:eastAsia="仿宋_GB2312" w:cs="Times New Roman"/>
                <w:color w:val="auto"/>
                <w:kern w:val="0"/>
                <w:sz w:val="21"/>
                <w:szCs w:val="21"/>
              </w:rPr>
              <w:t>胶轮架子车</w:t>
            </w:r>
          </w:p>
        </w:tc>
        <w:tc>
          <w:tcPr>
            <w:tcW w:w="1086"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0.82</w:t>
            </w:r>
          </w:p>
        </w:tc>
        <w:tc>
          <w:tcPr>
            <w:tcW w:w="989"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0.23</w:t>
            </w:r>
          </w:p>
        </w:tc>
        <w:tc>
          <w:tcPr>
            <w:tcW w:w="1216"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0.59</w:t>
            </w:r>
          </w:p>
        </w:tc>
        <w:tc>
          <w:tcPr>
            <w:tcW w:w="1075"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0.00</w:t>
            </w:r>
          </w:p>
        </w:tc>
        <w:tc>
          <w:tcPr>
            <w:tcW w:w="1149"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0.82</w:t>
            </w:r>
          </w:p>
        </w:tc>
        <w:tc>
          <w:tcPr>
            <w:tcW w:w="1288"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p>
        </w:tc>
        <w:tc>
          <w:tcPr>
            <w:tcW w:w="1136"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p>
        </w:tc>
        <w:tc>
          <w:tcPr>
            <w:tcW w:w="1194"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p>
        </w:tc>
        <w:tc>
          <w:tcPr>
            <w:tcW w:w="1138"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p>
        </w:tc>
        <w:tc>
          <w:tcPr>
            <w:tcW w:w="1271" w:type="dxa"/>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cs="Times New Roman"/>
                <w:color w:val="auto"/>
                <w:kern w:val="0"/>
                <w:sz w:val="21"/>
                <w:szCs w:val="21"/>
              </w:rPr>
            </w:pPr>
          </w:p>
        </w:tc>
      </w:tr>
    </w:tbl>
    <w:p>
      <w:pPr>
        <w:rPr>
          <w:rFonts w:ascii="Times New Roman" w:hAnsi="Times New Roman" w:eastAsia="仿宋_GB2312" w:cs="Times New Roman"/>
          <w:color w:val="auto"/>
          <w:szCs w:val="24"/>
        </w:rPr>
      </w:pPr>
      <w:r>
        <w:rPr>
          <w:rFonts w:hint="eastAsia" w:ascii="Times New Roman" w:hAnsi="Times New Roman" w:eastAsia="仿宋_GB2312" w:cs="Times New Roman"/>
          <w:color w:val="auto"/>
          <w:sz w:val="21"/>
          <w:szCs w:val="21"/>
        </w:rPr>
        <w:t>注：表中的折旧费、修理费分别除以1.13、1.09系数，人工预算单价为12.5元/工时、柴油预算价格为元</w:t>
      </w:r>
      <w:r>
        <w:rPr>
          <w:rFonts w:hint="eastAsia" w:ascii="Times New Roman" w:hAnsi="Times New Roman" w:eastAsia="仿宋_GB2312" w:cs="Times New Roman"/>
          <w:color w:val="auto"/>
          <w:sz w:val="21"/>
          <w:szCs w:val="21"/>
          <w:lang w:val="en-US" w:eastAsia="zh-CN"/>
        </w:rPr>
        <w:t>5.82</w:t>
      </w:r>
      <w:r>
        <w:rPr>
          <w:rFonts w:hint="eastAsia" w:ascii="Times New Roman" w:hAnsi="Times New Roman" w:eastAsia="仿宋_GB2312" w:cs="Times New Roman"/>
          <w:color w:val="auto"/>
          <w:sz w:val="21"/>
          <w:szCs w:val="21"/>
        </w:rPr>
        <w:t>/kg、施工用电预算价格为0.90元/kwh。</w:t>
      </w:r>
    </w:p>
    <w:p>
      <w:pPr>
        <w:rPr>
          <w:rFonts w:ascii="Times New Roman" w:hAnsi="Times New Roman" w:eastAsia="仿宋_GB2312" w:cs="Times New Roman"/>
          <w:color w:val="auto"/>
          <w:szCs w:val="24"/>
        </w:rPr>
      </w:pPr>
    </w:p>
    <w:p>
      <w:pPr>
        <w:rPr>
          <w:rFonts w:ascii="Times New Roman" w:hAnsi="Times New Roman" w:eastAsia="仿宋_GB2312" w:cs="Times New Roman"/>
          <w:color w:val="auto"/>
          <w:szCs w:val="24"/>
        </w:rPr>
        <w:sectPr>
          <w:headerReference r:id="rId41" w:type="default"/>
          <w:footerReference r:id="rId42" w:type="default"/>
          <w:pgSz w:w="16838" w:h="11906" w:orient="landscape"/>
          <w:pgMar w:top="1440" w:right="1800" w:bottom="1440" w:left="1800" w:header="851" w:footer="992" w:gutter="0"/>
          <w:pgBorders>
            <w:top w:val="none" w:sz="0" w:space="0"/>
            <w:left w:val="none" w:sz="0" w:space="0"/>
            <w:bottom w:val="none" w:sz="0" w:space="0"/>
            <w:right w:val="none" w:sz="0" w:space="0"/>
          </w:pgBorders>
          <w:cols w:space="425" w:num="1"/>
          <w:docGrid w:type="lines" w:linePitch="326" w:charSpace="0"/>
        </w:sectPr>
      </w:pPr>
    </w:p>
    <w:p>
      <w:pPr>
        <w:spacing w:line="360" w:lineRule="auto"/>
        <w:jc w:val="center"/>
        <w:rPr>
          <w:rFonts w:ascii="Times New Roman" w:hAnsi="Times New Roman" w:eastAsia="仿宋_GB2312" w:cs="Times New Roman"/>
          <w:b/>
          <w:bCs/>
          <w:color w:val="auto"/>
          <w:szCs w:val="24"/>
        </w:rPr>
      </w:pPr>
      <w:r>
        <w:rPr>
          <w:rFonts w:ascii="Times New Roman" w:hAnsi="Times New Roman" w:eastAsia="仿宋_GB2312" w:cs="Times New Roman"/>
          <w:b/>
          <w:bCs/>
          <w:color w:val="auto"/>
          <w:szCs w:val="24"/>
        </w:rPr>
        <w:t>表7</w:t>
      </w:r>
      <w:r>
        <w:rPr>
          <w:rFonts w:hint="eastAsia" w:ascii="Times New Roman" w:hAnsi="Times New Roman" w:eastAsia="仿宋_GB2312" w:cs="Times New Roman"/>
          <w:b/>
          <w:bCs/>
          <w:color w:val="auto"/>
          <w:szCs w:val="24"/>
        </w:rPr>
        <w:t>.</w:t>
      </w:r>
      <w:r>
        <w:rPr>
          <w:rFonts w:ascii="Times New Roman" w:hAnsi="Times New Roman" w:eastAsia="仿宋_GB2312" w:cs="Times New Roman"/>
          <w:b/>
          <w:bCs/>
          <w:color w:val="auto"/>
          <w:szCs w:val="24"/>
        </w:rPr>
        <w:t>1-10：主要材料价格预算表</w:t>
      </w:r>
    </w:p>
    <w:tbl>
      <w:tblPr>
        <w:tblStyle w:val="37"/>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45"/>
        <w:gridCol w:w="1630"/>
        <w:gridCol w:w="1247"/>
        <w:gridCol w:w="1247"/>
        <w:gridCol w:w="1896"/>
        <w:gridCol w:w="12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3" w:hRule="atLeast"/>
          <w:jc w:val="center"/>
        </w:trPr>
        <w:tc>
          <w:tcPr>
            <w:tcW w:w="73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rPr>
            </w:pPr>
            <w:bookmarkStart w:id="410" w:name="_Toc23940"/>
            <w:r>
              <w:rPr>
                <w:rFonts w:hint="default" w:ascii="Times New Roman" w:hAnsi="Times New Roman" w:eastAsia="仿宋_GB2312" w:cs="Times New Roman"/>
                <w:color w:val="auto"/>
                <w:kern w:val="0"/>
                <w:sz w:val="21"/>
                <w:szCs w:val="21"/>
                <w:lang w:val="en-US" w:eastAsia="zh-CN"/>
              </w:rPr>
              <w:t>序号</w:t>
            </w:r>
          </w:p>
        </w:tc>
        <w:tc>
          <w:tcPr>
            <w:tcW w:w="95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rPr>
            </w:pPr>
            <w:r>
              <w:rPr>
                <w:rFonts w:hint="default" w:ascii="Times New Roman" w:hAnsi="Times New Roman" w:eastAsia="仿宋_GB2312" w:cs="Times New Roman"/>
                <w:color w:val="auto"/>
                <w:kern w:val="0"/>
                <w:sz w:val="21"/>
                <w:szCs w:val="21"/>
                <w:lang w:val="en-US" w:eastAsia="zh-CN"/>
              </w:rPr>
              <w:t>名称及规格</w:t>
            </w:r>
          </w:p>
        </w:tc>
        <w:tc>
          <w:tcPr>
            <w:tcW w:w="73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rPr>
            </w:pPr>
            <w:r>
              <w:rPr>
                <w:rFonts w:hint="default" w:ascii="Times New Roman" w:hAnsi="Times New Roman" w:eastAsia="仿宋_GB2312" w:cs="Times New Roman"/>
                <w:color w:val="auto"/>
                <w:kern w:val="0"/>
                <w:sz w:val="21"/>
                <w:szCs w:val="21"/>
                <w:lang w:val="en-US" w:eastAsia="zh-CN"/>
              </w:rPr>
              <w:t>单位</w:t>
            </w:r>
          </w:p>
        </w:tc>
        <w:tc>
          <w:tcPr>
            <w:tcW w:w="73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rPr>
            </w:pPr>
            <w:r>
              <w:rPr>
                <w:rFonts w:hint="default" w:ascii="Times New Roman" w:hAnsi="Times New Roman" w:eastAsia="仿宋_GB2312" w:cs="Times New Roman"/>
                <w:color w:val="auto"/>
                <w:kern w:val="0"/>
                <w:sz w:val="21"/>
                <w:szCs w:val="21"/>
                <w:lang w:val="en-US" w:eastAsia="zh-CN"/>
              </w:rPr>
              <w:t>材料单价</w:t>
            </w:r>
          </w:p>
        </w:tc>
        <w:tc>
          <w:tcPr>
            <w:tcW w:w="111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rPr>
            </w:pPr>
            <w:r>
              <w:rPr>
                <w:rFonts w:hint="default" w:ascii="Times New Roman" w:hAnsi="Times New Roman" w:eastAsia="仿宋_GB2312" w:cs="Times New Roman"/>
                <w:color w:val="auto"/>
                <w:kern w:val="0"/>
                <w:sz w:val="21"/>
                <w:szCs w:val="21"/>
                <w:lang w:val="en-US" w:eastAsia="zh-CN"/>
              </w:rPr>
              <w:t>预算价格（不含增值税）</w:t>
            </w:r>
          </w:p>
        </w:tc>
        <w:tc>
          <w:tcPr>
            <w:tcW w:w="73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rPr>
            </w:pPr>
            <w:r>
              <w:rPr>
                <w:rFonts w:hint="default" w:ascii="Times New Roman" w:hAnsi="Times New Roman" w:eastAsia="仿宋_GB2312" w:cs="Times New Roman"/>
                <w:color w:val="auto"/>
                <w:kern w:val="0"/>
                <w:sz w:val="21"/>
                <w:szCs w:val="21"/>
                <w:lang w:val="en-US" w:eastAsia="zh-CN"/>
              </w:rPr>
              <w:t>增值税税率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3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rPr>
            </w:pPr>
            <w:r>
              <w:rPr>
                <w:rFonts w:hint="default" w:ascii="Times New Roman" w:hAnsi="Times New Roman" w:eastAsia="仿宋_GB2312" w:cs="Times New Roman"/>
                <w:color w:val="auto"/>
                <w:kern w:val="0"/>
                <w:sz w:val="21"/>
                <w:szCs w:val="21"/>
                <w:lang w:val="en-US" w:eastAsia="zh-CN"/>
              </w:rPr>
              <w:t>1</w:t>
            </w:r>
          </w:p>
        </w:tc>
        <w:tc>
          <w:tcPr>
            <w:tcW w:w="95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PC32.5水泥</w:t>
            </w:r>
          </w:p>
        </w:tc>
        <w:tc>
          <w:tcPr>
            <w:tcW w:w="7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元/kg</w:t>
            </w:r>
          </w:p>
        </w:tc>
        <w:tc>
          <w:tcPr>
            <w:tcW w:w="145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0.573</w:t>
            </w:r>
          </w:p>
        </w:tc>
        <w:tc>
          <w:tcPr>
            <w:tcW w:w="2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0.5071</w:t>
            </w:r>
          </w:p>
        </w:tc>
        <w:tc>
          <w:tcPr>
            <w:tcW w:w="7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3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rPr>
            </w:pPr>
            <w:r>
              <w:rPr>
                <w:rFonts w:hint="default" w:ascii="Times New Roman" w:hAnsi="Times New Roman" w:eastAsia="仿宋_GB2312" w:cs="Times New Roman"/>
                <w:color w:val="auto"/>
                <w:kern w:val="0"/>
                <w:sz w:val="21"/>
                <w:szCs w:val="21"/>
                <w:lang w:val="en-US" w:eastAsia="zh-CN"/>
              </w:rPr>
              <w:t>2</w:t>
            </w:r>
          </w:p>
        </w:tc>
        <w:tc>
          <w:tcPr>
            <w:tcW w:w="95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碎石</w:t>
            </w:r>
          </w:p>
        </w:tc>
        <w:tc>
          <w:tcPr>
            <w:tcW w:w="7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元/m³</w:t>
            </w:r>
          </w:p>
        </w:tc>
        <w:tc>
          <w:tcPr>
            <w:tcW w:w="145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158</w:t>
            </w:r>
          </w:p>
        </w:tc>
        <w:tc>
          <w:tcPr>
            <w:tcW w:w="2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153.40</w:t>
            </w:r>
          </w:p>
        </w:tc>
        <w:tc>
          <w:tcPr>
            <w:tcW w:w="7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3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rPr>
            </w:pPr>
            <w:r>
              <w:rPr>
                <w:rFonts w:hint="default" w:ascii="Times New Roman" w:hAnsi="Times New Roman" w:eastAsia="仿宋_GB2312" w:cs="Times New Roman"/>
                <w:color w:val="auto"/>
                <w:kern w:val="0"/>
                <w:sz w:val="21"/>
                <w:szCs w:val="21"/>
                <w:lang w:val="en-US" w:eastAsia="zh-CN"/>
              </w:rPr>
              <w:t>3</w:t>
            </w:r>
          </w:p>
        </w:tc>
        <w:tc>
          <w:tcPr>
            <w:tcW w:w="95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砖</w:t>
            </w:r>
          </w:p>
        </w:tc>
        <w:tc>
          <w:tcPr>
            <w:tcW w:w="7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元/千块</w:t>
            </w:r>
          </w:p>
        </w:tc>
        <w:tc>
          <w:tcPr>
            <w:tcW w:w="145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480</w:t>
            </w:r>
          </w:p>
        </w:tc>
        <w:tc>
          <w:tcPr>
            <w:tcW w:w="2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466.02</w:t>
            </w:r>
          </w:p>
        </w:tc>
        <w:tc>
          <w:tcPr>
            <w:tcW w:w="7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73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rPr>
            </w:pPr>
            <w:r>
              <w:rPr>
                <w:rFonts w:hint="default" w:ascii="Times New Roman" w:hAnsi="Times New Roman" w:eastAsia="仿宋_GB2312" w:cs="Times New Roman"/>
                <w:color w:val="auto"/>
                <w:kern w:val="0"/>
                <w:sz w:val="21"/>
                <w:szCs w:val="21"/>
                <w:lang w:val="en-US" w:eastAsia="zh-CN"/>
              </w:rPr>
              <w:t>4</w:t>
            </w:r>
          </w:p>
        </w:tc>
        <w:tc>
          <w:tcPr>
            <w:tcW w:w="95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中砂</w:t>
            </w:r>
          </w:p>
        </w:tc>
        <w:tc>
          <w:tcPr>
            <w:tcW w:w="7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元/m³</w:t>
            </w:r>
          </w:p>
        </w:tc>
        <w:tc>
          <w:tcPr>
            <w:tcW w:w="145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155</w:t>
            </w:r>
          </w:p>
        </w:tc>
        <w:tc>
          <w:tcPr>
            <w:tcW w:w="2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150.49</w:t>
            </w:r>
          </w:p>
        </w:tc>
        <w:tc>
          <w:tcPr>
            <w:tcW w:w="7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3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rPr>
            </w:pPr>
            <w:r>
              <w:rPr>
                <w:rFonts w:hint="default" w:ascii="Times New Roman" w:hAnsi="Times New Roman" w:eastAsia="仿宋_GB2312" w:cs="Times New Roman"/>
                <w:color w:val="auto"/>
                <w:kern w:val="0"/>
                <w:sz w:val="21"/>
                <w:szCs w:val="21"/>
                <w:lang w:val="en-US" w:eastAsia="zh-CN"/>
              </w:rPr>
              <w:t>5</w:t>
            </w:r>
          </w:p>
        </w:tc>
        <w:tc>
          <w:tcPr>
            <w:tcW w:w="95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柴油</w:t>
            </w:r>
          </w:p>
        </w:tc>
        <w:tc>
          <w:tcPr>
            <w:tcW w:w="7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元/kg</w:t>
            </w:r>
          </w:p>
        </w:tc>
        <w:tc>
          <w:tcPr>
            <w:tcW w:w="145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6.58</w:t>
            </w:r>
          </w:p>
        </w:tc>
        <w:tc>
          <w:tcPr>
            <w:tcW w:w="2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5.82</w:t>
            </w:r>
          </w:p>
        </w:tc>
        <w:tc>
          <w:tcPr>
            <w:tcW w:w="7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3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rPr>
            </w:pPr>
            <w:r>
              <w:rPr>
                <w:rFonts w:hint="default" w:ascii="Times New Roman" w:hAnsi="Times New Roman" w:eastAsia="仿宋_GB2312" w:cs="Times New Roman"/>
                <w:color w:val="auto"/>
                <w:kern w:val="0"/>
                <w:sz w:val="21"/>
                <w:szCs w:val="21"/>
                <w:lang w:val="en-US" w:eastAsia="zh-CN"/>
              </w:rPr>
              <w:t>6</w:t>
            </w:r>
          </w:p>
        </w:tc>
        <w:tc>
          <w:tcPr>
            <w:tcW w:w="95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92#汽油</w:t>
            </w:r>
          </w:p>
        </w:tc>
        <w:tc>
          <w:tcPr>
            <w:tcW w:w="7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元/kg</w:t>
            </w:r>
          </w:p>
        </w:tc>
        <w:tc>
          <w:tcPr>
            <w:tcW w:w="145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8.37</w:t>
            </w:r>
          </w:p>
        </w:tc>
        <w:tc>
          <w:tcPr>
            <w:tcW w:w="2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7.41</w:t>
            </w:r>
          </w:p>
        </w:tc>
        <w:tc>
          <w:tcPr>
            <w:tcW w:w="7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73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rPr>
            </w:pPr>
            <w:r>
              <w:rPr>
                <w:rFonts w:hint="default" w:ascii="Times New Roman" w:hAnsi="Times New Roman" w:eastAsia="仿宋_GB2312" w:cs="Times New Roman"/>
                <w:color w:val="auto"/>
                <w:kern w:val="0"/>
                <w:sz w:val="21"/>
                <w:szCs w:val="21"/>
                <w:lang w:val="en-US" w:eastAsia="zh-CN"/>
              </w:rPr>
              <w:t>7</w:t>
            </w:r>
          </w:p>
        </w:tc>
        <w:tc>
          <w:tcPr>
            <w:tcW w:w="95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95#汽油</w:t>
            </w:r>
          </w:p>
        </w:tc>
        <w:tc>
          <w:tcPr>
            <w:tcW w:w="7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元/kg</w:t>
            </w:r>
          </w:p>
        </w:tc>
        <w:tc>
          <w:tcPr>
            <w:tcW w:w="145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8.85</w:t>
            </w:r>
          </w:p>
        </w:tc>
        <w:tc>
          <w:tcPr>
            <w:tcW w:w="2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7.83</w:t>
            </w:r>
          </w:p>
        </w:tc>
        <w:tc>
          <w:tcPr>
            <w:tcW w:w="7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73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rPr>
            </w:pPr>
            <w:r>
              <w:rPr>
                <w:rFonts w:hint="default" w:ascii="Times New Roman" w:hAnsi="Times New Roman" w:eastAsia="仿宋_GB2312" w:cs="Times New Roman"/>
                <w:color w:val="auto"/>
                <w:kern w:val="0"/>
                <w:sz w:val="21"/>
                <w:szCs w:val="21"/>
                <w:lang w:val="en-US" w:eastAsia="zh-CN"/>
              </w:rPr>
              <w:t>8</w:t>
            </w:r>
          </w:p>
        </w:tc>
        <w:tc>
          <w:tcPr>
            <w:tcW w:w="95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水</w:t>
            </w:r>
          </w:p>
        </w:tc>
        <w:tc>
          <w:tcPr>
            <w:tcW w:w="7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元/m³</w:t>
            </w:r>
          </w:p>
        </w:tc>
        <w:tc>
          <w:tcPr>
            <w:tcW w:w="145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4.45</w:t>
            </w:r>
          </w:p>
        </w:tc>
        <w:tc>
          <w:tcPr>
            <w:tcW w:w="2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4.32</w:t>
            </w:r>
          </w:p>
        </w:tc>
        <w:tc>
          <w:tcPr>
            <w:tcW w:w="7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73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rPr>
            </w:pPr>
            <w:r>
              <w:rPr>
                <w:rFonts w:hint="default" w:ascii="Times New Roman" w:hAnsi="Times New Roman" w:eastAsia="仿宋_GB2312" w:cs="Times New Roman"/>
                <w:color w:val="auto"/>
                <w:kern w:val="0"/>
                <w:sz w:val="21"/>
                <w:szCs w:val="21"/>
                <w:lang w:val="en-US" w:eastAsia="zh-CN"/>
              </w:rPr>
              <w:t>9</w:t>
            </w:r>
          </w:p>
        </w:tc>
        <w:tc>
          <w:tcPr>
            <w:tcW w:w="95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电</w:t>
            </w:r>
          </w:p>
        </w:tc>
        <w:tc>
          <w:tcPr>
            <w:tcW w:w="7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元/kw·h</w:t>
            </w:r>
          </w:p>
        </w:tc>
        <w:tc>
          <w:tcPr>
            <w:tcW w:w="145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1.02</w:t>
            </w:r>
          </w:p>
        </w:tc>
        <w:tc>
          <w:tcPr>
            <w:tcW w:w="2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0.90</w:t>
            </w:r>
          </w:p>
        </w:tc>
        <w:tc>
          <w:tcPr>
            <w:tcW w:w="7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73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rPr>
            </w:pPr>
            <w:r>
              <w:rPr>
                <w:rFonts w:hint="default" w:ascii="Times New Roman" w:hAnsi="Times New Roman" w:eastAsia="仿宋_GB2312" w:cs="Times New Roman"/>
                <w:color w:val="auto"/>
                <w:kern w:val="0"/>
                <w:sz w:val="21"/>
                <w:szCs w:val="21"/>
                <w:lang w:val="en-US" w:eastAsia="zh-CN"/>
              </w:rPr>
              <w:t>10</w:t>
            </w:r>
          </w:p>
        </w:tc>
        <w:tc>
          <w:tcPr>
            <w:tcW w:w="95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编织袋</w:t>
            </w:r>
          </w:p>
        </w:tc>
        <w:tc>
          <w:tcPr>
            <w:tcW w:w="7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元/个</w:t>
            </w:r>
          </w:p>
        </w:tc>
        <w:tc>
          <w:tcPr>
            <w:tcW w:w="145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1.0</w:t>
            </w:r>
          </w:p>
        </w:tc>
        <w:tc>
          <w:tcPr>
            <w:tcW w:w="2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1.00</w:t>
            </w:r>
          </w:p>
        </w:tc>
        <w:tc>
          <w:tcPr>
            <w:tcW w:w="73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rPr>
                <w:rFonts w:hint="default" w:ascii="Times New Roman" w:hAnsi="Times New Roman" w:eastAsia="仿宋_GB2312" w:cs="Times New Roman"/>
                <w:color w:val="auto"/>
                <w:kern w:val="0"/>
                <w:sz w:val="21"/>
                <w:szCs w:val="21"/>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73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rPr>
            </w:pPr>
            <w:r>
              <w:rPr>
                <w:rFonts w:hint="default" w:ascii="Times New Roman" w:hAnsi="Times New Roman" w:eastAsia="仿宋_GB2312" w:cs="Times New Roman"/>
                <w:color w:val="auto"/>
                <w:kern w:val="0"/>
                <w:sz w:val="21"/>
                <w:szCs w:val="21"/>
                <w:lang w:val="en-US" w:eastAsia="zh-CN"/>
              </w:rPr>
              <w:t>11</w:t>
            </w:r>
          </w:p>
        </w:tc>
        <w:tc>
          <w:tcPr>
            <w:tcW w:w="95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草籽</w:t>
            </w:r>
          </w:p>
        </w:tc>
        <w:tc>
          <w:tcPr>
            <w:tcW w:w="7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kg</w:t>
            </w:r>
          </w:p>
        </w:tc>
        <w:tc>
          <w:tcPr>
            <w:tcW w:w="145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60</w:t>
            </w:r>
          </w:p>
        </w:tc>
        <w:tc>
          <w:tcPr>
            <w:tcW w:w="2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58.25</w:t>
            </w:r>
          </w:p>
        </w:tc>
        <w:tc>
          <w:tcPr>
            <w:tcW w:w="7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73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rPr>
            </w:pPr>
            <w:r>
              <w:rPr>
                <w:rFonts w:hint="default" w:ascii="Times New Roman" w:hAnsi="Times New Roman" w:eastAsia="仿宋_GB2312" w:cs="Times New Roman"/>
                <w:color w:val="auto"/>
                <w:kern w:val="0"/>
                <w:sz w:val="21"/>
                <w:szCs w:val="21"/>
                <w:lang w:val="en-US" w:eastAsia="zh-CN"/>
              </w:rPr>
              <w:t>12</w:t>
            </w:r>
          </w:p>
        </w:tc>
        <w:tc>
          <w:tcPr>
            <w:tcW w:w="95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草皮</w:t>
            </w:r>
          </w:p>
        </w:tc>
        <w:tc>
          <w:tcPr>
            <w:tcW w:w="7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元/m³</w:t>
            </w:r>
          </w:p>
        </w:tc>
        <w:tc>
          <w:tcPr>
            <w:tcW w:w="7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6.5</w:t>
            </w:r>
          </w:p>
        </w:tc>
        <w:tc>
          <w:tcPr>
            <w:tcW w:w="11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5.75</w:t>
            </w:r>
          </w:p>
        </w:tc>
        <w:tc>
          <w:tcPr>
            <w:tcW w:w="73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i w:val="0"/>
                <w:iCs w:val="0"/>
                <w:color w:val="auto"/>
                <w:kern w:val="0"/>
                <w:sz w:val="21"/>
                <w:szCs w:val="21"/>
                <w:u w:val="none"/>
                <w:lang w:val="en-US" w:eastAsia="zh-CN" w:bidi="ar"/>
              </w:rPr>
              <w:t>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73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color w:val="auto"/>
                <w:kern w:val="0"/>
                <w:sz w:val="21"/>
                <w:szCs w:val="21"/>
                <w:lang w:val="en-US" w:eastAsia="zh-CN"/>
              </w:rPr>
            </w:pPr>
            <w:r>
              <w:rPr>
                <w:rFonts w:hint="default" w:ascii="Times New Roman" w:hAnsi="Times New Roman" w:eastAsia="仿宋_GB2312" w:cs="Times New Roman"/>
                <w:color w:val="auto"/>
                <w:kern w:val="0"/>
                <w:sz w:val="21"/>
                <w:szCs w:val="21"/>
                <w:lang w:val="en-US" w:eastAsia="zh-CN"/>
              </w:rPr>
              <w:t>13</w:t>
            </w:r>
          </w:p>
        </w:tc>
        <w:tc>
          <w:tcPr>
            <w:tcW w:w="95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i w:val="0"/>
                <w:iCs w:val="0"/>
                <w:color w:val="auto"/>
                <w:kern w:val="0"/>
                <w:sz w:val="21"/>
                <w:szCs w:val="21"/>
                <w:u w:val="none"/>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苫布</w:t>
            </w:r>
          </w:p>
        </w:tc>
        <w:tc>
          <w:tcPr>
            <w:tcW w:w="7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i w:val="0"/>
                <w:iCs w:val="0"/>
                <w:color w:val="auto"/>
                <w:kern w:val="0"/>
                <w:sz w:val="21"/>
                <w:szCs w:val="21"/>
                <w:u w:val="none"/>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元/m³</w:t>
            </w:r>
          </w:p>
        </w:tc>
        <w:tc>
          <w:tcPr>
            <w:tcW w:w="7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i w:val="0"/>
                <w:iCs w:val="0"/>
                <w:color w:val="auto"/>
                <w:kern w:val="0"/>
                <w:sz w:val="21"/>
                <w:szCs w:val="21"/>
                <w:u w:val="none"/>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2</w:t>
            </w:r>
            <w:r>
              <w:rPr>
                <w:rFonts w:hint="eastAsia" w:ascii="Times New Roman" w:hAnsi="Times New Roman" w:cs="Times New Roman"/>
                <w:i w:val="0"/>
                <w:iCs w:val="0"/>
                <w:color w:val="auto"/>
                <w:kern w:val="0"/>
                <w:sz w:val="21"/>
                <w:szCs w:val="21"/>
                <w:u w:val="none"/>
                <w:lang w:val="en-US" w:eastAsia="zh-CN" w:bidi="ar"/>
              </w:rPr>
              <w:t>.00</w:t>
            </w:r>
          </w:p>
        </w:tc>
        <w:tc>
          <w:tcPr>
            <w:tcW w:w="111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i w:val="0"/>
                <w:iCs w:val="0"/>
                <w:color w:val="auto"/>
                <w:kern w:val="0"/>
                <w:sz w:val="21"/>
                <w:szCs w:val="21"/>
                <w:u w:val="none"/>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1.94</w:t>
            </w:r>
          </w:p>
        </w:tc>
        <w:tc>
          <w:tcPr>
            <w:tcW w:w="73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仿宋_GB2312" w:cs="Times New Roman"/>
                <w:i w:val="0"/>
                <w:iCs w:val="0"/>
                <w:color w:val="auto"/>
                <w:kern w:val="0"/>
                <w:sz w:val="21"/>
                <w:szCs w:val="21"/>
                <w:u w:val="none"/>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3%</w:t>
            </w:r>
          </w:p>
        </w:tc>
      </w:tr>
    </w:tbl>
    <w:p>
      <w:pPr>
        <w:pStyle w:val="5"/>
        <w:rPr>
          <w:rFonts w:eastAsia="仿宋_GB2312"/>
          <w:color w:val="auto"/>
        </w:rPr>
      </w:pPr>
      <w:r>
        <w:rPr>
          <w:rFonts w:eastAsia="仿宋_GB2312"/>
          <w:color w:val="auto"/>
        </w:rPr>
        <w:t>7.2效益分析</w:t>
      </w:r>
      <w:bookmarkEnd w:id="398"/>
      <w:bookmarkEnd w:id="399"/>
      <w:bookmarkEnd w:id="400"/>
      <w:bookmarkEnd w:id="401"/>
      <w:bookmarkEnd w:id="402"/>
      <w:bookmarkEnd w:id="403"/>
      <w:bookmarkEnd w:id="404"/>
      <w:bookmarkEnd w:id="410"/>
    </w:p>
    <w:p>
      <w:pPr>
        <w:widowControl/>
        <w:spacing w:line="360" w:lineRule="auto"/>
        <w:jc w:val="left"/>
        <w:outlineLvl w:val="2"/>
        <w:rPr>
          <w:rFonts w:ascii="Times New Roman" w:hAnsi="Times New Roman" w:eastAsia="仿宋_GB2312" w:cs="Times New Roman"/>
          <w:b/>
          <w:color w:val="auto"/>
          <w:sz w:val="30"/>
          <w:szCs w:val="30"/>
        </w:rPr>
      </w:pPr>
      <w:bookmarkStart w:id="411" w:name="_Toc18845"/>
      <w:r>
        <w:rPr>
          <w:rFonts w:ascii="Times New Roman" w:hAnsi="Times New Roman" w:eastAsia="仿宋_GB2312" w:cs="Times New Roman"/>
          <w:b/>
          <w:color w:val="auto"/>
          <w:sz w:val="30"/>
          <w:szCs w:val="30"/>
        </w:rPr>
        <w:t>7.2.1水土流失防治效果预测</w:t>
      </w:r>
      <w:bookmarkEnd w:id="405"/>
      <w:bookmarkEnd w:id="406"/>
      <w:bookmarkEnd w:id="407"/>
      <w:bookmarkEnd w:id="408"/>
      <w:bookmarkEnd w:id="409"/>
      <w:bookmarkEnd w:id="411"/>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在对主体工程设计中具有水保措施的工程的分析评价的基础上，对产生水土流失的区域采取了工程、植物、临时等防护措施，按照</w:t>
      </w:r>
      <w:r>
        <w:rPr>
          <w:rFonts w:hint="eastAsia" w:ascii="Times New Roman" w:hAnsi="Times New Roman" w:eastAsia="仿宋_GB2312"/>
          <w:color w:val="auto"/>
          <w:lang w:val="en-US" w:eastAsia="zh-CN"/>
        </w:rPr>
        <w:t>评估报告</w:t>
      </w:r>
      <w:r>
        <w:rPr>
          <w:rFonts w:ascii="Times New Roman" w:hAnsi="Times New Roman" w:eastAsia="仿宋_GB2312"/>
          <w:color w:val="auto"/>
        </w:rPr>
        <w:t>设计的目标和要求，各项措施实施后，因工程建设带来的水土流失将得到有效控制，工程完工后，开挖面、裸露面得到有效的防护，施工破坏的植被将逐步恢复，植物种类得以改善，整个生态系统将更趋于稳定，在保水保土方面将有所提高，治理效果是明显的。</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依据</w:t>
      </w:r>
      <w:r>
        <w:rPr>
          <w:rFonts w:hint="eastAsia" w:ascii="Times New Roman" w:hAnsi="Times New Roman" w:eastAsia="仿宋_GB2312"/>
          <w:color w:val="auto"/>
          <w:lang w:val="en-US" w:eastAsia="zh-CN"/>
        </w:rPr>
        <w:t>区域评估报告</w:t>
      </w:r>
      <w:r>
        <w:rPr>
          <w:rFonts w:ascii="Times New Roman" w:hAnsi="Times New Roman" w:eastAsia="仿宋_GB2312"/>
          <w:color w:val="auto"/>
        </w:rPr>
        <w:t>提出的各项目标，重点计算以下项目：水土流失治理度、土壤流失控制比、渣土</w:t>
      </w:r>
      <w:r>
        <w:rPr>
          <w:rFonts w:hint="eastAsia" w:ascii="Times New Roman" w:hAnsi="Times New Roman" w:eastAsia="仿宋_GB2312"/>
          <w:color w:val="auto"/>
        </w:rPr>
        <w:t>防护率</w:t>
      </w:r>
      <w:r>
        <w:rPr>
          <w:rFonts w:ascii="Times New Roman" w:hAnsi="Times New Roman" w:eastAsia="仿宋_GB2312"/>
          <w:color w:val="auto"/>
        </w:rPr>
        <w:t>、表土保护率、林草植被恢复率、林草覆盖率。</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本</w:t>
      </w:r>
      <w:r>
        <w:rPr>
          <w:rFonts w:hint="eastAsia" w:ascii="Times New Roman" w:hAnsi="Times New Roman" w:eastAsia="仿宋_GB2312"/>
          <w:color w:val="auto"/>
          <w:lang w:val="en-US" w:eastAsia="zh-CN"/>
        </w:rPr>
        <w:t>区域评估报告</w:t>
      </w:r>
      <w:r>
        <w:rPr>
          <w:rFonts w:ascii="Times New Roman" w:hAnsi="Times New Roman" w:eastAsia="仿宋_GB2312"/>
          <w:color w:val="auto"/>
        </w:rPr>
        <w:t>实施后，各项水土流失防治指标计算如下：</w:t>
      </w:r>
    </w:p>
    <w:p>
      <w:pPr>
        <w:spacing w:line="360" w:lineRule="auto"/>
        <w:ind w:firstLine="480" w:firstLineChars="200"/>
        <w:rPr>
          <w:rFonts w:ascii="Times New Roman" w:hAnsi="Times New Roman" w:eastAsia="仿宋_GB2312"/>
          <w:color w:val="auto"/>
        </w:rPr>
      </w:pPr>
      <w:r>
        <w:rPr>
          <w:rFonts w:hint="eastAsia" w:ascii="宋体" w:hAnsi="宋体" w:cs="宋体"/>
          <w:color w:val="auto"/>
        </w:rPr>
        <w:t>①</w:t>
      </w:r>
      <w:r>
        <w:rPr>
          <w:rFonts w:ascii="Times New Roman" w:hAnsi="Times New Roman" w:eastAsia="仿宋_GB2312"/>
          <w:color w:val="auto"/>
        </w:rPr>
        <w:t>水土流失治理度</w:t>
      </w:r>
    </w:p>
    <w:p>
      <w:pPr>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rPr>
        <w:t>评估区域</w:t>
      </w:r>
      <w:r>
        <w:rPr>
          <w:rFonts w:ascii="Times New Roman" w:hAnsi="Times New Roman" w:eastAsia="仿宋_GB2312" w:cs="Times New Roman"/>
          <w:color w:val="auto"/>
          <w:szCs w:val="24"/>
        </w:rPr>
        <w:t>防治责任范围面积为</w:t>
      </w:r>
      <w:r>
        <w:rPr>
          <w:rFonts w:hint="eastAsia" w:ascii="Times New Roman" w:hAnsi="Times New Roman" w:eastAsia="仿宋_GB2312" w:cs="Times New Roman"/>
          <w:color w:val="auto"/>
          <w:szCs w:val="24"/>
        </w:rPr>
        <w:t>100</w:t>
      </w:r>
      <w:r>
        <w:rPr>
          <w:rFonts w:ascii="Times New Roman" w:hAnsi="Times New Roman" w:eastAsia="仿宋_GB2312" w:cs="Times New Roman"/>
          <w:color w:val="auto"/>
          <w:szCs w:val="24"/>
        </w:rPr>
        <w:t>hm</w:t>
      </w:r>
      <w:r>
        <w:rPr>
          <w:rFonts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，水土流失总面积为</w:t>
      </w:r>
      <w:r>
        <w:rPr>
          <w:rFonts w:hint="eastAsia" w:ascii="Times New Roman" w:hAnsi="Times New Roman" w:eastAsia="仿宋_GB2312" w:cs="Times New Roman"/>
          <w:color w:val="auto"/>
          <w:szCs w:val="24"/>
          <w:lang w:val="en-US" w:eastAsia="zh-CN"/>
        </w:rPr>
        <w:t>100</w:t>
      </w:r>
      <w:r>
        <w:rPr>
          <w:rFonts w:ascii="Times New Roman" w:hAnsi="Times New Roman" w:eastAsia="仿宋_GB2312" w:cs="Times New Roman"/>
          <w:color w:val="auto"/>
          <w:szCs w:val="24"/>
        </w:rPr>
        <w:t>m</w:t>
      </w:r>
      <w:r>
        <w:rPr>
          <w:rFonts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，水土流失治理达标面积</w:t>
      </w:r>
      <w:r>
        <w:rPr>
          <w:rFonts w:hint="eastAsia" w:ascii="Times New Roman" w:hAnsi="Times New Roman" w:eastAsia="仿宋_GB2312" w:cs="Times New Roman"/>
          <w:color w:val="auto"/>
          <w:szCs w:val="24"/>
          <w:lang w:val="en-US" w:eastAsia="zh-CN"/>
        </w:rPr>
        <w:t>99.98</w:t>
      </w:r>
      <w:r>
        <w:rPr>
          <w:rFonts w:ascii="Times New Roman" w:hAnsi="Times New Roman" w:eastAsia="仿宋_GB2312" w:cs="Times New Roman"/>
          <w:color w:val="auto"/>
          <w:szCs w:val="24"/>
        </w:rPr>
        <w:t>hm</w:t>
      </w:r>
      <w:r>
        <w:rPr>
          <w:rFonts w:ascii="Times New Roman" w:hAnsi="Times New Roman" w:eastAsia="仿宋_GB2312" w:cs="Times New Roman"/>
          <w:color w:val="auto"/>
          <w:szCs w:val="24"/>
          <w:vertAlign w:val="superscript"/>
        </w:rPr>
        <w:t>2</w:t>
      </w:r>
      <w:r>
        <w:rPr>
          <w:rFonts w:ascii="Times New Roman" w:hAnsi="Times New Roman" w:eastAsia="仿宋_GB2312" w:cs="Times New Roman"/>
          <w:color w:val="auto"/>
          <w:szCs w:val="24"/>
        </w:rPr>
        <w:t>，通过本</w:t>
      </w:r>
      <w:r>
        <w:rPr>
          <w:rFonts w:hint="eastAsia" w:ascii="Times New Roman" w:hAnsi="Times New Roman" w:eastAsia="仿宋_GB2312" w:cs="Times New Roman"/>
          <w:color w:val="auto"/>
          <w:szCs w:val="24"/>
          <w:lang w:val="en-US" w:eastAsia="zh-CN"/>
        </w:rPr>
        <w:t>区域评估报告</w:t>
      </w:r>
      <w:r>
        <w:rPr>
          <w:rFonts w:ascii="Times New Roman" w:hAnsi="Times New Roman" w:eastAsia="仿宋_GB2312" w:cs="Times New Roman"/>
          <w:color w:val="auto"/>
          <w:szCs w:val="24"/>
        </w:rPr>
        <w:t>的实施，</w:t>
      </w:r>
      <w:r>
        <w:rPr>
          <w:rFonts w:hint="eastAsia" w:ascii="Times New Roman" w:hAnsi="Times New Roman" w:eastAsia="仿宋_GB2312" w:cs="Times New Roman"/>
          <w:color w:val="auto"/>
        </w:rPr>
        <w:t>评估区域</w:t>
      </w:r>
      <w:r>
        <w:rPr>
          <w:rFonts w:ascii="Times New Roman" w:hAnsi="Times New Roman" w:eastAsia="仿宋_GB2312" w:cs="Times New Roman"/>
          <w:color w:val="auto"/>
          <w:szCs w:val="24"/>
        </w:rPr>
        <w:t>内水土流失面积得到有效治理，大部分区域土壤流失量达到容许流失量或以下，</w:t>
      </w:r>
      <w:r>
        <w:rPr>
          <w:rFonts w:hint="eastAsia" w:ascii="Times New Roman" w:hAnsi="Times New Roman" w:eastAsia="仿宋_GB2312" w:cs="Times New Roman"/>
          <w:color w:val="auto"/>
        </w:rPr>
        <w:t>评估区域</w:t>
      </w:r>
      <w:r>
        <w:rPr>
          <w:rFonts w:ascii="Times New Roman" w:hAnsi="Times New Roman" w:eastAsia="仿宋_GB2312" w:cs="Times New Roman"/>
          <w:color w:val="auto"/>
          <w:szCs w:val="24"/>
        </w:rPr>
        <w:t>水土流失总治理度达到</w:t>
      </w:r>
      <w:r>
        <w:rPr>
          <w:rFonts w:hint="eastAsia" w:ascii="Times New Roman" w:hAnsi="Times New Roman" w:eastAsia="仿宋_GB2312" w:cs="Times New Roman"/>
          <w:color w:val="auto"/>
          <w:szCs w:val="24"/>
        </w:rPr>
        <w:t>99.98</w:t>
      </w:r>
      <w:r>
        <w:rPr>
          <w:rFonts w:ascii="Times New Roman" w:hAnsi="Times New Roman" w:eastAsia="仿宋_GB2312" w:cs="Times New Roman"/>
          <w:color w:val="auto"/>
          <w:szCs w:val="24"/>
        </w:rPr>
        <w:t>%。</w:t>
      </w:r>
    </w:p>
    <w:p>
      <w:pPr>
        <w:spacing w:line="360" w:lineRule="auto"/>
        <w:ind w:firstLine="480" w:firstLineChars="200"/>
        <w:rPr>
          <w:rFonts w:ascii="Times New Roman" w:hAnsi="Times New Roman" w:eastAsia="仿宋_GB2312"/>
          <w:color w:val="auto"/>
        </w:rPr>
      </w:pPr>
      <w:r>
        <w:rPr>
          <w:rFonts w:hint="eastAsia" w:ascii="宋体" w:hAnsi="宋体" w:cs="宋体"/>
          <w:color w:val="auto"/>
        </w:rPr>
        <w:t>②</w:t>
      </w:r>
      <w:r>
        <w:rPr>
          <w:rFonts w:ascii="Times New Roman" w:hAnsi="Times New Roman" w:eastAsia="仿宋_GB2312"/>
          <w:color w:val="auto"/>
        </w:rPr>
        <w:t>土壤流失控制比</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s="Times New Roman"/>
          <w:color w:val="auto"/>
        </w:rPr>
        <w:t>评估区域</w:t>
      </w:r>
      <w:r>
        <w:rPr>
          <w:rFonts w:ascii="Times New Roman" w:hAnsi="Times New Roman" w:eastAsia="仿宋_GB2312"/>
          <w:color w:val="auto"/>
        </w:rPr>
        <w:t>各项水土保持措施完全发挥效益后，</w:t>
      </w:r>
      <w:r>
        <w:rPr>
          <w:rFonts w:hint="eastAsia" w:ascii="Times New Roman" w:hAnsi="Times New Roman" w:eastAsia="仿宋_GB2312" w:cs="Times New Roman"/>
          <w:color w:val="auto"/>
        </w:rPr>
        <w:t>评估区域</w:t>
      </w:r>
      <w:r>
        <w:rPr>
          <w:rFonts w:ascii="Times New Roman" w:hAnsi="Times New Roman" w:eastAsia="仿宋_GB2312"/>
          <w:color w:val="auto"/>
        </w:rPr>
        <w:t>的平均土壤侵蚀强度将减至450t/（km²·a）（扣除硬化部分），</w:t>
      </w:r>
      <w:r>
        <w:rPr>
          <w:rFonts w:hint="eastAsia" w:ascii="Times New Roman" w:hAnsi="Times New Roman" w:eastAsia="仿宋_GB2312" w:cs="Times New Roman"/>
          <w:color w:val="auto"/>
        </w:rPr>
        <w:t>评估区域</w:t>
      </w:r>
      <w:r>
        <w:rPr>
          <w:rFonts w:ascii="Times New Roman" w:hAnsi="Times New Roman" w:eastAsia="仿宋_GB2312"/>
          <w:color w:val="auto"/>
        </w:rPr>
        <w:t>土壤侵蚀模数容许值为500t/（km²·a），即得：土壤流失控制比＝容许土壤流失量/治理后的平均土壤流失强度＝500/450＝1.11。</w:t>
      </w:r>
    </w:p>
    <w:p>
      <w:pPr>
        <w:spacing w:line="360" w:lineRule="auto"/>
        <w:ind w:firstLine="480" w:firstLineChars="200"/>
        <w:rPr>
          <w:rFonts w:ascii="Times New Roman" w:hAnsi="Times New Roman" w:eastAsia="仿宋_GB2312"/>
          <w:color w:val="auto"/>
        </w:rPr>
      </w:pPr>
      <w:r>
        <w:rPr>
          <w:rFonts w:hint="eastAsia" w:ascii="宋体" w:hAnsi="宋体" w:cs="宋体"/>
          <w:color w:val="auto"/>
          <w:szCs w:val="24"/>
        </w:rPr>
        <w:t>③</w:t>
      </w:r>
      <w:r>
        <w:rPr>
          <w:rFonts w:ascii="Times New Roman" w:hAnsi="Times New Roman" w:eastAsia="仿宋_GB2312" w:cs="Times New Roman"/>
          <w:color w:val="auto"/>
          <w:szCs w:val="24"/>
        </w:rPr>
        <w:t>渣土</w:t>
      </w:r>
      <w:r>
        <w:rPr>
          <w:rFonts w:hint="eastAsia" w:ascii="Times New Roman" w:hAnsi="Times New Roman" w:eastAsia="仿宋_GB2312" w:cs="Times New Roman"/>
          <w:color w:val="auto"/>
          <w:szCs w:val="24"/>
        </w:rPr>
        <w:t>防</w:t>
      </w:r>
      <w:r>
        <w:rPr>
          <w:rFonts w:hint="eastAsia" w:ascii="Times New Roman" w:hAnsi="Times New Roman" w:eastAsia="仿宋_GB2312"/>
          <w:color w:val="auto"/>
        </w:rPr>
        <w:t>护率</w:t>
      </w:r>
    </w:p>
    <w:p>
      <w:pPr>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rPr>
        <w:t>评估区域</w:t>
      </w:r>
      <w:r>
        <w:rPr>
          <w:rFonts w:ascii="Times New Roman" w:hAnsi="Times New Roman" w:eastAsia="仿宋_GB2312"/>
          <w:color w:val="auto"/>
        </w:rPr>
        <w:t>场</w:t>
      </w:r>
      <w:r>
        <w:rPr>
          <w:rFonts w:ascii="Times New Roman" w:hAnsi="Times New Roman" w:eastAsia="仿宋_GB2312" w:cs="Times New Roman"/>
          <w:color w:val="auto"/>
          <w:szCs w:val="24"/>
          <w:lang w:bidi="zh-CN"/>
        </w:rPr>
        <w:t>地内临时堆放土方</w:t>
      </w:r>
      <w:r>
        <w:rPr>
          <w:rFonts w:hint="eastAsia" w:ascii="Times New Roman" w:hAnsi="Times New Roman" w:eastAsia="仿宋_GB2312" w:cs="Times New Roman"/>
          <w:color w:val="auto"/>
          <w:szCs w:val="24"/>
          <w:lang w:bidi="zh-CN"/>
        </w:rPr>
        <w:t>9.64</w:t>
      </w:r>
      <w:r>
        <w:rPr>
          <w:rFonts w:ascii="Times New Roman" w:hAnsi="Times New Roman" w:eastAsia="仿宋_GB2312" w:cs="Times New Roman"/>
          <w:color w:val="auto"/>
          <w:szCs w:val="24"/>
          <w:lang w:bidi="zh-CN"/>
        </w:rPr>
        <w:t>万m</w:t>
      </w:r>
      <w:r>
        <w:rPr>
          <w:rFonts w:ascii="Times New Roman" w:hAnsi="Times New Roman" w:eastAsia="仿宋_GB2312" w:cs="Times New Roman"/>
          <w:color w:val="auto"/>
          <w:szCs w:val="24"/>
          <w:vertAlign w:val="superscript"/>
          <w:lang w:bidi="zh-CN"/>
        </w:rPr>
        <w:t>3</w:t>
      </w:r>
      <w:r>
        <w:rPr>
          <w:rFonts w:ascii="Times New Roman" w:hAnsi="Times New Roman" w:eastAsia="仿宋_GB2312" w:cs="Times New Roman"/>
          <w:color w:val="auto"/>
          <w:szCs w:val="24"/>
          <w:lang w:bidi="zh-CN"/>
        </w:rPr>
        <w:t>，</w:t>
      </w:r>
      <w:r>
        <w:rPr>
          <w:rFonts w:ascii="Times New Roman" w:hAnsi="Times New Roman" w:eastAsia="仿宋_GB2312" w:cs="Times New Roman"/>
          <w:color w:val="auto"/>
          <w:szCs w:val="24"/>
        </w:rPr>
        <w:t>本</w:t>
      </w:r>
      <w:r>
        <w:rPr>
          <w:rFonts w:hint="eastAsia" w:ascii="Times New Roman" w:hAnsi="Times New Roman" w:eastAsia="仿宋_GB2312" w:cs="Times New Roman"/>
          <w:color w:val="auto"/>
          <w:szCs w:val="24"/>
          <w:lang w:val="en-US" w:eastAsia="zh-CN"/>
        </w:rPr>
        <w:t>区域评估报告</w:t>
      </w:r>
      <w:r>
        <w:rPr>
          <w:rFonts w:ascii="Times New Roman" w:hAnsi="Times New Roman" w:eastAsia="仿宋_GB2312" w:cs="Times New Roman"/>
          <w:color w:val="auto"/>
          <w:szCs w:val="24"/>
        </w:rPr>
        <w:t>实施后基本得到拦挡处理，实际拦挡</w:t>
      </w:r>
      <w:r>
        <w:rPr>
          <w:rFonts w:hint="eastAsia" w:ascii="Times New Roman" w:hAnsi="Times New Roman" w:eastAsia="仿宋_GB2312" w:cs="Times New Roman"/>
          <w:color w:val="auto"/>
          <w:szCs w:val="24"/>
        </w:rPr>
        <w:t>9.62</w:t>
      </w:r>
      <w:r>
        <w:rPr>
          <w:rFonts w:ascii="Times New Roman" w:hAnsi="Times New Roman" w:eastAsia="仿宋_GB2312" w:cs="Times New Roman"/>
          <w:color w:val="auto"/>
          <w:szCs w:val="24"/>
        </w:rPr>
        <w:t>万m</w:t>
      </w:r>
      <w:r>
        <w:rPr>
          <w:rFonts w:ascii="Times New Roman" w:hAnsi="Times New Roman" w:eastAsia="仿宋_GB2312" w:cs="Times New Roman"/>
          <w:color w:val="auto"/>
          <w:szCs w:val="24"/>
          <w:vertAlign w:val="superscript"/>
        </w:rPr>
        <w:t>3</w:t>
      </w:r>
      <w:r>
        <w:rPr>
          <w:rFonts w:ascii="Times New Roman" w:hAnsi="Times New Roman" w:eastAsia="仿宋_GB2312" w:cs="Times New Roman"/>
          <w:color w:val="auto"/>
          <w:szCs w:val="24"/>
        </w:rPr>
        <w:t>，渣土</w:t>
      </w:r>
      <w:r>
        <w:rPr>
          <w:rFonts w:hint="eastAsia" w:ascii="Times New Roman" w:hAnsi="Times New Roman" w:eastAsia="仿宋_GB2312" w:cs="Times New Roman"/>
          <w:color w:val="auto"/>
          <w:szCs w:val="24"/>
        </w:rPr>
        <w:t>防护率</w:t>
      </w:r>
      <w:r>
        <w:rPr>
          <w:rFonts w:ascii="Times New Roman" w:hAnsi="Times New Roman" w:eastAsia="仿宋_GB2312" w:cs="Times New Roman"/>
          <w:color w:val="auto"/>
          <w:szCs w:val="24"/>
        </w:rPr>
        <w:t>达到</w:t>
      </w:r>
      <w:r>
        <w:rPr>
          <w:rFonts w:hint="eastAsia" w:ascii="Times New Roman" w:hAnsi="Times New Roman" w:eastAsia="仿宋_GB2312" w:cs="Times New Roman"/>
          <w:color w:val="auto"/>
          <w:szCs w:val="24"/>
        </w:rPr>
        <w:t>99.79</w:t>
      </w:r>
      <w:r>
        <w:rPr>
          <w:rFonts w:ascii="Times New Roman" w:hAnsi="Times New Roman" w:eastAsia="仿宋_GB2312" w:cs="Times New Roman"/>
          <w:color w:val="auto"/>
          <w:szCs w:val="24"/>
        </w:rPr>
        <w:t>%。</w:t>
      </w:r>
    </w:p>
    <w:p>
      <w:pPr>
        <w:spacing w:line="360" w:lineRule="auto"/>
        <w:ind w:firstLine="480" w:firstLineChars="200"/>
        <w:rPr>
          <w:rFonts w:ascii="Times New Roman" w:hAnsi="Times New Roman" w:eastAsia="仿宋_GB2312"/>
          <w:color w:val="auto"/>
        </w:rPr>
      </w:pPr>
      <w:r>
        <w:rPr>
          <w:rFonts w:hint="eastAsia" w:ascii="宋体" w:hAnsi="宋体" w:cs="宋体"/>
          <w:color w:val="auto"/>
          <w:szCs w:val="24"/>
        </w:rPr>
        <w:t>④</w:t>
      </w:r>
      <w:r>
        <w:rPr>
          <w:rFonts w:ascii="Times New Roman" w:hAnsi="Times New Roman" w:eastAsia="仿宋_GB2312" w:cs="Times New Roman"/>
          <w:color w:val="auto"/>
          <w:szCs w:val="24"/>
        </w:rPr>
        <w:t>表土保护</w:t>
      </w:r>
      <w:r>
        <w:rPr>
          <w:rFonts w:ascii="Times New Roman" w:hAnsi="Times New Roman" w:eastAsia="仿宋_GB2312"/>
          <w:color w:val="auto"/>
        </w:rPr>
        <w:t>率</w:t>
      </w:r>
    </w:p>
    <w:p>
      <w:pPr>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rPr>
        <w:t>评估区域</w:t>
      </w:r>
      <w:r>
        <w:rPr>
          <w:rFonts w:ascii="Times New Roman" w:hAnsi="Times New Roman" w:eastAsia="仿宋_GB2312"/>
          <w:color w:val="auto"/>
        </w:rPr>
        <w:t>内可剥</w:t>
      </w:r>
      <w:r>
        <w:rPr>
          <w:rFonts w:ascii="Times New Roman" w:hAnsi="Times New Roman" w:eastAsia="仿宋_GB2312" w:cs="Times New Roman"/>
          <w:color w:val="auto"/>
        </w:rPr>
        <w:t>离表土量为</w:t>
      </w:r>
      <w:r>
        <w:rPr>
          <w:rFonts w:hint="eastAsia" w:ascii="Times New Roman" w:hAnsi="Times New Roman" w:eastAsia="仿宋_GB2312" w:cs="Times New Roman"/>
          <w:color w:val="auto"/>
        </w:rPr>
        <w:t>4.91</w:t>
      </w:r>
      <w:r>
        <w:rPr>
          <w:rFonts w:ascii="Times New Roman" w:hAnsi="Times New Roman" w:eastAsia="仿宋_GB2312" w:cs="Times New Roman"/>
          <w:color w:val="auto"/>
        </w:rPr>
        <w:t>万m</w:t>
      </w:r>
      <w:r>
        <w:rPr>
          <w:rFonts w:ascii="Times New Roman" w:hAnsi="Times New Roman" w:eastAsia="仿宋_GB2312" w:cs="Times New Roman"/>
          <w:color w:val="auto"/>
          <w:vertAlign w:val="superscript"/>
        </w:rPr>
        <w:t>3</w:t>
      </w:r>
      <w:r>
        <w:rPr>
          <w:rFonts w:ascii="Times New Roman" w:hAnsi="Times New Roman" w:eastAsia="仿宋_GB2312" w:cs="Times New Roman"/>
          <w:color w:val="auto"/>
        </w:rPr>
        <w:t>，保护表土</w:t>
      </w:r>
      <w:r>
        <w:rPr>
          <w:rFonts w:hint="eastAsia" w:ascii="Times New Roman" w:hAnsi="Times New Roman" w:eastAsia="仿宋_GB2312" w:cs="Times New Roman"/>
          <w:color w:val="auto"/>
        </w:rPr>
        <w:t>4.90</w:t>
      </w:r>
      <w:r>
        <w:rPr>
          <w:rFonts w:ascii="Times New Roman" w:hAnsi="Times New Roman" w:eastAsia="仿宋_GB2312" w:cs="Times New Roman"/>
          <w:color w:val="auto"/>
        </w:rPr>
        <w:t>万m</w:t>
      </w:r>
      <w:r>
        <w:rPr>
          <w:rFonts w:ascii="Times New Roman" w:hAnsi="Times New Roman" w:eastAsia="仿宋_GB2312" w:cs="Times New Roman"/>
          <w:color w:val="auto"/>
          <w:vertAlign w:val="superscript"/>
        </w:rPr>
        <w:t>3</w:t>
      </w:r>
      <w:r>
        <w:rPr>
          <w:rFonts w:ascii="Times New Roman" w:hAnsi="Times New Roman" w:eastAsia="仿宋_GB2312" w:cs="Times New Roman"/>
          <w:color w:val="auto"/>
        </w:rPr>
        <w:t>，全部回填至</w:t>
      </w:r>
      <w:r>
        <w:rPr>
          <w:rFonts w:hint="eastAsia" w:ascii="Times New Roman" w:hAnsi="Times New Roman" w:eastAsia="仿宋_GB2312" w:cs="Times New Roman"/>
          <w:color w:val="auto"/>
        </w:rPr>
        <w:t>评估区域</w:t>
      </w:r>
      <w:r>
        <w:rPr>
          <w:rFonts w:ascii="Times New Roman" w:hAnsi="Times New Roman" w:eastAsia="仿宋_GB2312" w:cs="Times New Roman"/>
          <w:color w:val="auto"/>
        </w:rPr>
        <w:t>的绿化区域内。表土保护率为</w:t>
      </w:r>
      <w:r>
        <w:rPr>
          <w:rFonts w:hint="eastAsia" w:ascii="Times New Roman" w:hAnsi="Times New Roman" w:eastAsia="仿宋_GB2312" w:cs="Times New Roman"/>
          <w:color w:val="auto"/>
        </w:rPr>
        <w:t>99.78</w:t>
      </w:r>
      <w:r>
        <w:rPr>
          <w:rFonts w:ascii="Times New Roman" w:hAnsi="Times New Roman" w:eastAsia="仿宋_GB2312" w:cs="Times New Roman"/>
          <w:color w:val="auto"/>
        </w:rPr>
        <w:t>%。</w:t>
      </w:r>
    </w:p>
    <w:p>
      <w:pPr>
        <w:spacing w:line="360" w:lineRule="auto"/>
        <w:ind w:firstLine="480" w:firstLineChars="200"/>
        <w:rPr>
          <w:rFonts w:ascii="Times New Roman" w:hAnsi="Times New Roman" w:eastAsia="仿宋_GB2312"/>
          <w:color w:val="auto"/>
        </w:rPr>
      </w:pPr>
      <w:r>
        <w:rPr>
          <w:rFonts w:hint="eastAsia" w:ascii="宋体" w:hAnsi="宋体" w:cs="宋体"/>
          <w:color w:val="auto"/>
          <w:szCs w:val="24"/>
        </w:rPr>
        <w:t>⑤</w:t>
      </w:r>
      <w:r>
        <w:rPr>
          <w:rFonts w:ascii="Times New Roman" w:hAnsi="Times New Roman" w:eastAsia="仿宋_GB2312" w:cs="Times New Roman"/>
          <w:color w:val="auto"/>
          <w:szCs w:val="24"/>
        </w:rPr>
        <w:t>林草植被恢复率和林草覆盖</w:t>
      </w:r>
      <w:r>
        <w:rPr>
          <w:rFonts w:ascii="Times New Roman" w:hAnsi="Times New Roman" w:eastAsia="仿宋_GB2312"/>
          <w:color w:val="auto"/>
        </w:rPr>
        <w:t>率</w:t>
      </w:r>
    </w:p>
    <w:p>
      <w:pPr>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本</w:t>
      </w:r>
      <w:r>
        <w:rPr>
          <w:rFonts w:hint="eastAsia" w:ascii="Times New Roman" w:hAnsi="Times New Roman" w:eastAsia="仿宋_GB2312"/>
          <w:color w:val="auto"/>
          <w:lang w:val="en-US" w:eastAsia="zh-CN"/>
        </w:rPr>
        <w:t>区域评估报告</w:t>
      </w:r>
      <w:r>
        <w:rPr>
          <w:rFonts w:ascii="Times New Roman" w:hAnsi="Times New Roman" w:eastAsia="仿宋_GB2312"/>
          <w:color w:val="auto"/>
        </w:rPr>
        <w:t>防治责任范围内可恢复</w:t>
      </w:r>
      <w:r>
        <w:rPr>
          <w:rFonts w:ascii="Times New Roman" w:hAnsi="Times New Roman" w:eastAsia="仿宋_GB2312" w:cs="Times New Roman"/>
          <w:color w:val="auto"/>
        </w:rPr>
        <w:t>植被面积</w:t>
      </w:r>
      <w:r>
        <w:rPr>
          <w:rFonts w:hint="eastAsia" w:ascii="Times New Roman" w:hAnsi="Times New Roman" w:eastAsia="仿宋_GB2312" w:cs="Times New Roman"/>
          <w:color w:val="auto"/>
          <w:lang w:val="en-US" w:eastAsia="zh-CN"/>
        </w:rPr>
        <w:t>60.48</w:t>
      </w:r>
      <w:r>
        <w:rPr>
          <w:rFonts w:ascii="Times New Roman" w:hAnsi="Times New Roman" w:eastAsia="仿宋_GB2312" w:cs="Times New Roman"/>
          <w:color w:val="auto"/>
        </w:rPr>
        <w:t>hm</w:t>
      </w:r>
      <w:r>
        <w:rPr>
          <w:rFonts w:ascii="Times New Roman" w:hAnsi="Times New Roman" w:eastAsia="仿宋_GB2312" w:cs="Times New Roman"/>
          <w:color w:val="auto"/>
          <w:vertAlign w:val="superscript"/>
        </w:rPr>
        <w:t>2</w:t>
      </w:r>
      <w:r>
        <w:rPr>
          <w:rFonts w:ascii="Times New Roman" w:hAnsi="Times New Roman" w:eastAsia="仿宋_GB2312" w:cs="Times New Roman"/>
          <w:color w:val="auto"/>
        </w:rPr>
        <w:t>，</w:t>
      </w:r>
      <w:r>
        <w:rPr>
          <w:rFonts w:hint="eastAsia" w:ascii="Times New Roman" w:hAnsi="Times New Roman" w:eastAsia="仿宋_GB2312" w:cs="Times New Roman"/>
          <w:color w:val="auto"/>
          <w:lang w:val="en-US" w:eastAsia="zh-CN"/>
        </w:rPr>
        <w:t>区域评估报告</w:t>
      </w:r>
      <w:r>
        <w:rPr>
          <w:rFonts w:ascii="Times New Roman" w:hAnsi="Times New Roman" w:eastAsia="仿宋_GB2312" w:cs="Times New Roman"/>
          <w:color w:val="auto"/>
        </w:rPr>
        <w:t>实施后至设计水平年，</w:t>
      </w:r>
      <w:r>
        <w:rPr>
          <w:rFonts w:hint="eastAsia" w:ascii="Times New Roman" w:hAnsi="Times New Roman" w:eastAsia="仿宋_GB2312" w:cs="Times New Roman"/>
          <w:color w:val="auto"/>
        </w:rPr>
        <w:t>评估区域</w:t>
      </w:r>
      <w:r>
        <w:rPr>
          <w:rFonts w:ascii="Times New Roman" w:hAnsi="Times New Roman" w:eastAsia="仿宋_GB2312" w:cs="Times New Roman"/>
          <w:color w:val="auto"/>
        </w:rPr>
        <w:t>林草植被将得到最大限度的恢复，植物措施面积为</w:t>
      </w:r>
      <w:r>
        <w:rPr>
          <w:rFonts w:hint="eastAsia" w:ascii="Times New Roman" w:hAnsi="Times New Roman" w:eastAsia="仿宋_GB2312" w:cs="Times New Roman"/>
          <w:color w:val="auto"/>
          <w:lang w:val="en-US" w:eastAsia="zh-CN"/>
        </w:rPr>
        <w:t>60.47</w:t>
      </w:r>
      <w:r>
        <w:rPr>
          <w:rFonts w:ascii="Times New Roman" w:hAnsi="Times New Roman" w:eastAsia="仿宋_GB2312" w:cs="Times New Roman"/>
          <w:color w:val="auto"/>
        </w:rPr>
        <w:t>hm</w:t>
      </w:r>
      <w:r>
        <w:rPr>
          <w:rFonts w:ascii="Times New Roman" w:hAnsi="Times New Roman" w:eastAsia="仿宋_GB2312" w:cs="Times New Roman"/>
          <w:color w:val="auto"/>
          <w:vertAlign w:val="superscript"/>
        </w:rPr>
        <w:t>2</w:t>
      </w:r>
      <w:r>
        <w:rPr>
          <w:rFonts w:ascii="Times New Roman" w:hAnsi="Times New Roman" w:eastAsia="仿宋_GB2312" w:cs="Times New Roman"/>
          <w:color w:val="auto"/>
        </w:rPr>
        <w:t>，</w:t>
      </w:r>
      <w:r>
        <w:rPr>
          <w:rFonts w:hint="eastAsia" w:ascii="Times New Roman" w:hAnsi="Times New Roman" w:eastAsia="仿宋_GB2312" w:cs="Times New Roman"/>
          <w:color w:val="auto"/>
        </w:rPr>
        <w:t>评估区域</w:t>
      </w:r>
      <w:r>
        <w:rPr>
          <w:rFonts w:ascii="Times New Roman" w:hAnsi="Times New Roman" w:eastAsia="仿宋_GB2312" w:cs="Times New Roman"/>
          <w:color w:val="auto"/>
        </w:rPr>
        <w:t>林草植被恢复率达到</w:t>
      </w:r>
      <w:r>
        <w:rPr>
          <w:rFonts w:hint="eastAsia" w:ascii="Times New Roman" w:hAnsi="Times New Roman" w:eastAsia="仿宋_GB2312" w:cs="Times New Roman"/>
          <w:color w:val="auto"/>
        </w:rPr>
        <w:t>99.98</w:t>
      </w:r>
      <w:r>
        <w:rPr>
          <w:rFonts w:ascii="Times New Roman" w:hAnsi="Times New Roman" w:eastAsia="仿宋_GB2312" w:cs="Times New Roman"/>
          <w:color w:val="auto"/>
        </w:rPr>
        <w:t>%；</w:t>
      </w:r>
      <w:r>
        <w:rPr>
          <w:rFonts w:hint="eastAsia" w:ascii="Times New Roman" w:hAnsi="Times New Roman" w:eastAsia="仿宋_GB2312" w:cs="Times New Roman"/>
          <w:color w:val="auto"/>
        </w:rPr>
        <w:t>评估区域</w:t>
      </w:r>
      <w:r>
        <w:rPr>
          <w:rFonts w:ascii="Times New Roman" w:hAnsi="Times New Roman" w:eastAsia="仿宋_GB2312" w:cs="Times New Roman"/>
          <w:color w:val="auto"/>
        </w:rPr>
        <w:t>防治责任范围面积</w:t>
      </w:r>
      <w:r>
        <w:rPr>
          <w:rFonts w:hint="eastAsia" w:ascii="Times New Roman" w:hAnsi="Times New Roman" w:eastAsia="仿宋_GB2312" w:cs="Times New Roman"/>
          <w:color w:val="auto"/>
        </w:rPr>
        <w:t>100</w:t>
      </w:r>
      <w:r>
        <w:rPr>
          <w:rFonts w:ascii="Times New Roman" w:hAnsi="Times New Roman" w:eastAsia="仿宋_GB2312" w:cs="Times New Roman"/>
          <w:color w:val="auto"/>
        </w:rPr>
        <w:t>hm</w:t>
      </w:r>
      <w:r>
        <w:rPr>
          <w:rFonts w:ascii="Times New Roman" w:hAnsi="Times New Roman" w:eastAsia="仿宋_GB2312" w:cs="Times New Roman"/>
          <w:color w:val="auto"/>
          <w:vertAlign w:val="superscript"/>
        </w:rPr>
        <w:t>2</w:t>
      </w:r>
      <w:r>
        <w:rPr>
          <w:rFonts w:ascii="Times New Roman" w:hAnsi="Times New Roman" w:eastAsia="仿宋_GB2312" w:cs="Times New Roman"/>
          <w:color w:val="auto"/>
        </w:rPr>
        <w:t>，林草类植被面积</w:t>
      </w:r>
      <w:r>
        <w:rPr>
          <w:rFonts w:hint="eastAsia" w:ascii="Times New Roman" w:hAnsi="Times New Roman" w:eastAsia="仿宋_GB2312" w:cs="Times New Roman"/>
          <w:color w:val="auto"/>
        </w:rPr>
        <w:t>58.23</w:t>
      </w:r>
      <w:r>
        <w:rPr>
          <w:rFonts w:ascii="Times New Roman" w:hAnsi="Times New Roman" w:eastAsia="仿宋_GB2312" w:cs="Times New Roman"/>
          <w:color w:val="auto"/>
        </w:rPr>
        <w:t>hm</w:t>
      </w:r>
      <w:r>
        <w:rPr>
          <w:rFonts w:ascii="Times New Roman" w:hAnsi="Times New Roman" w:eastAsia="仿宋_GB2312" w:cs="Times New Roman"/>
          <w:color w:val="auto"/>
          <w:vertAlign w:val="superscript"/>
        </w:rPr>
        <w:t>2</w:t>
      </w:r>
      <w:r>
        <w:rPr>
          <w:rFonts w:ascii="Times New Roman" w:hAnsi="Times New Roman" w:eastAsia="仿宋_GB2312" w:cs="Times New Roman"/>
          <w:color w:val="auto"/>
        </w:rPr>
        <w:t>，林草覆盖率为</w:t>
      </w:r>
      <w:r>
        <w:rPr>
          <w:rFonts w:hint="eastAsia" w:ascii="Times New Roman" w:hAnsi="Times New Roman" w:eastAsia="仿宋_GB2312" w:cs="Times New Roman"/>
          <w:color w:val="auto"/>
          <w:lang w:eastAsia="zh-CN"/>
        </w:rPr>
        <w:t>60.47%</w:t>
      </w:r>
      <w:r>
        <w:rPr>
          <w:rFonts w:ascii="Times New Roman" w:hAnsi="Times New Roman" w:eastAsia="仿宋_GB2312" w:cs="Times New Roman"/>
          <w:color w:val="auto"/>
        </w:rPr>
        <w:t>。</w:t>
      </w:r>
    </w:p>
    <w:p>
      <w:pPr>
        <w:spacing w:line="360" w:lineRule="auto"/>
        <w:ind w:firstLine="480" w:firstLineChars="200"/>
        <w:rPr>
          <w:rFonts w:ascii="Times New Roman" w:hAnsi="Times New Roman" w:eastAsia="仿宋_GB2312"/>
          <w:color w:val="auto"/>
        </w:rPr>
      </w:pPr>
      <w:r>
        <w:rPr>
          <w:rFonts w:hint="eastAsia" w:ascii="Times New Roman" w:hAnsi="Times New Roman" w:eastAsia="仿宋_GB2312" w:cs="Times New Roman"/>
          <w:color w:val="auto"/>
          <w:szCs w:val="24"/>
          <w:lang w:val="en-US" w:eastAsia="zh-CN"/>
        </w:rPr>
        <w:t>区域评估报告</w:t>
      </w:r>
      <w:r>
        <w:rPr>
          <w:rFonts w:ascii="Times New Roman" w:hAnsi="Times New Roman" w:eastAsia="仿宋_GB2312" w:cs="Times New Roman"/>
          <w:color w:val="auto"/>
          <w:szCs w:val="24"/>
        </w:rPr>
        <w:t>实施后至设计水平年</w:t>
      </w:r>
      <w:r>
        <w:rPr>
          <w:rFonts w:hint="eastAsia" w:ascii="Times New Roman" w:hAnsi="Times New Roman" w:eastAsia="仿宋_GB2312" w:cs="Times New Roman"/>
          <w:color w:val="auto"/>
        </w:rPr>
        <w:t>评估区域</w:t>
      </w:r>
      <w:r>
        <w:rPr>
          <w:rFonts w:ascii="Times New Roman" w:hAnsi="Times New Roman" w:eastAsia="仿宋_GB2312" w:cs="Times New Roman"/>
          <w:color w:val="auto"/>
          <w:szCs w:val="24"/>
        </w:rPr>
        <w:t>内各项水土保持防治指标见表7</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2-</w:t>
      </w:r>
      <w:r>
        <w:rPr>
          <w:rFonts w:hint="eastAsia" w:ascii="Times New Roman" w:hAnsi="Times New Roman" w:eastAsia="仿宋_GB2312" w:cs="Times New Roman"/>
          <w:color w:val="auto"/>
          <w:szCs w:val="24"/>
        </w:rPr>
        <w:t>1</w:t>
      </w:r>
      <w:r>
        <w:rPr>
          <w:rFonts w:ascii="Times New Roman" w:hAnsi="Times New Roman" w:eastAsia="仿宋_GB2312" w:cs="Times New Roman"/>
          <w:color w:val="auto"/>
          <w:szCs w:val="24"/>
        </w:rPr>
        <w:t>。</w:t>
      </w:r>
    </w:p>
    <w:p>
      <w:pPr>
        <w:spacing w:line="360" w:lineRule="auto"/>
        <w:ind w:firstLine="482" w:firstLineChars="200"/>
        <w:jc w:val="center"/>
        <w:rPr>
          <w:rFonts w:ascii="Times New Roman" w:hAnsi="Times New Roman" w:eastAsia="仿宋_GB2312" w:cs="Times New Roman"/>
          <w:b/>
          <w:bCs/>
          <w:color w:val="auto"/>
          <w:szCs w:val="24"/>
        </w:rPr>
      </w:pPr>
      <w:r>
        <w:rPr>
          <w:rFonts w:ascii="Times New Roman" w:hAnsi="Times New Roman" w:eastAsia="仿宋_GB2312" w:cs="Times New Roman"/>
          <w:b/>
          <w:color w:val="auto"/>
          <w:szCs w:val="24"/>
        </w:rPr>
        <w:t>表7</w:t>
      </w:r>
      <w:r>
        <w:rPr>
          <w:rFonts w:hint="eastAsia" w:ascii="Times New Roman" w:hAnsi="Times New Roman" w:eastAsia="仿宋_GB2312" w:cs="Times New Roman"/>
          <w:b/>
          <w:color w:val="auto"/>
          <w:szCs w:val="24"/>
        </w:rPr>
        <w:t>.</w:t>
      </w:r>
      <w:r>
        <w:rPr>
          <w:rFonts w:ascii="Times New Roman" w:hAnsi="Times New Roman" w:eastAsia="仿宋_GB2312" w:cs="Times New Roman"/>
          <w:b/>
          <w:color w:val="auto"/>
          <w:szCs w:val="24"/>
        </w:rPr>
        <w:t>2-</w:t>
      </w:r>
      <w:r>
        <w:rPr>
          <w:rFonts w:hint="eastAsia" w:ascii="Times New Roman" w:hAnsi="Times New Roman" w:eastAsia="仿宋_GB2312" w:cs="Times New Roman"/>
          <w:b/>
          <w:color w:val="auto"/>
          <w:szCs w:val="24"/>
        </w:rPr>
        <w:t>1</w:t>
      </w:r>
      <w:r>
        <w:rPr>
          <w:rFonts w:ascii="Times New Roman" w:hAnsi="Times New Roman" w:eastAsia="仿宋_GB2312" w:cs="Times New Roman"/>
          <w:b/>
          <w:color w:val="auto"/>
          <w:szCs w:val="24"/>
        </w:rPr>
        <w:t>：</w:t>
      </w:r>
      <w:r>
        <w:rPr>
          <w:rFonts w:ascii="Times New Roman" w:hAnsi="Times New Roman" w:eastAsia="仿宋_GB2312" w:cs="Times New Roman"/>
          <w:b/>
          <w:bCs/>
          <w:color w:val="auto"/>
          <w:szCs w:val="24"/>
        </w:rPr>
        <w:t>水土流失防治指标计算表</w:t>
      </w:r>
    </w:p>
    <w:tbl>
      <w:tblPr>
        <w:tblStyle w:val="37"/>
        <w:tblW w:w="494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98"/>
        <w:gridCol w:w="850"/>
        <w:gridCol w:w="2593"/>
        <w:gridCol w:w="856"/>
        <w:gridCol w:w="1420"/>
        <w:gridCol w:w="141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4" w:hRule="atLeast"/>
          <w:jc w:val="center"/>
        </w:trPr>
        <w:tc>
          <w:tcPr>
            <w:tcW w:w="770" w:type="pct"/>
            <w:vAlign w:val="center"/>
          </w:tcPr>
          <w:p>
            <w:pPr>
              <w:spacing w:line="240" w:lineRule="exact"/>
              <w:jc w:val="center"/>
              <w:rPr>
                <w:rFonts w:ascii="Times New Roman" w:hAnsi="Times New Roman" w:eastAsia="仿宋_GB2312" w:cs="Times New Roman"/>
                <w:color w:val="auto"/>
                <w:kern w:val="0"/>
                <w:sz w:val="21"/>
                <w:szCs w:val="21"/>
              </w:rPr>
            </w:pPr>
            <w:bookmarkStart w:id="412" w:name="_Toc203158538"/>
            <w:r>
              <w:rPr>
                <w:rFonts w:ascii="Times New Roman" w:hAnsi="Times New Roman" w:eastAsia="仿宋_GB2312" w:cs="Times New Roman"/>
                <w:color w:val="auto"/>
                <w:kern w:val="0"/>
                <w:sz w:val="21"/>
                <w:szCs w:val="21"/>
              </w:rPr>
              <w:t>评估指标</w:t>
            </w:r>
          </w:p>
        </w:tc>
        <w:tc>
          <w:tcPr>
            <w:tcW w:w="504" w:type="pc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目标值</w:t>
            </w:r>
          </w:p>
        </w:tc>
        <w:tc>
          <w:tcPr>
            <w:tcW w:w="1538" w:type="pc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计算依据</w:t>
            </w:r>
          </w:p>
        </w:tc>
        <w:tc>
          <w:tcPr>
            <w:tcW w:w="508" w:type="pc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单位</w:t>
            </w:r>
          </w:p>
        </w:tc>
        <w:tc>
          <w:tcPr>
            <w:tcW w:w="842" w:type="pc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数量</w:t>
            </w:r>
          </w:p>
        </w:tc>
        <w:tc>
          <w:tcPr>
            <w:tcW w:w="838" w:type="pc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计算结果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4" w:hRule="atLeast"/>
          <w:jc w:val="center"/>
        </w:trPr>
        <w:tc>
          <w:tcPr>
            <w:tcW w:w="770" w:type="pct"/>
            <w:vMerge w:val="restar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水土流失治理度（%）</w:t>
            </w:r>
          </w:p>
        </w:tc>
        <w:tc>
          <w:tcPr>
            <w:tcW w:w="504" w:type="pct"/>
            <w:vMerge w:val="restar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98</w:t>
            </w:r>
          </w:p>
        </w:tc>
        <w:tc>
          <w:tcPr>
            <w:tcW w:w="1538" w:type="pct"/>
            <w:vAlign w:val="center"/>
          </w:tcPr>
          <w:p>
            <w:pPr>
              <w:spacing w:line="240" w:lineRule="exact"/>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水土流失治理达标面积</w:t>
            </w:r>
          </w:p>
        </w:tc>
        <w:tc>
          <w:tcPr>
            <w:tcW w:w="508" w:type="pc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hm</w:t>
            </w:r>
            <w:r>
              <w:rPr>
                <w:rFonts w:ascii="Times New Roman" w:hAnsi="Times New Roman" w:eastAsia="仿宋_GB2312" w:cs="Times New Roman"/>
                <w:color w:val="auto"/>
                <w:kern w:val="0"/>
                <w:sz w:val="21"/>
                <w:szCs w:val="21"/>
                <w:vertAlign w:val="superscript"/>
              </w:rPr>
              <w:t>2</w:t>
            </w:r>
          </w:p>
        </w:tc>
        <w:tc>
          <w:tcPr>
            <w:tcW w:w="842" w:type="pct"/>
            <w:vAlign w:val="center"/>
          </w:tcPr>
          <w:p>
            <w:pPr>
              <w:spacing w:line="240" w:lineRule="atLeast"/>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99.98</w:t>
            </w:r>
          </w:p>
        </w:tc>
        <w:tc>
          <w:tcPr>
            <w:tcW w:w="838" w:type="pct"/>
            <w:vMerge w:val="restart"/>
            <w:vAlign w:val="center"/>
          </w:tcPr>
          <w:p>
            <w:pPr>
              <w:spacing w:line="240" w:lineRule="atLeast"/>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99.98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4" w:hRule="atLeast"/>
          <w:jc w:val="center"/>
        </w:trPr>
        <w:tc>
          <w:tcPr>
            <w:tcW w:w="770" w:type="pct"/>
            <w:vMerge w:val="continue"/>
            <w:vAlign w:val="center"/>
          </w:tcPr>
          <w:p>
            <w:pPr>
              <w:spacing w:line="240" w:lineRule="exact"/>
              <w:jc w:val="center"/>
              <w:rPr>
                <w:rFonts w:ascii="Times New Roman" w:hAnsi="Times New Roman" w:eastAsia="仿宋_GB2312" w:cs="Times New Roman"/>
                <w:color w:val="auto"/>
                <w:kern w:val="0"/>
                <w:sz w:val="21"/>
                <w:szCs w:val="21"/>
              </w:rPr>
            </w:pPr>
          </w:p>
        </w:tc>
        <w:tc>
          <w:tcPr>
            <w:tcW w:w="504" w:type="pct"/>
            <w:vMerge w:val="continue"/>
            <w:vAlign w:val="center"/>
          </w:tcPr>
          <w:p>
            <w:pPr>
              <w:spacing w:line="240" w:lineRule="exact"/>
              <w:jc w:val="center"/>
              <w:rPr>
                <w:rFonts w:ascii="Times New Roman" w:hAnsi="Times New Roman" w:eastAsia="仿宋_GB2312" w:cs="Times New Roman"/>
                <w:color w:val="auto"/>
                <w:kern w:val="0"/>
                <w:sz w:val="21"/>
                <w:szCs w:val="21"/>
              </w:rPr>
            </w:pPr>
          </w:p>
        </w:tc>
        <w:tc>
          <w:tcPr>
            <w:tcW w:w="1538" w:type="pct"/>
            <w:vAlign w:val="center"/>
          </w:tcPr>
          <w:p>
            <w:pPr>
              <w:spacing w:line="240" w:lineRule="exact"/>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水土流失总面积</w:t>
            </w:r>
          </w:p>
        </w:tc>
        <w:tc>
          <w:tcPr>
            <w:tcW w:w="508" w:type="pc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hm</w:t>
            </w:r>
            <w:r>
              <w:rPr>
                <w:rFonts w:ascii="Times New Roman" w:hAnsi="Times New Roman" w:eastAsia="仿宋_GB2312" w:cs="Times New Roman"/>
                <w:color w:val="auto"/>
                <w:kern w:val="0"/>
                <w:sz w:val="21"/>
                <w:szCs w:val="21"/>
                <w:vertAlign w:val="superscript"/>
              </w:rPr>
              <w:t>2</w:t>
            </w:r>
          </w:p>
        </w:tc>
        <w:tc>
          <w:tcPr>
            <w:tcW w:w="842" w:type="pct"/>
            <w:vAlign w:val="center"/>
          </w:tcPr>
          <w:p>
            <w:pPr>
              <w:spacing w:line="240" w:lineRule="atLeast"/>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100</w:t>
            </w:r>
          </w:p>
        </w:tc>
        <w:tc>
          <w:tcPr>
            <w:tcW w:w="838" w:type="pct"/>
            <w:vMerge w:val="continue"/>
            <w:vAlign w:val="center"/>
          </w:tcPr>
          <w:p>
            <w:pPr>
              <w:spacing w:line="240" w:lineRule="exact"/>
              <w:jc w:val="center"/>
              <w:rPr>
                <w:rFonts w:ascii="Times New Roman" w:hAnsi="Times New Roman" w:eastAsia="仿宋_GB2312"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4" w:hRule="atLeast"/>
          <w:jc w:val="center"/>
        </w:trPr>
        <w:tc>
          <w:tcPr>
            <w:tcW w:w="770" w:type="pct"/>
            <w:vMerge w:val="restar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土壤流失控制比</w:t>
            </w:r>
          </w:p>
        </w:tc>
        <w:tc>
          <w:tcPr>
            <w:tcW w:w="504" w:type="pct"/>
            <w:vMerge w:val="restar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1.0</w:t>
            </w:r>
          </w:p>
        </w:tc>
        <w:tc>
          <w:tcPr>
            <w:tcW w:w="1538" w:type="pct"/>
            <w:vAlign w:val="center"/>
          </w:tcPr>
          <w:p>
            <w:pPr>
              <w:spacing w:line="240" w:lineRule="exact"/>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容许土壤流失量</w:t>
            </w:r>
          </w:p>
        </w:tc>
        <w:tc>
          <w:tcPr>
            <w:tcW w:w="508" w:type="pc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t/km</w:t>
            </w:r>
            <w:r>
              <w:rPr>
                <w:rFonts w:ascii="Times New Roman" w:hAnsi="Times New Roman" w:eastAsia="仿宋_GB2312" w:cs="Times New Roman"/>
                <w:color w:val="auto"/>
                <w:kern w:val="0"/>
                <w:sz w:val="21"/>
                <w:szCs w:val="21"/>
                <w:vertAlign w:val="superscript"/>
              </w:rPr>
              <w:t>2</w:t>
            </w:r>
            <w:r>
              <w:rPr>
                <w:rFonts w:ascii="Times New Roman" w:hAnsi="Times New Roman" w:eastAsia="仿宋_GB2312" w:cs="Times New Roman"/>
                <w:color w:val="auto"/>
                <w:kern w:val="0"/>
                <w:sz w:val="21"/>
                <w:szCs w:val="21"/>
              </w:rPr>
              <w:t>·a</w:t>
            </w:r>
          </w:p>
        </w:tc>
        <w:tc>
          <w:tcPr>
            <w:tcW w:w="842" w:type="pct"/>
            <w:vAlign w:val="center"/>
          </w:tcPr>
          <w:p>
            <w:pPr>
              <w:spacing w:line="240" w:lineRule="atLeast"/>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500</w:t>
            </w:r>
          </w:p>
        </w:tc>
        <w:tc>
          <w:tcPr>
            <w:tcW w:w="838" w:type="pct"/>
            <w:vMerge w:val="restart"/>
            <w:vAlign w:val="center"/>
          </w:tcPr>
          <w:p>
            <w:pPr>
              <w:spacing w:line="240" w:lineRule="atLeast"/>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1.11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4" w:hRule="atLeast"/>
          <w:jc w:val="center"/>
        </w:trPr>
        <w:tc>
          <w:tcPr>
            <w:tcW w:w="770" w:type="pct"/>
            <w:vMerge w:val="continue"/>
            <w:vAlign w:val="center"/>
          </w:tcPr>
          <w:p>
            <w:pPr>
              <w:spacing w:line="240" w:lineRule="exact"/>
              <w:jc w:val="center"/>
              <w:rPr>
                <w:rFonts w:ascii="Times New Roman" w:hAnsi="Times New Roman" w:eastAsia="仿宋_GB2312" w:cs="Times New Roman"/>
                <w:color w:val="auto"/>
                <w:kern w:val="0"/>
                <w:sz w:val="21"/>
                <w:szCs w:val="21"/>
              </w:rPr>
            </w:pPr>
          </w:p>
        </w:tc>
        <w:tc>
          <w:tcPr>
            <w:tcW w:w="504" w:type="pct"/>
            <w:vMerge w:val="continue"/>
            <w:vAlign w:val="center"/>
          </w:tcPr>
          <w:p>
            <w:pPr>
              <w:spacing w:line="240" w:lineRule="exact"/>
              <w:jc w:val="center"/>
              <w:rPr>
                <w:rFonts w:ascii="Times New Roman" w:hAnsi="Times New Roman" w:eastAsia="仿宋_GB2312" w:cs="Times New Roman"/>
                <w:color w:val="auto"/>
                <w:kern w:val="0"/>
                <w:sz w:val="21"/>
                <w:szCs w:val="21"/>
              </w:rPr>
            </w:pPr>
          </w:p>
        </w:tc>
        <w:tc>
          <w:tcPr>
            <w:tcW w:w="1538" w:type="pct"/>
            <w:vAlign w:val="center"/>
          </w:tcPr>
          <w:p>
            <w:pPr>
              <w:spacing w:line="240" w:lineRule="exact"/>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治理后每平方公里年均土壤流失量</w:t>
            </w:r>
          </w:p>
        </w:tc>
        <w:tc>
          <w:tcPr>
            <w:tcW w:w="508" w:type="pc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t/km</w:t>
            </w:r>
            <w:r>
              <w:rPr>
                <w:rFonts w:ascii="Times New Roman" w:hAnsi="Times New Roman" w:eastAsia="仿宋_GB2312" w:cs="Times New Roman"/>
                <w:color w:val="auto"/>
                <w:kern w:val="0"/>
                <w:sz w:val="21"/>
                <w:szCs w:val="21"/>
                <w:vertAlign w:val="superscript"/>
              </w:rPr>
              <w:t>2</w:t>
            </w:r>
            <w:r>
              <w:rPr>
                <w:rFonts w:ascii="Times New Roman" w:hAnsi="Times New Roman" w:eastAsia="仿宋_GB2312" w:cs="Times New Roman"/>
                <w:color w:val="auto"/>
                <w:kern w:val="0"/>
                <w:sz w:val="21"/>
                <w:szCs w:val="21"/>
              </w:rPr>
              <w:t>·a</w:t>
            </w:r>
          </w:p>
        </w:tc>
        <w:tc>
          <w:tcPr>
            <w:tcW w:w="842" w:type="pct"/>
            <w:vAlign w:val="center"/>
          </w:tcPr>
          <w:p>
            <w:pPr>
              <w:spacing w:line="240" w:lineRule="atLeast"/>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450</w:t>
            </w:r>
          </w:p>
        </w:tc>
        <w:tc>
          <w:tcPr>
            <w:tcW w:w="838" w:type="pct"/>
            <w:vMerge w:val="continue"/>
            <w:vAlign w:val="center"/>
          </w:tcPr>
          <w:p>
            <w:pPr>
              <w:spacing w:line="240" w:lineRule="exact"/>
              <w:jc w:val="center"/>
              <w:rPr>
                <w:rFonts w:ascii="Times New Roman" w:hAnsi="Times New Roman" w:eastAsia="仿宋_GB2312"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4" w:hRule="atLeast"/>
          <w:jc w:val="center"/>
        </w:trPr>
        <w:tc>
          <w:tcPr>
            <w:tcW w:w="770" w:type="pct"/>
            <w:vMerge w:val="restar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渣土防护率（%）</w:t>
            </w:r>
          </w:p>
        </w:tc>
        <w:tc>
          <w:tcPr>
            <w:tcW w:w="504" w:type="pct"/>
            <w:vMerge w:val="restar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99</w:t>
            </w:r>
          </w:p>
        </w:tc>
        <w:tc>
          <w:tcPr>
            <w:tcW w:w="1538" w:type="pct"/>
            <w:vAlign w:val="center"/>
          </w:tcPr>
          <w:p>
            <w:pPr>
              <w:spacing w:line="240" w:lineRule="exact"/>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采取措施实际挡护的永久弃渣、临时堆土数量</w:t>
            </w:r>
          </w:p>
        </w:tc>
        <w:tc>
          <w:tcPr>
            <w:tcW w:w="508" w:type="pc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万m</w:t>
            </w:r>
            <w:r>
              <w:rPr>
                <w:rFonts w:ascii="Times New Roman" w:hAnsi="Times New Roman" w:eastAsia="仿宋_GB2312" w:cs="Times New Roman"/>
                <w:color w:val="auto"/>
                <w:kern w:val="0"/>
                <w:sz w:val="21"/>
                <w:szCs w:val="21"/>
                <w:vertAlign w:val="superscript"/>
              </w:rPr>
              <w:t>3</w:t>
            </w:r>
          </w:p>
        </w:tc>
        <w:tc>
          <w:tcPr>
            <w:tcW w:w="842" w:type="pct"/>
            <w:vAlign w:val="center"/>
          </w:tcPr>
          <w:p>
            <w:pPr>
              <w:spacing w:line="240" w:lineRule="atLeast"/>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9.62</w:t>
            </w:r>
          </w:p>
        </w:tc>
        <w:tc>
          <w:tcPr>
            <w:tcW w:w="838" w:type="pct"/>
            <w:vMerge w:val="restart"/>
            <w:vAlign w:val="center"/>
          </w:tcPr>
          <w:p>
            <w:pPr>
              <w:spacing w:line="240" w:lineRule="atLeast"/>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99.79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4" w:hRule="atLeast"/>
          <w:jc w:val="center"/>
        </w:trPr>
        <w:tc>
          <w:tcPr>
            <w:tcW w:w="770" w:type="pct"/>
            <w:vMerge w:val="continue"/>
            <w:vAlign w:val="center"/>
          </w:tcPr>
          <w:p>
            <w:pPr>
              <w:spacing w:line="240" w:lineRule="exact"/>
              <w:jc w:val="center"/>
              <w:rPr>
                <w:rFonts w:ascii="Times New Roman" w:hAnsi="Times New Roman" w:eastAsia="仿宋_GB2312" w:cs="Times New Roman"/>
                <w:color w:val="auto"/>
                <w:kern w:val="0"/>
                <w:sz w:val="21"/>
                <w:szCs w:val="21"/>
              </w:rPr>
            </w:pPr>
          </w:p>
        </w:tc>
        <w:tc>
          <w:tcPr>
            <w:tcW w:w="504" w:type="pct"/>
            <w:vMerge w:val="continue"/>
            <w:vAlign w:val="center"/>
          </w:tcPr>
          <w:p>
            <w:pPr>
              <w:spacing w:line="240" w:lineRule="exact"/>
              <w:jc w:val="center"/>
              <w:rPr>
                <w:rFonts w:ascii="Times New Roman" w:hAnsi="Times New Roman" w:eastAsia="仿宋_GB2312" w:cs="Times New Roman"/>
                <w:color w:val="auto"/>
                <w:kern w:val="0"/>
                <w:sz w:val="21"/>
                <w:szCs w:val="21"/>
              </w:rPr>
            </w:pPr>
          </w:p>
        </w:tc>
        <w:tc>
          <w:tcPr>
            <w:tcW w:w="1538" w:type="pct"/>
            <w:vAlign w:val="center"/>
          </w:tcPr>
          <w:p>
            <w:pPr>
              <w:spacing w:line="240" w:lineRule="exact"/>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永久弃渣和临时堆土总量</w:t>
            </w:r>
          </w:p>
        </w:tc>
        <w:tc>
          <w:tcPr>
            <w:tcW w:w="508" w:type="pc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万m</w:t>
            </w:r>
            <w:r>
              <w:rPr>
                <w:rFonts w:ascii="Times New Roman" w:hAnsi="Times New Roman" w:eastAsia="仿宋_GB2312" w:cs="Times New Roman"/>
                <w:color w:val="auto"/>
                <w:kern w:val="0"/>
                <w:sz w:val="21"/>
                <w:szCs w:val="21"/>
                <w:vertAlign w:val="superscript"/>
              </w:rPr>
              <w:t>3</w:t>
            </w:r>
          </w:p>
        </w:tc>
        <w:tc>
          <w:tcPr>
            <w:tcW w:w="842" w:type="pct"/>
            <w:vAlign w:val="center"/>
          </w:tcPr>
          <w:p>
            <w:pPr>
              <w:spacing w:line="240" w:lineRule="atLeast"/>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9.64</w:t>
            </w:r>
          </w:p>
        </w:tc>
        <w:tc>
          <w:tcPr>
            <w:tcW w:w="838" w:type="pct"/>
            <w:vMerge w:val="continue"/>
            <w:vAlign w:val="center"/>
          </w:tcPr>
          <w:p>
            <w:pPr>
              <w:spacing w:line="240" w:lineRule="exact"/>
              <w:jc w:val="center"/>
              <w:rPr>
                <w:rFonts w:ascii="Times New Roman" w:hAnsi="Times New Roman" w:eastAsia="仿宋_GB2312"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4" w:hRule="atLeast"/>
          <w:jc w:val="center"/>
        </w:trPr>
        <w:tc>
          <w:tcPr>
            <w:tcW w:w="770" w:type="pct"/>
            <w:vMerge w:val="restar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表土保护率（%）</w:t>
            </w:r>
          </w:p>
        </w:tc>
        <w:tc>
          <w:tcPr>
            <w:tcW w:w="504" w:type="pct"/>
            <w:vMerge w:val="restar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92</w:t>
            </w:r>
          </w:p>
        </w:tc>
        <w:tc>
          <w:tcPr>
            <w:tcW w:w="1538" w:type="pct"/>
            <w:vAlign w:val="center"/>
          </w:tcPr>
          <w:p>
            <w:pPr>
              <w:spacing w:line="240" w:lineRule="exact"/>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保护的表土数量</w:t>
            </w:r>
          </w:p>
        </w:tc>
        <w:tc>
          <w:tcPr>
            <w:tcW w:w="508" w:type="pc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万m</w:t>
            </w:r>
            <w:r>
              <w:rPr>
                <w:rFonts w:ascii="Times New Roman" w:hAnsi="Times New Roman" w:eastAsia="仿宋_GB2312" w:cs="Times New Roman"/>
                <w:color w:val="auto"/>
                <w:kern w:val="0"/>
                <w:sz w:val="21"/>
                <w:szCs w:val="21"/>
                <w:vertAlign w:val="superscript"/>
              </w:rPr>
              <w:t>3</w:t>
            </w:r>
          </w:p>
        </w:tc>
        <w:tc>
          <w:tcPr>
            <w:tcW w:w="842" w:type="pct"/>
            <w:vAlign w:val="center"/>
          </w:tcPr>
          <w:p>
            <w:pPr>
              <w:spacing w:line="240" w:lineRule="atLeast"/>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4.90</w:t>
            </w:r>
          </w:p>
        </w:tc>
        <w:tc>
          <w:tcPr>
            <w:tcW w:w="838" w:type="pct"/>
            <w:vMerge w:val="restart"/>
            <w:vAlign w:val="center"/>
          </w:tcPr>
          <w:p>
            <w:pPr>
              <w:spacing w:line="240" w:lineRule="atLeast"/>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99.78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4" w:hRule="atLeast"/>
          <w:jc w:val="center"/>
        </w:trPr>
        <w:tc>
          <w:tcPr>
            <w:tcW w:w="770" w:type="pct"/>
            <w:vMerge w:val="continue"/>
            <w:vAlign w:val="center"/>
          </w:tcPr>
          <w:p>
            <w:pPr>
              <w:spacing w:line="240" w:lineRule="exact"/>
              <w:jc w:val="center"/>
              <w:rPr>
                <w:rFonts w:ascii="Times New Roman" w:hAnsi="Times New Roman" w:eastAsia="仿宋_GB2312" w:cs="Times New Roman"/>
                <w:color w:val="auto"/>
                <w:kern w:val="0"/>
                <w:sz w:val="21"/>
                <w:szCs w:val="21"/>
              </w:rPr>
            </w:pPr>
          </w:p>
        </w:tc>
        <w:tc>
          <w:tcPr>
            <w:tcW w:w="504" w:type="pct"/>
            <w:vMerge w:val="continue"/>
            <w:vAlign w:val="center"/>
          </w:tcPr>
          <w:p>
            <w:pPr>
              <w:spacing w:line="240" w:lineRule="exact"/>
              <w:jc w:val="center"/>
              <w:rPr>
                <w:rFonts w:ascii="Times New Roman" w:hAnsi="Times New Roman" w:eastAsia="仿宋_GB2312" w:cs="Times New Roman"/>
                <w:color w:val="auto"/>
                <w:kern w:val="0"/>
                <w:sz w:val="21"/>
                <w:szCs w:val="21"/>
              </w:rPr>
            </w:pPr>
          </w:p>
        </w:tc>
        <w:tc>
          <w:tcPr>
            <w:tcW w:w="1538" w:type="pct"/>
            <w:vAlign w:val="center"/>
          </w:tcPr>
          <w:p>
            <w:pPr>
              <w:spacing w:line="240" w:lineRule="exact"/>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可剥离表土总量</w:t>
            </w:r>
          </w:p>
        </w:tc>
        <w:tc>
          <w:tcPr>
            <w:tcW w:w="508" w:type="pc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万m</w:t>
            </w:r>
            <w:r>
              <w:rPr>
                <w:rFonts w:ascii="Times New Roman" w:hAnsi="Times New Roman" w:eastAsia="仿宋_GB2312" w:cs="Times New Roman"/>
                <w:color w:val="auto"/>
                <w:kern w:val="0"/>
                <w:sz w:val="21"/>
                <w:szCs w:val="21"/>
                <w:vertAlign w:val="superscript"/>
              </w:rPr>
              <w:t>3</w:t>
            </w:r>
          </w:p>
        </w:tc>
        <w:tc>
          <w:tcPr>
            <w:tcW w:w="842" w:type="pct"/>
            <w:vAlign w:val="center"/>
          </w:tcPr>
          <w:p>
            <w:pPr>
              <w:spacing w:line="240" w:lineRule="atLeast"/>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4.91</w:t>
            </w:r>
          </w:p>
        </w:tc>
        <w:tc>
          <w:tcPr>
            <w:tcW w:w="838" w:type="pct"/>
            <w:vMerge w:val="continue"/>
            <w:vAlign w:val="center"/>
          </w:tcPr>
          <w:p>
            <w:pPr>
              <w:spacing w:line="240" w:lineRule="exact"/>
              <w:jc w:val="center"/>
              <w:rPr>
                <w:rFonts w:ascii="Times New Roman" w:hAnsi="Times New Roman" w:eastAsia="仿宋_GB2312"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4" w:hRule="atLeast"/>
          <w:jc w:val="center"/>
        </w:trPr>
        <w:tc>
          <w:tcPr>
            <w:tcW w:w="770" w:type="pct"/>
            <w:vMerge w:val="restar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林草植被恢复率（%）</w:t>
            </w:r>
          </w:p>
        </w:tc>
        <w:tc>
          <w:tcPr>
            <w:tcW w:w="504" w:type="pct"/>
            <w:vMerge w:val="restar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98</w:t>
            </w:r>
          </w:p>
        </w:tc>
        <w:tc>
          <w:tcPr>
            <w:tcW w:w="1538" w:type="pct"/>
            <w:vAlign w:val="center"/>
          </w:tcPr>
          <w:p>
            <w:pPr>
              <w:spacing w:line="240" w:lineRule="exact"/>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林草类植被面积</w:t>
            </w:r>
          </w:p>
        </w:tc>
        <w:tc>
          <w:tcPr>
            <w:tcW w:w="508" w:type="pc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hm</w:t>
            </w:r>
            <w:r>
              <w:rPr>
                <w:rFonts w:ascii="Times New Roman" w:hAnsi="Times New Roman" w:eastAsia="仿宋_GB2312" w:cs="Times New Roman"/>
                <w:color w:val="auto"/>
                <w:kern w:val="0"/>
                <w:sz w:val="21"/>
                <w:szCs w:val="21"/>
                <w:vertAlign w:val="superscript"/>
              </w:rPr>
              <w:t>2</w:t>
            </w:r>
          </w:p>
        </w:tc>
        <w:tc>
          <w:tcPr>
            <w:tcW w:w="842" w:type="pct"/>
            <w:vAlign w:val="center"/>
          </w:tcPr>
          <w:p>
            <w:pPr>
              <w:spacing w:line="240" w:lineRule="atLeast"/>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60.47</w:t>
            </w:r>
          </w:p>
        </w:tc>
        <w:tc>
          <w:tcPr>
            <w:tcW w:w="838" w:type="pct"/>
            <w:vMerge w:val="restart"/>
            <w:vAlign w:val="center"/>
          </w:tcPr>
          <w:p>
            <w:pPr>
              <w:spacing w:line="240" w:lineRule="atLeast"/>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99.98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4" w:hRule="atLeast"/>
          <w:jc w:val="center"/>
        </w:trPr>
        <w:tc>
          <w:tcPr>
            <w:tcW w:w="770" w:type="pct"/>
            <w:vMerge w:val="continue"/>
            <w:vAlign w:val="center"/>
          </w:tcPr>
          <w:p>
            <w:pPr>
              <w:spacing w:line="240" w:lineRule="exact"/>
              <w:jc w:val="center"/>
              <w:rPr>
                <w:rFonts w:ascii="Times New Roman" w:hAnsi="Times New Roman" w:eastAsia="仿宋_GB2312" w:cs="Times New Roman"/>
                <w:color w:val="auto"/>
                <w:kern w:val="0"/>
                <w:sz w:val="21"/>
                <w:szCs w:val="21"/>
              </w:rPr>
            </w:pPr>
          </w:p>
        </w:tc>
        <w:tc>
          <w:tcPr>
            <w:tcW w:w="504" w:type="pct"/>
            <w:vMerge w:val="continue"/>
            <w:vAlign w:val="center"/>
          </w:tcPr>
          <w:p>
            <w:pPr>
              <w:spacing w:line="240" w:lineRule="exact"/>
              <w:jc w:val="center"/>
              <w:rPr>
                <w:rFonts w:ascii="Times New Roman" w:hAnsi="Times New Roman" w:eastAsia="仿宋_GB2312" w:cs="Times New Roman"/>
                <w:color w:val="auto"/>
                <w:kern w:val="0"/>
                <w:sz w:val="21"/>
                <w:szCs w:val="21"/>
              </w:rPr>
            </w:pPr>
          </w:p>
        </w:tc>
        <w:tc>
          <w:tcPr>
            <w:tcW w:w="1538" w:type="pct"/>
            <w:vAlign w:val="center"/>
          </w:tcPr>
          <w:p>
            <w:pPr>
              <w:spacing w:line="240" w:lineRule="exact"/>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可恢复的林草植被面积</w:t>
            </w:r>
          </w:p>
        </w:tc>
        <w:tc>
          <w:tcPr>
            <w:tcW w:w="508" w:type="pc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hm</w:t>
            </w:r>
            <w:r>
              <w:rPr>
                <w:rFonts w:ascii="Times New Roman" w:hAnsi="Times New Roman" w:eastAsia="仿宋_GB2312" w:cs="Times New Roman"/>
                <w:color w:val="auto"/>
                <w:kern w:val="0"/>
                <w:sz w:val="21"/>
                <w:szCs w:val="21"/>
                <w:vertAlign w:val="superscript"/>
              </w:rPr>
              <w:t>2</w:t>
            </w:r>
          </w:p>
        </w:tc>
        <w:tc>
          <w:tcPr>
            <w:tcW w:w="842" w:type="pct"/>
            <w:vAlign w:val="center"/>
          </w:tcPr>
          <w:p>
            <w:pPr>
              <w:spacing w:line="240" w:lineRule="atLeast"/>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60.48</w:t>
            </w:r>
          </w:p>
        </w:tc>
        <w:tc>
          <w:tcPr>
            <w:tcW w:w="838" w:type="pct"/>
            <w:vMerge w:val="continue"/>
            <w:vAlign w:val="center"/>
          </w:tcPr>
          <w:p>
            <w:pPr>
              <w:spacing w:line="240" w:lineRule="exact"/>
              <w:jc w:val="center"/>
              <w:rPr>
                <w:rFonts w:ascii="Times New Roman" w:hAnsi="Times New Roman" w:eastAsia="仿宋_GB2312" w:cs="Times New Roman"/>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4" w:hRule="atLeast"/>
          <w:jc w:val="center"/>
        </w:trPr>
        <w:tc>
          <w:tcPr>
            <w:tcW w:w="770" w:type="pct"/>
            <w:vMerge w:val="restar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林草覆盖率（%）</w:t>
            </w:r>
          </w:p>
        </w:tc>
        <w:tc>
          <w:tcPr>
            <w:tcW w:w="504" w:type="pct"/>
            <w:vMerge w:val="restart"/>
            <w:vAlign w:val="center"/>
          </w:tcPr>
          <w:p>
            <w:pPr>
              <w:spacing w:line="240" w:lineRule="exact"/>
              <w:jc w:val="center"/>
              <w:rPr>
                <w:rFonts w:ascii="Times New Roman" w:hAnsi="Times New Roman" w:eastAsia="仿宋_GB2312" w:cs="Times New Roman"/>
                <w:color w:val="auto"/>
                <w:kern w:val="0"/>
                <w:sz w:val="21"/>
                <w:szCs w:val="21"/>
              </w:rPr>
            </w:pPr>
            <w:r>
              <w:rPr>
                <w:rFonts w:hint="eastAsia" w:ascii="Times New Roman" w:hAnsi="Times New Roman" w:eastAsia="仿宋_GB2312" w:cs="Times New Roman"/>
                <w:color w:val="auto"/>
                <w:kern w:val="0"/>
                <w:sz w:val="21"/>
                <w:szCs w:val="21"/>
              </w:rPr>
              <w:t>27</w:t>
            </w:r>
          </w:p>
        </w:tc>
        <w:tc>
          <w:tcPr>
            <w:tcW w:w="1538" w:type="pct"/>
            <w:vAlign w:val="center"/>
          </w:tcPr>
          <w:p>
            <w:pPr>
              <w:spacing w:line="240" w:lineRule="exact"/>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林草类植被面积</w:t>
            </w:r>
          </w:p>
        </w:tc>
        <w:tc>
          <w:tcPr>
            <w:tcW w:w="508" w:type="pct"/>
            <w:vAlign w:val="center"/>
          </w:tcPr>
          <w:p>
            <w:pPr>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hm</w:t>
            </w:r>
            <w:r>
              <w:rPr>
                <w:rFonts w:ascii="Times New Roman" w:hAnsi="Times New Roman" w:eastAsia="仿宋_GB2312" w:cs="Times New Roman"/>
                <w:color w:val="auto"/>
                <w:kern w:val="0"/>
                <w:sz w:val="21"/>
                <w:szCs w:val="21"/>
                <w:vertAlign w:val="superscript"/>
              </w:rPr>
              <w:t>2</w:t>
            </w:r>
          </w:p>
        </w:tc>
        <w:tc>
          <w:tcPr>
            <w:tcW w:w="842" w:type="pct"/>
            <w:vAlign w:val="center"/>
          </w:tcPr>
          <w:p>
            <w:pPr>
              <w:spacing w:line="240" w:lineRule="atLeast"/>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60.47</w:t>
            </w:r>
          </w:p>
        </w:tc>
        <w:tc>
          <w:tcPr>
            <w:tcW w:w="838" w:type="pct"/>
            <w:vMerge w:val="restart"/>
            <w:vAlign w:val="center"/>
          </w:tcPr>
          <w:p>
            <w:pPr>
              <w:spacing w:line="240" w:lineRule="atLeast"/>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60.47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4" w:hRule="atLeast"/>
          <w:jc w:val="center"/>
        </w:trPr>
        <w:tc>
          <w:tcPr>
            <w:tcW w:w="770" w:type="pct"/>
            <w:vMerge w:val="continue"/>
            <w:vAlign w:val="center"/>
          </w:tcPr>
          <w:p>
            <w:pPr>
              <w:widowControl/>
              <w:spacing w:line="240" w:lineRule="exact"/>
              <w:jc w:val="center"/>
              <w:rPr>
                <w:rFonts w:ascii="Times New Roman" w:hAnsi="Times New Roman" w:eastAsia="仿宋_GB2312" w:cs="Times New Roman"/>
                <w:color w:val="auto"/>
                <w:kern w:val="0"/>
                <w:sz w:val="21"/>
                <w:szCs w:val="21"/>
              </w:rPr>
            </w:pPr>
          </w:p>
        </w:tc>
        <w:tc>
          <w:tcPr>
            <w:tcW w:w="504" w:type="pct"/>
            <w:vMerge w:val="continue"/>
            <w:vAlign w:val="center"/>
          </w:tcPr>
          <w:p>
            <w:pPr>
              <w:widowControl/>
              <w:spacing w:line="240" w:lineRule="exact"/>
              <w:jc w:val="center"/>
              <w:rPr>
                <w:rFonts w:ascii="Times New Roman" w:hAnsi="Times New Roman" w:eastAsia="仿宋_GB2312" w:cs="Times New Roman"/>
                <w:color w:val="auto"/>
                <w:kern w:val="0"/>
                <w:sz w:val="21"/>
                <w:szCs w:val="21"/>
              </w:rPr>
            </w:pPr>
          </w:p>
        </w:tc>
        <w:tc>
          <w:tcPr>
            <w:tcW w:w="1538" w:type="pct"/>
            <w:vAlign w:val="center"/>
          </w:tcPr>
          <w:p>
            <w:pPr>
              <w:widowControl/>
              <w:spacing w:line="240" w:lineRule="exact"/>
              <w:jc w:val="center"/>
              <w:rPr>
                <w:rFonts w:ascii="仿宋_GB2312" w:hAnsi="Times New Roman" w:eastAsia="仿宋_GB2312" w:cs="Times New Roman"/>
                <w:color w:val="auto"/>
                <w:kern w:val="0"/>
                <w:sz w:val="21"/>
                <w:szCs w:val="21"/>
              </w:rPr>
            </w:pPr>
            <w:r>
              <w:rPr>
                <w:rFonts w:hint="eastAsia" w:ascii="仿宋_GB2312" w:hAnsi="Times New Roman" w:eastAsia="仿宋_GB2312" w:cs="Times New Roman"/>
                <w:color w:val="auto"/>
                <w:kern w:val="0"/>
                <w:sz w:val="21"/>
                <w:szCs w:val="21"/>
              </w:rPr>
              <w:t>项目建设区总面积</w:t>
            </w:r>
          </w:p>
        </w:tc>
        <w:tc>
          <w:tcPr>
            <w:tcW w:w="508" w:type="pct"/>
            <w:vAlign w:val="center"/>
          </w:tcPr>
          <w:p>
            <w:pPr>
              <w:widowControl/>
              <w:spacing w:line="240" w:lineRule="exact"/>
              <w:jc w:val="center"/>
              <w:rPr>
                <w:rFonts w:ascii="Times New Roman" w:hAnsi="Times New Roman" w:eastAsia="仿宋_GB2312" w:cs="Times New Roman"/>
                <w:color w:val="auto"/>
                <w:kern w:val="0"/>
                <w:sz w:val="21"/>
                <w:szCs w:val="21"/>
              </w:rPr>
            </w:pPr>
            <w:r>
              <w:rPr>
                <w:rFonts w:ascii="Times New Roman" w:hAnsi="Times New Roman" w:eastAsia="仿宋_GB2312" w:cs="Times New Roman"/>
                <w:color w:val="auto"/>
                <w:kern w:val="0"/>
                <w:sz w:val="21"/>
                <w:szCs w:val="21"/>
              </w:rPr>
              <w:t>hm</w:t>
            </w:r>
            <w:r>
              <w:rPr>
                <w:rFonts w:ascii="Times New Roman" w:hAnsi="Times New Roman" w:eastAsia="仿宋_GB2312" w:cs="Times New Roman"/>
                <w:color w:val="auto"/>
                <w:kern w:val="0"/>
                <w:sz w:val="21"/>
                <w:szCs w:val="21"/>
                <w:vertAlign w:val="superscript"/>
              </w:rPr>
              <w:t>2</w:t>
            </w:r>
          </w:p>
        </w:tc>
        <w:tc>
          <w:tcPr>
            <w:tcW w:w="842" w:type="pct"/>
            <w:vAlign w:val="center"/>
          </w:tcPr>
          <w:p>
            <w:pPr>
              <w:widowControl/>
              <w:spacing w:line="240" w:lineRule="atLeast"/>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100</w:t>
            </w:r>
          </w:p>
        </w:tc>
        <w:tc>
          <w:tcPr>
            <w:tcW w:w="838" w:type="pct"/>
            <w:vMerge w:val="continue"/>
            <w:vAlign w:val="center"/>
          </w:tcPr>
          <w:p>
            <w:pPr>
              <w:widowControl/>
              <w:spacing w:line="240" w:lineRule="exact"/>
              <w:jc w:val="center"/>
              <w:rPr>
                <w:rFonts w:ascii="Times New Roman" w:hAnsi="Times New Roman" w:eastAsia="仿宋_GB2312" w:cs="Times New Roman"/>
                <w:color w:val="auto"/>
                <w:kern w:val="0"/>
                <w:sz w:val="21"/>
                <w:szCs w:val="21"/>
              </w:rPr>
            </w:pPr>
          </w:p>
        </w:tc>
      </w:tr>
    </w:tbl>
    <w:p>
      <w:pPr>
        <w:snapToGrid w:val="0"/>
        <w:spacing w:beforeLines="50"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综上所述，各项指标均能达到目标值。从水土保持角度看项目建设基本可行。</w:t>
      </w:r>
    </w:p>
    <w:bookmarkEnd w:id="412"/>
    <w:p>
      <w:pPr>
        <w:widowControl/>
        <w:spacing w:line="360" w:lineRule="auto"/>
        <w:jc w:val="left"/>
        <w:outlineLvl w:val="2"/>
        <w:rPr>
          <w:rFonts w:ascii="Times New Roman" w:hAnsi="Times New Roman" w:eastAsia="仿宋_GB2312" w:cs="Times New Roman"/>
          <w:b/>
          <w:color w:val="auto"/>
          <w:sz w:val="30"/>
          <w:szCs w:val="30"/>
        </w:rPr>
      </w:pPr>
      <w:r>
        <w:rPr>
          <w:rFonts w:ascii="Times New Roman" w:hAnsi="Times New Roman" w:eastAsia="仿宋_GB2312" w:cs="Times New Roman"/>
          <w:b/>
          <w:color w:val="auto"/>
          <w:sz w:val="30"/>
          <w:szCs w:val="30"/>
        </w:rPr>
        <w:t>7.2.2损益分析</w:t>
      </w:r>
    </w:p>
    <w:p>
      <w:pPr>
        <w:autoSpaceDE w:val="0"/>
        <w:autoSpaceDN w:val="0"/>
        <w:adjustRightInd w:val="0"/>
        <w:spacing w:line="360" w:lineRule="auto"/>
        <w:ind w:firstLine="480" w:firstLineChars="200"/>
        <w:rPr>
          <w:rFonts w:ascii="Times New Roman" w:hAnsi="Times New Roman" w:eastAsia="仿宋_GB2312" w:cs="Times New Roman"/>
          <w:color w:val="auto"/>
          <w:kern w:val="0"/>
          <w:szCs w:val="24"/>
        </w:rPr>
      </w:pPr>
      <w:r>
        <w:rPr>
          <w:rFonts w:hint="eastAsia" w:ascii="Times New Roman" w:hAnsi="Times New Roman" w:eastAsia="仿宋_GB2312" w:cs="Times New Roman"/>
          <w:color w:val="auto"/>
          <w:szCs w:val="24"/>
        </w:rPr>
        <w:t>（1）</w:t>
      </w:r>
      <w:r>
        <w:rPr>
          <w:rFonts w:ascii="Times New Roman" w:hAnsi="Times New Roman" w:eastAsia="仿宋_GB2312" w:cs="Times New Roman"/>
          <w:color w:val="auto"/>
          <w:kern w:val="0"/>
          <w:szCs w:val="24"/>
        </w:rPr>
        <w:t>保土效益</w:t>
      </w:r>
    </w:p>
    <w:p>
      <w:pPr>
        <w:spacing w:line="360" w:lineRule="auto"/>
        <w:ind w:firstLine="480" w:firstLineChars="200"/>
        <w:rPr>
          <w:rFonts w:ascii="Times New Roman" w:hAnsi="Times New Roman" w:eastAsia="仿宋_GB2312" w:cs="Times New Roman"/>
          <w:color w:val="auto"/>
          <w:kern w:val="0"/>
          <w:szCs w:val="24"/>
        </w:rPr>
      </w:pPr>
      <w:r>
        <w:rPr>
          <w:rFonts w:ascii="Times New Roman" w:hAnsi="Times New Roman" w:eastAsia="仿宋_GB2312"/>
          <w:color w:val="auto"/>
        </w:rPr>
        <w:t>保土效益是指在采取了有效地水土保持措施后，和土壤流失预测总量相比减少的土壤流失量。在没有采取有效防治措施的情况下，</w:t>
      </w:r>
      <w:r>
        <w:rPr>
          <w:rFonts w:ascii="Times New Roman" w:hAnsi="Times New Roman" w:eastAsia="仿宋_GB2312" w:cs="Times New Roman"/>
          <w:color w:val="auto"/>
          <w:szCs w:val="24"/>
        </w:rPr>
        <w:t>工程建设活动可能造成水土流失总量为</w:t>
      </w:r>
      <w:r>
        <w:rPr>
          <w:rFonts w:hint="eastAsia" w:ascii="Times New Roman" w:hAnsi="Times New Roman" w:eastAsia="仿宋_GB2312" w:cs="Times New Roman"/>
          <w:color w:val="auto"/>
          <w:szCs w:val="24"/>
          <w:lang w:val="en-US" w:eastAsia="zh-CN"/>
        </w:rPr>
        <w:t>12367</w:t>
      </w:r>
      <w:r>
        <w:rPr>
          <w:rFonts w:ascii="Times New Roman" w:hAnsi="Times New Roman" w:eastAsia="仿宋_GB2312" w:cs="Times New Roman"/>
          <w:color w:val="auto"/>
          <w:szCs w:val="24"/>
        </w:rPr>
        <w:t>t，其中新增水土流失量为</w:t>
      </w:r>
      <w:r>
        <w:rPr>
          <w:rFonts w:hint="eastAsia" w:ascii="Times New Roman" w:hAnsi="Times New Roman" w:eastAsia="仿宋_GB2312" w:cs="Times New Roman"/>
          <w:color w:val="auto"/>
          <w:szCs w:val="24"/>
          <w:lang w:val="en-US" w:eastAsia="zh-CN"/>
        </w:rPr>
        <w:t>11461</w:t>
      </w:r>
      <w:r>
        <w:rPr>
          <w:rFonts w:ascii="Times New Roman" w:hAnsi="Times New Roman" w:eastAsia="仿宋_GB2312" w:cs="Times New Roman"/>
          <w:color w:val="auto"/>
          <w:szCs w:val="24"/>
        </w:rPr>
        <w:t>t，自然恢复期新增水土流失量为</w:t>
      </w:r>
      <w:r>
        <w:rPr>
          <w:rFonts w:hint="eastAsia" w:ascii="Times New Roman" w:hAnsi="Times New Roman" w:eastAsia="仿宋_GB2312" w:cs="Times New Roman"/>
          <w:color w:val="auto"/>
          <w:szCs w:val="24"/>
          <w:lang w:val="en-US" w:eastAsia="zh-CN"/>
        </w:rPr>
        <w:t>76</w:t>
      </w:r>
      <w:r>
        <w:rPr>
          <w:rFonts w:hint="eastAsia" w:ascii="Times New Roman" w:hAnsi="Times New Roman" w:eastAsia="仿宋_GB2312" w:cs="Times New Roman"/>
          <w:color w:val="auto"/>
          <w:szCs w:val="24"/>
        </w:rPr>
        <w:t>t。</w:t>
      </w:r>
      <w:r>
        <w:rPr>
          <w:rFonts w:ascii="Times New Roman" w:hAnsi="Times New Roman" w:eastAsia="仿宋_GB2312"/>
          <w:color w:val="auto"/>
        </w:rPr>
        <w:t>在本</w:t>
      </w:r>
      <w:r>
        <w:rPr>
          <w:rFonts w:hint="eastAsia" w:ascii="Times New Roman" w:hAnsi="Times New Roman" w:eastAsia="仿宋_GB2312"/>
          <w:color w:val="auto"/>
          <w:lang w:val="en-US" w:eastAsia="zh-CN"/>
        </w:rPr>
        <w:t>区域评估报告</w:t>
      </w:r>
      <w:r>
        <w:rPr>
          <w:rFonts w:ascii="Times New Roman" w:hAnsi="Times New Roman" w:eastAsia="仿宋_GB2312"/>
          <w:color w:val="auto"/>
        </w:rPr>
        <w:t>各项水土流失防治措施都发挥效果后，将大大减少土壤流失量。至设计水平年（即202</w:t>
      </w:r>
      <w:r>
        <w:rPr>
          <w:rFonts w:hint="eastAsia" w:ascii="Times New Roman" w:hAnsi="Times New Roman" w:eastAsia="仿宋_GB2312"/>
          <w:color w:val="auto"/>
        </w:rPr>
        <w:t>6</w:t>
      </w:r>
      <w:r>
        <w:rPr>
          <w:rFonts w:ascii="Times New Roman" w:hAnsi="Times New Roman" w:eastAsia="仿宋_GB2312"/>
          <w:color w:val="auto"/>
        </w:rPr>
        <w:t>年），水土流失治理度达到</w:t>
      </w:r>
      <w:r>
        <w:rPr>
          <w:rFonts w:hint="eastAsia" w:ascii="Times New Roman" w:hAnsi="Times New Roman" w:eastAsia="仿宋_GB2312"/>
          <w:color w:val="auto"/>
        </w:rPr>
        <w:t>99.98</w:t>
      </w:r>
      <w:r>
        <w:rPr>
          <w:rFonts w:ascii="Times New Roman" w:hAnsi="Times New Roman" w:eastAsia="仿宋_GB2312"/>
          <w:color w:val="auto"/>
        </w:rPr>
        <w:t>%，土壤流失控制比达到1.11，渣土</w:t>
      </w:r>
      <w:r>
        <w:rPr>
          <w:rFonts w:hint="eastAsia" w:ascii="Times New Roman" w:hAnsi="Times New Roman" w:eastAsia="仿宋_GB2312"/>
          <w:color w:val="auto"/>
        </w:rPr>
        <w:t>防护率</w:t>
      </w:r>
      <w:r>
        <w:rPr>
          <w:rFonts w:ascii="Times New Roman" w:hAnsi="Times New Roman" w:eastAsia="仿宋_GB2312"/>
          <w:color w:val="auto"/>
        </w:rPr>
        <w:t>达到</w:t>
      </w:r>
      <w:r>
        <w:rPr>
          <w:rFonts w:hint="eastAsia" w:ascii="Times New Roman" w:hAnsi="Times New Roman" w:eastAsia="仿宋_GB2312"/>
          <w:color w:val="auto"/>
        </w:rPr>
        <w:t>99.79</w:t>
      </w:r>
      <w:r>
        <w:rPr>
          <w:rFonts w:ascii="Times New Roman" w:hAnsi="Times New Roman" w:eastAsia="仿宋_GB2312"/>
          <w:color w:val="auto"/>
        </w:rPr>
        <w:t>%，表土保护率达到</w:t>
      </w:r>
      <w:r>
        <w:rPr>
          <w:rFonts w:hint="eastAsia" w:ascii="Times New Roman" w:hAnsi="Times New Roman" w:eastAsia="仿宋_GB2312"/>
          <w:color w:val="auto"/>
        </w:rPr>
        <w:t>99.98</w:t>
      </w:r>
      <w:r>
        <w:rPr>
          <w:rFonts w:ascii="Times New Roman" w:hAnsi="Times New Roman" w:eastAsia="仿宋_GB2312"/>
          <w:color w:val="auto"/>
        </w:rPr>
        <w:t>%，林草植被恢复率达到</w:t>
      </w:r>
      <w:r>
        <w:rPr>
          <w:rFonts w:hint="eastAsia" w:ascii="Times New Roman" w:hAnsi="Times New Roman" w:eastAsia="仿宋_GB2312"/>
          <w:color w:val="auto"/>
        </w:rPr>
        <w:t>99.98</w:t>
      </w:r>
      <w:r>
        <w:rPr>
          <w:rFonts w:ascii="Times New Roman" w:hAnsi="Times New Roman" w:eastAsia="仿宋_GB2312"/>
          <w:color w:val="auto"/>
        </w:rPr>
        <w:t>%，林草覆盖率为</w:t>
      </w:r>
      <w:r>
        <w:rPr>
          <w:rFonts w:hint="eastAsia" w:ascii="Times New Roman" w:hAnsi="Times New Roman" w:eastAsia="仿宋_GB2312"/>
          <w:color w:val="auto"/>
          <w:lang w:eastAsia="zh-CN"/>
        </w:rPr>
        <w:t>60.47%</w:t>
      </w:r>
      <w:r>
        <w:rPr>
          <w:rFonts w:ascii="Times New Roman" w:hAnsi="Times New Roman" w:eastAsia="仿宋_GB2312"/>
          <w:color w:val="auto"/>
        </w:rPr>
        <w:t>，均可达到目标值。</w:t>
      </w:r>
    </w:p>
    <w:p>
      <w:pPr>
        <w:autoSpaceDE w:val="0"/>
        <w:autoSpaceDN w:val="0"/>
        <w:adjustRightInd w:val="0"/>
        <w:spacing w:line="360" w:lineRule="auto"/>
        <w:ind w:firstLine="480" w:firstLineChars="200"/>
        <w:jc w:val="left"/>
        <w:rPr>
          <w:rFonts w:ascii="Times New Roman" w:hAnsi="Times New Roman" w:eastAsia="仿宋_GB2312" w:cs="Times New Roman"/>
          <w:color w:val="auto"/>
          <w:kern w:val="0"/>
          <w:szCs w:val="24"/>
        </w:rPr>
      </w:pPr>
      <w:r>
        <w:rPr>
          <w:rFonts w:hint="eastAsia" w:ascii="Times New Roman" w:hAnsi="Times New Roman" w:eastAsia="仿宋_GB2312" w:cs="Times New Roman"/>
          <w:color w:val="auto"/>
          <w:kern w:val="0"/>
          <w:szCs w:val="24"/>
        </w:rPr>
        <w:t>（2）</w:t>
      </w:r>
      <w:r>
        <w:rPr>
          <w:rFonts w:ascii="Times New Roman" w:hAnsi="Times New Roman" w:eastAsia="仿宋_GB2312" w:cs="Times New Roman"/>
          <w:color w:val="auto"/>
          <w:kern w:val="0"/>
          <w:szCs w:val="24"/>
        </w:rPr>
        <w:t>保水效益</w:t>
      </w:r>
    </w:p>
    <w:p>
      <w:pPr>
        <w:autoSpaceDE w:val="0"/>
        <w:autoSpaceDN w:val="0"/>
        <w:adjustRightInd w:val="0"/>
        <w:spacing w:line="360" w:lineRule="auto"/>
        <w:ind w:firstLine="480" w:firstLineChars="200"/>
        <w:jc w:val="left"/>
        <w:rPr>
          <w:rFonts w:ascii="Times New Roman" w:hAnsi="Times New Roman" w:eastAsia="仿宋_GB2312" w:cs="Times New Roman"/>
          <w:color w:val="auto"/>
          <w:kern w:val="0"/>
          <w:szCs w:val="24"/>
        </w:rPr>
      </w:pPr>
      <w:r>
        <w:rPr>
          <w:rFonts w:ascii="Times New Roman" w:hAnsi="Times New Roman" w:eastAsia="仿宋_GB2312" w:cs="Times New Roman"/>
          <w:color w:val="auto"/>
          <w:kern w:val="0"/>
          <w:szCs w:val="24"/>
        </w:rPr>
        <w:t>水土保持</w:t>
      </w:r>
      <w:r>
        <w:rPr>
          <w:rFonts w:hint="eastAsia" w:ascii="Times New Roman" w:hAnsi="Times New Roman" w:eastAsia="仿宋_GB2312" w:cs="Times New Roman"/>
          <w:color w:val="auto"/>
          <w:kern w:val="0"/>
          <w:szCs w:val="24"/>
          <w:lang w:val="en-US" w:eastAsia="zh-CN"/>
        </w:rPr>
        <w:t>区域评估报告</w:t>
      </w:r>
      <w:r>
        <w:rPr>
          <w:rFonts w:ascii="Times New Roman" w:hAnsi="Times New Roman" w:eastAsia="仿宋_GB2312" w:cs="Times New Roman"/>
          <w:color w:val="auto"/>
          <w:kern w:val="0"/>
          <w:szCs w:val="24"/>
        </w:rPr>
        <w:t>实施后，布设的绿化措施和透水铺装工程可以起到涵养水源的作用，合理利用场地内水分，极大减少了下水道压力，对城市环境起到了平衡作用。</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（3）</w:t>
      </w:r>
      <w:r>
        <w:rPr>
          <w:rFonts w:ascii="Times New Roman" w:hAnsi="Times New Roman" w:eastAsia="仿宋_GB2312" w:cs="Times New Roman"/>
          <w:color w:val="auto"/>
          <w:szCs w:val="24"/>
        </w:rPr>
        <w:t>生态效益</w:t>
      </w:r>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水土保持</w:t>
      </w:r>
      <w:r>
        <w:rPr>
          <w:rFonts w:hint="eastAsia" w:ascii="Times New Roman" w:hAnsi="Times New Roman" w:eastAsia="仿宋_GB2312" w:cs="Times New Roman"/>
          <w:color w:val="auto"/>
          <w:szCs w:val="24"/>
          <w:lang w:val="en-US" w:eastAsia="zh-CN"/>
        </w:rPr>
        <w:t>区域评估报告</w:t>
      </w:r>
      <w:r>
        <w:rPr>
          <w:rFonts w:ascii="Times New Roman" w:hAnsi="Times New Roman" w:eastAsia="仿宋_GB2312" w:cs="Times New Roman"/>
          <w:color w:val="auto"/>
          <w:szCs w:val="24"/>
        </w:rPr>
        <w:t>实施后，项目建设区林草植被将得到最大限度的恢复。植被的根系对土壤起到加筋、锚固、支撑的作用，能有效地加固土壤的稳定性。</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（4）</w:t>
      </w:r>
      <w:r>
        <w:rPr>
          <w:rFonts w:ascii="Times New Roman" w:hAnsi="Times New Roman" w:eastAsia="仿宋_GB2312" w:cs="Times New Roman"/>
          <w:color w:val="auto"/>
          <w:szCs w:val="24"/>
        </w:rPr>
        <w:t>社会效益</w:t>
      </w:r>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本</w:t>
      </w:r>
      <w:r>
        <w:rPr>
          <w:rFonts w:hint="eastAsia" w:ascii="Times New Roman" w:hAnsi="Times New Roman" w:eastAsia="仿宋_GB2312" w:cs="Times New Roman"/>
          <w:color w:val="auto"/>
          <w:szCs w:val="24"/>
          <w:lang w:val="en-US" w:eastAsia="zh-CN"/>
        </w:rPr>
        <w:t>区域评估报告</w:t>
      </w:r>
      <w:r>
        <w:rPr>
          <w:rFonts w:ascii="Times New Roman" w:hAnsi="Times New Roman" w:eastAsia="仿宋_GB2312" w:cs="Times New Roman"/>
          <w:color w:val="auto"/>
          <w:szCs w:val="24"/>
        </w:rPr>
        <w:t>顺利实施后，将实现以下几点社会效益：</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cs="Times New Roman"/>
          <w:color w:val="auto"/>
          <w:szCs w:val="24"/>
        </w:rPr>
        <w:t>①</w:t>
      </w:r>
      <w:r>
        <w:rPr>
          <w:rFonts w:ascii="Times New Roman" w:hAnsi="Times New Roman" w:eastAsia="仿宋_GB2312" w:cs="Times New Roman"/>
          <w:color w:val="auto"/>
          <w:szCs w:val="24"/>
        </w:rPr>
        <w:t>通过实施本水土保持</w:t>
      </w:r>
      <w:r>
        <w:rPr>
          <w:rFonts w:hint="eastAsia" w:ascii="Times New Roman" w:hAnsi="Times New Roman" w:eastAsia="仿宋_GB2312" w:cs="Times New Roman"/>
          <w:color w:val="auto"/>
          <w:szCs w:val="24"/>
          <w:lang w:val="en-US" w:eastAsia="zh-CN"/>
        </w:rPr>
        <w:t>区域评估报告</w:t>
      </w:r>
      <w:r>
        <w:rPr>
          <w:rFonts w:ascii="Times New Roman" w:hAnsi="Times New Roman" w:eastAsia="仿宋_GB2312" w:cs="Times New Roman"/>
          <w:color w:val="auto"/>
          <w:szCs w:val="24"/>
        </w:rPr>
        <w:t>设计的工程措施和植物措施，使环境保护与经济发展和谐统一；同时，对促进生态环境建设，改善建设区域内的生态环境，加快工程建设和发展生态环境具有重要的意义。</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cs="Times New Roman"/>
          <w:color w:val="auto"/>
          <w:szCs w:val="24"/>
        </w:rPr>
        <w:t>②</w:t>
      </w:r>
      <w:r>
        <w:rPr>
          <w:rFonts w:ascii="Times New Roman" w:hAnsi="Times New Roman" w:eastAsia="仿宋_GB2312" w:cs="Times New Roman"/>
          <w:color w:val="auto"/>
          <w:szCs w:val="24"/>
        </w:rPr>
        <w:t>在减少工程建设对环境破坏的同时，使项目区得到绿化、美化，生态环境得到保护和改善，体现出建设单位较高的生态环境意识，塑造项目工程的生态优先、社会和谐发展的良好形象。</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（5）</w:t>
      </w:r>
      <w:r>
        <w:rPr>
          <w:rFonts w:ascii="Times New Roman" w:hAnsi="Times New Roman" w:eastAsia="仿宋_GB2312" w:cs="Times New Roman"/>
          <w:color w:val="auto"/>
          <w:szCs w:val="24"/>
        </w:rPr>
        <w:t>经济效益</w:t>
      </w:r>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本</w:t>
      </w:r>
      <w:r>
        <w:rPr>
          <w:rFonts w:hint="eastAsia" w:ascii="Times New Roman" w:hAnsi="Times New Roman" w:eastAsia="仿宋_GB2312" w:cs="Times New Roman"/>
          <w:color w:val="auto"/>
          <w:szCs w:val="24"/>
          <w:lang w:val="en-US" w:eastAsia="zh-CN"/>
        </w:rPr>
        <w:t>区域评估报告</w:t>
      </w:r>
      <w:r>
        <w:rPr>
          <w:rFonts w:ascii="Times New Roman" w:hAnsi="Times New Roman" w:eastAsia="仿宋_GB2312" w:cs="Times New Roman"/>
          <w:color w:val="auto"/>
          <w:szCs w:val="24"/>
        </w:rPr>
        <w:t>水土保持工程施工后，不存在直接经济效益的问题，主要是会增加一些间接经济效益。主要体现在改善了区域内的投资环境，吸引更多外商投资发展。</w:t>
      </w:r>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为防治水土流失，在水土保持</w:t>
      </w:r>
      <w:r>
        <w:rPr>
          <w:rFonts w:hint="eastAsia" w:ascii="Times New Roman" w:hAnsi="Times New Roman" w:eastAsia="仿宋_GB2312" w:cs="Times New Roman"/>
          <w:color w:val="auto"/>
          <w:szCs w:val="24"/>
          <w:lang w:val="en-US" w:eastAsia="zh-CN"/>
        </w:rPr>
        <w:t>区域评估报告</w:t>
      </w:r>
      <w:r>
        <w:rPr>
          <w:rFonts w:ascii="Times New Roman" w:hAnsi="Times New Roman" w:eastAsia="仿宋_GB2312" w:cs="Times New Roman"/>
          <w:color w:val="auto"/>
          <w:szCs w:val="24"/>
        </w:rPr>
        <w:t>设计中，采取了工程措施、植物措施以及临时措施，以减少施工期间新增的水土流失，控制施工水土流失危害的产生。</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（6）</w:t>
      </w:r>
      <w:r>
        <w:rPr>
          <w:rFonts w:ascii="Times New Roman" w:hAnsi="Times New Roman" w:eastAsia="仿宋_GB2312" w:cs="Times New Roman"/>
          <w:color w:val="auto"/>
          <w:szCs w:val="24"/>
        </w:rPr>
        <w:t>对周边水土流失影响分析</w:t>
      </w:r>
    </w:p>
    <w:p>
      <w:pPr>
        <w:snapToGrid w:val="0"/>
        <w:spacing w:line="360" w:lineRule="auto"/>
        <w:ind w:firstLine="480" w:firstLineChars="200"/>
        <w:rPr>
          <w:rFonts w:ascii="Times New Roman" w:hAnsi="Times New Roman" w:eastAsia="仿宋_GB2312" w:cs="Times New Roman"/>
          <w:color w:val="auto"/>
          <w:szCs w:val="24"/>
        </w:rPr>
      </w:pPr>
      <w:r>
        <w:rPr>
          <w:rFonts w:ascii="Times New Roman" w:hAnsi="Times New Roman" w:eastAsia="仿宋_GB2312" w:cs="Times New Roman"/>
          <w:color w:val="auto"/>
          <w:szCs w:val="24"/>
        </w:rPr>
        <w:t>由于在工程施工期间，各种施工活动不可避免地扰动地表，造成水土流失，有可能淤塞周边水</w:t>
      </w:r>
      <w:r>
        <w:rPr>
          <w:rFonts w:hint="eastAsia" w:ascii="Times New Roman" w:hAnsi="Times New Roman" w:eastAsia="仿宋_GB2312" w:cs="Times New Roman"/>
          <w:color w:val="auto"/>
          <w:szCs w:val="24"/>
        </w:rPr>
        <w:t>系</w:t>
      </w:r>
      <w:r>
        <w:rPr>
          <w:rFonts w:ascii="Times New Roman" w:hAnsi="Times New Roman" w:eastAsia="仿宋_GB2312" w:cs="Times New Roman"/>
          <w:color w:val="auto"/>
          <w:szCs w:val="24"/>
        </w:rPr>
        <w:t>和城市管道</w:t>
      </w: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从而对水系造成影响，但经过排水、沉沙、拦挡、覆盖等水土保持措施，可将此类影响降低到最小程度。到项目建成后，水土流失逐渐减少并趋于稳定，此类影响也会逐渐消除。</w:t>
      </w:r>
    </w:p>
    <w:p>
      <w:pPr>
        <w:widowControl/>
        <w:jc w:val="left"/>
        <w:rPr>
          <w:rFonts w:ascii="Times New Roman" w:hAnsi="Times New Roman" w:cs="Times New Roman"/>
          <w:color w:val="auto"/>
          <w:sz w:val="28"/>
          <w:szCs w:val="28"/>
        </w:rPr>
        <w:sectPr>
          <w:headerReference r:id="rId43" w:type="default"/>
          <w:footerReference r:id="rId44"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26" w:charSpace="0"/>
        </w:sectPr>
      </w:pPr>
    </w:p>
    <w:p>
      <w:pPr>
        <w:keepNext/>
        <w:keepLines/>
        <w:spacing w:line="360" w:lineRule="auto"/>
        <w:jc w:val="center"/>
        <w:outlineLvl w:val="0"/>
        <w:rPr>
          <w:rFonts w:ascii="Times New Roman" w:hAnsi="Times New Roman" w:eastAsia="仿宋_GB2312" w:cs="Times New Roman"/>
          <w:b/>
          <w:bCs/>
          <w:color w:val="auto"/>
          <w:kern w:val="44"/>
          <w:sz w:val="44"/>
          <w:szCs w:val="44"/>
        </w:rPr>
      </w:pPr>
      <w:bookmarkStart w:id="413" w:name="_Toc514431486"/>
      <w:bookmarkStart w:id="414" w:name="_Toc514432630"/>
      <w:bookmarkStart w:id="415" w:name="_Toc514430876"/>
      <w:bookmarkStart w:id="416" w:name="_Toc54478321"/>
      <w:bookmarkStart w:id="417" w:name="_Toc29992"/>
      <w:bookmarkStart w:id="418" w:name="_Toc499039912"/>
      <w:r>
        <w:rPr>
          <w:rFonts w:ascii="Times New Roman" w:hAnsi="Times New Roman" w:eastAsia="仿宋_GB2312" w:cs="Times New Roman"/>
          <w:b/>
          <w:bCs/>
          <w:color w:val="auto"/>
          <w:kern w:val="44"/>
          <w:sz w:val="44"/>
          <w:szCs w:val="44"/>
        </w:rPr>
        <w:t xml:space="preserve">8 </w:t>
      </w:r>
      <w:bookmarkEnd w:id="413"/>
      <w:bookmarkEnd w:id="414"/>
      <w:bookmarkEnd w:id="415"/>
      <w:r>
        <w:rPr>
          <w:rFonts w:ascii="Times New Roman" w:hAnsi="Times New Roman" w:eastAsia="仿宋_GB2312" w:cs="Times New Roman"/>
          <w:b/>
          <w:bCs/>
          <w:color w:val="auto"/>
          <w:kern w:val="44"/>
          <w:sz w:val="44"/>
          <w:szCs w:val="44"/>
        </w:rPr>
        <w:t>水土保持管理</w:t>
      </w:r>
      <w:bookmarkEnd w:id="416"/>
      <w:bookmarkEnd w:id="417"/>
    </w:p>
    <w:p>
      <w:pPr>
        <w:keepNext/>
        <w:keepLines/>
        <w:spacing w:line="360" w:lineRule="auto"/>
        <w:outlineLvl w:val="1"/>
        <w:rPr>
          <w:rFonts w:ascii="Times New Roman" w:hAnsi="Times New Roman" w:eastAsia="仿宋_GB2312" w:cs="Times New Roman"/>
          <w:b/>
          <w:color w:val="auto"/>
          <w:sz w:val="32"/>
          <w:szCs w:val="20"/>
        </w:rPr>
      </w:pPr>
      <w:bookmarkStart w:id="419" w:name="_Toc514430877"/>
      <w:bookmarkStart w:id="420" w:name="_Toc499039905"/>
      <w:bookmarkStart w:id="421" w:name="_Toc514432631"/>
      <w:bookmarkStart w:id="422" w:name="_Toc439243943"/>
      <w:bookmarkStart w:id="423" w:name="_Toc12646"/>
      <w:bookmarkStart w:id="424" w:name="_Toc17362"/>
      <w:bookmarkStart w:id="425" w:name="_Toc54478322"/>
      <w:bookmarkStart w:id="426" w:name="_Toc13489"/>
      <w:bookmarkStart w:id="427" w:name="_Toc514431487"/>
      <w:bookmarkStart w:id="428" w:name="_Toc15002"/>
      <w:bookmarkStart w:id="429" w:name="_Toc709"/>
      <w:bookmarkStart w:id="430" w:name="_Toc459885954"/>
      <w:bookmarkStart w:id="431" w:name="_Toc12349"/>
      <w:r>
        <w:rPr>
          <w:rFonts w:ascii="Times New Roman" w:hAnsi="Times New Roman" w:eastAsia="仿宋_GB2312" w:cs="Times New Roman"/>
          <w:b/>
          <w:color w:val="auto"/>
          <w:sz w:val="32"/>
          <w:szCs w:val="20"/>
        </w:rPr>
        <w:t>8.1 组织机构与管理</w:t>
      </w:r>
      <w:bookmarkEnd w:id="419"/>
      <w:bookmarkEnd w:id="420"/>
      <w:bookmarkEnd w:id="421"/>
      <w:bookmarkEnd w:id="422"/>
      <w:bookmarkEnd w:id="423"/>
      <w:bookmarkEnd w:id="424"/>
      <w:bookmarkEnd w:id="425"/>
      <w:bookmarkEnd w:id="426"/>
      <w:bookmarkEnd w:id="427"/>
      <w:bookmarkEnd w:id="428"/>
      <w:bookmarkEnd w:id="429"/>
      <w:bookmarkEnd w:id="430"/>
      <w:bookmarkEnd w:id="431"/>
    </w:p>
    <w:p>
      <w:pPr>
        <w:widowControl/>
        <w:spacing w:line="360" w:lineRule="auto"/>
        <w:jc w:val="left"/>
        <w:outlineLvl w:val="2"/>
        <w:rPr>
          <w:rFonts w:ascii="Times New Roman" w:hAnsi="Times New Roman" w:eastAsia="仿宋_GB2312" w:cs="Times New Roman"/>
          <w:b/>
          <w:color w:val="auto"/>
          <w:sz w:val="30"/>
          <w:szCs w:val="30"/>
        </w:rPr>
      </w:pPr>
      <w:r>
        <w:rPr>
          <w:rFonts w:ascii="Times New Roman" w:hAnsi="Times New Roman" w:eastAsia="仿宋_GB2312" w:cs="Times New Roman"/>
          <w:b/>
          <w:color w:val="auto"/>
          <w:sz w:val="30"/>
          <w:szCs w:val="30"/>
        </w:rPr>
        <w:t>8.1.1管理机构和人员</w:t>
      </w:r>
    </w:p>
    <w:p>
      <w:pPr>
        <w:spacing w:line="360" w:lineRule="auto"/>
        <w:outlineLvl w:val="2"/>
        <w:rPr>
          <w:rFonts w:ascii="Times New Roman" w:hAnsi="Times New Roman" w:eastAsia="仿宋_GB2312" w:cs="Times New Roman"/>
          <w:b/>
          <w:bCs/>
          <w:color w:val="auto"/>
          <w:sz w:val="28"/>
          <w:szCs w:val="28"/>
        </w:rPr>
      </w:pPr>
      <w:bookmarkStart w:id="432" w:name="_Toc8305"/>
      <w:bookmarkStart w:id="433" w:name="_Toc2921"/>
      <w:bookmarkStart w:id="434" w:name="_Toc10659"/>
      <w:bookmarkStart w:id="435" w:name="_Toc23431"/>
      <w:bookmarkStart w:id="436" w:name="_Toc439243949"/>
      <w:bookmarkStart w:id="437" w:name="_Toc18591"/>
      <w:bookmarkStart w:id="438" w:name="_Toc459885960"/>
      <w:bookmarkStart w:id="439" w:name="_Toc2866"/>
      <w:r>
        <w:rPr>
          <w:rFonts w:ascii="Times New Roman" w:hAnsi="Times New Roman" w:eastAsia="仿宋_GB2312" w:cs="Times New Roman"/>
          <w:b/>
          <w:bCs/>
          <w:color w:val="auto"/>
          <w:sz w:val="28"/>
          <w:szCs w:val="28"/>
        </w:rPr>
        <w:t xml:space="preserve">8.1.1 </w:t>
      </w:r>
      <w:r>
        <w:rPr>
          <w:rFonts w:hint="eastAsia" w:ascii="Times New Roman" w:hAnsi="Times New Roman" w:eastAsia="仿宋_GB2312" w:cs="Times New Roman"/>
          <w:b/>
          <w:bCs/>
          <w:color w:val="auto"/>
          <w:sz w:val="28"/>
          <w:szCs w:val="28"/>
        </w:rPr>
        <w:t>组织管理</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根据《水利部关于进一步深化“放管服”改革全面加强水土保持监管的意见》（水保〔2019〕160号）、《水利部办公厅关于做好生产建设项目水土保持承诺制管理的通知》（办水保〔2020〕160号）、《江西省水利厅关于印发&lt;江西省水土保持区域评估办法&gt;（试行）的通知》〔2020〕10号规定，江西青山湖高新技术产业园区管理委员会是区域水土保持预防与治理主体责任单位，生产建设单位是生产建设项目的主体责任单位，应积极践行生态文明理念，明确水土保持管理机构与人员，建立水土保持管理制度，加强施工过程水土保持管理，及时实施水土保持措施，防治人为水土流失，保护水土资源和生态环境。具体职责如下：</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（一）江西青山湖高新技术产业园区管理委员会</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（1）负责水土保持区域评估报告编制及报批工作；配合水行政主管部门做好水土保持区域评估报告批复后的结果运用等工作。</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（2）成立机构、落实专人负责园区水土保持日常监管工作，配合水行政主管部门对水土保持违法行为进行调查处理。</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w:t>
      </w:r>
      <w:r>
        <w:rPr>
          <w:rFonts w:hint="eastAsia" w:ascii="Times New Roman" w:hAnsi="Times New Roman" w:eastAsia="仿宋_GB2312" w:cs="Times New Roman"/>
          <w:color w:val="auto"/>
          <w:kern w:val="0"/>
          <w:lang w:val="en-US" w:eastAsia="zh-CN"/>
        </w:rPr>
        <w:t>3</w:t>
      </w:r>
      <w:r>
        <w:rPr>
          <w:rFonts w:hint="eastAsia" w:ascii="Times New Roman" w:hAnsi="Times New Roman" w:eastAsia="仿宋_GB2312" w:cs="Times New Roman"/>
          <w:color w:val="auto"/>
          <w:kern w:val="0"/>
        </w:rPr>
        <w:t>）园区公共基础设施设施项目由管委会或下设机构负责建设的，开工前及时填报水土保持方案报告表，上报水行政主管部门备案，并足额缴纳水土保持补偿费。</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w:t>
      </w:r>
      <w:r>
        <w:rPr>
          <w:rFonts w:hint="eastAsia" w:ascii="Times New Roman" w:hAnsi="Times New Roman" w:eastAsia="仿宋_GB2312" w:cs="Times New Roman"/>
          <w:color w:val="auto"/>
          <w:kern w:val="0"/>
          <w:lang w:val="en-US" w:eastAsia="zh-CN"/>
        </w:rPr>
        <w:t>4</w:t>
      </w:r>
      <w:r>
        <w:rPr>
          <w:rFonts w:hint="eastAsia" w:ascii="Times New Roman" w:hAnsi="Times New Roman" w:eastAsia="仿宋_GB2312" w:cs="Times New Roman"/>
          <w:color w:val="auto"/>
          <w:kern w:val="0"/>
        </w:rPr>
        <w:t>）由入园企业负责建设的项目，管委会应在项目立项阶段告知入园企业应履行的水土保持审批或承诺备案程序，监督入园企业在开工前完成水土保持审批或承诺备案程序及水土保持补偿费缴纳等工作。</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w:t>
      </w:r>
      <w:r>
        <w:rPr>
          <w:rFonts w:hint="eastAsia" w:ascii="Times New Roman" w:hAnsi="Times New Roman" w:eastAsia="仿宋_GB2312" w:cs="Times New Roman"/>
          <w:color w:val="auto"/>
          <w:kern w:val="0"/>
          <w:lang w:val="en-US" w:eastAsia="zh-CN"/>
        </w:rPr>
        <w:t>5</w:t>
      </w:r>
      <w:r>
        <w:rPr>
          <w:rFonts w:hint="eastAsia" w:ascii="Times New Roman" w:hAnsi="Times New Roman" w:eastAsia="仿宋_GB2312" w:cs="Times New Roman"/>
          <w:color w:val="auto"/>
          <w:kern w:val="0"/>
        </w:rPr>
        <w:t>）水土保持区域评估报告批复后，由江西青山湖高新技术产业园区管理委员会委托具备水土保持监测技术条件的机构按年度统一组织开展园区水土保持监测工作。制定监测实施方案，按时提交季报，每年底提交年度总结报告。</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w:t>
      </w:r>
      <w:r>
        <w:rPr>
          <w:rFonts w:hint="eastAsia" w:ascii="Times New Roman" w:hAnsi="Times New Roman" w:eastAsia="仿宋_GB2312" w:cs="Times New Roman"/>
          <w:color w:val="auto"/>
          <w:kern w:val="0"/>
          <w:lang w:val="en-US" w:eastAsia="zh-CN"/>
        </w:rPr>
        <w:t>6</w:t>
      </w:r>
      <w:r>
        <w:rPr>
          <w:rFonts w:hint="eastAsia" w:ascii="Times New Roman" w:hAnsi="Times New Roman" w:eastAsia="仿宋_GB2312" w:cs="Times New Roman"/>
          <w:color w:val="auto"/>
          <w:kern w:val="0"/>
        </w:rPr>
        <w:t>）江西青山湖高新技术产业园区管理委员会对完工的且符合水土保持设施验收条件的生产建设项目统一组织水土保持设施验收，并统一公示，向水行政主管部门报备。</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二）水行政主管部门根据《中华人民共和国水土保持法》和《江西省实施&lt;中华人民共和国水土保持法&gt;办法》有关条款规定，水土保持工作以县（市、区）人民政府属地管理为主，实行水土保持目标责任制和水土流失终身追究制。</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根据园区所处行政区划位置由青山湖区农业农村局负责园区水土保持监管工作。具体责任如下：</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（1）主要负责园区水土保持方案承诺备案制管理，水土保持补偿费的征收。</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（2）对该区域内生产建设项目水土保持措施的落实情况的监督管理，对水土保持监测实施方案及监测季报的接收，对水土保持违法事件的处罚。</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（3）对符合水土保持设施竣工验收的项目按程序进行接收报备等工作。</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（三）生产建设项目业主</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1）园区内各生产建设项目业主，应对所建项目可能产生的水土流失负主体责任。项目施工期间，根据水土保持区域评估报告要求，建立对应项目类型的水土流失防治措施体系，布设相应的工程措施、植物措施和临时防护措施，把因项目建设造成的水土流失控制在最低程度。</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（2）根据工作规模核实项目应履行的水土保持审批或承诺备案程序，项目业主应如实填报项目规模等基础数据，在开工前完成审批或承诺备案程序，及时缴纳水土保持补偿费。</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（3）若工程建设产生借方或者弃方，应按季度将借方来源或弃方去向上报江西青山湖高新技术产业园区管理委员会，必要时提供相关的依据及证明材料。</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4）积极配合江西青山湖高新技术产业园区管理委员会委托的水土保持监测单位开展园区内水土保持日常监测工作，提供相应的监测资料，自觉接受水行政主管部门的监督检查及江西青山湖高新技术产业园区管理委员会的管理。</w:t>
      </w:r>
    </w:p>
    <w:p>
      <w:pPr>
        <w:widowControl/>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kern w:val="0"/>
        </w:rPr>
        <w:t>（5）项目竣工后，积极配合由江西青山湖高新技术产业园区管理委员会组织展开的年度生产建设项目的水土保持设施验收和公示报备工作。</w:t>
      </w:r>
    </w:p>
    <w:p>
      <w:pPr>
        <w:widowControl/>
        <w:spacing w:line="360" w:lineRule="auto"/>
        <w:jc w:val="left"/>
        <w:outlineLvl w:val="2"/>
        <w:rPr>
          <w:rFonts w:ascii="Times New Roman" w:hAnsi="Times New Roman" w:eastAsia="仿宋_GB2312" w:cs="Times New Roman"/>
          <w:b/>
          <w:color w:val="auto"/>
          <w:sz w:val="30"/>
          <w:szCs w:val="30"/>
        </w:rPr>
      </w:pPr>
      <w:r>
        <w:rPr>
          <w:rFonts w:ascii="Times New Roman" w:hAnsi="Times New Roman" w:eastAsia="仿宋_GB2312" w:cs="Times New Roman"/>
          <w:b/>
          <w:color w:val="auto"/>
          <w:sz w:val="30"/>
          <w:szCs w:val="30"/>
        </w:rPr>
        <w:t>8.1.2</w:t>
      </w:r>
      <w:r>
        <w:rPr>
          <w:rFonts w:hint="eastAsia" w:ascii="Times New Roman" w:hAnsi="Times New Roman" w:eastAsia="仿宋_GB2312" w:cs="Times New Roman"/>
          <w:b/>
          <w:bCs/>
          <w:color w:val="auto"/>
          <w:sz w:val="30"/>
          <w:szCs w:val="30"/>
        </w:rPr>
        <w:t>简化审批流程</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根据《水利部关于进一步深化“放管服”改革全面加强水土保持监管的意见》（水保〔2019〕160号）和《水利部办公厅关于做好生产建设项目水土保持承诺制管理的通知》（水保〔2020〕160号），《江西省水利厅关于印发&lt;江西省水土保持区域评估办法&gt;（试行）的通知》〔2020〕10号等相关文件，水土保持区域评估报告批复同意后，区域内生产建设项目水土保持方案实行审批承诺制，项目的审批、监督管理、水土保持补偿费征收、水土保持设施验收备案等仍按照生产建设项目水土保持管理权限执行。</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kern w:val="0"/>
        </w:rPr>
        <w:t>区域内生产建设项目应当由生产建设单位按照《水利部关于进一步深化“放管服”改革全面加强水土保持监管的意见》（办水保〔2019〕160号）有关要求编制水土保持方案，并报相应审批权限的水行政主管部门或其他审批部门进行承诺制审批。区域内编制方案报告表的项目，由生产建设单位从省级水行政主管部门水土保持方案专家库中自行选取至少1名专家提出审查意见，并签署同意意见；编制方案报告书的项目应由生产建设单位从省级水行政主管部门水土保持方案专家库中自行选取至少2名专家提出审查意见，并签署同意意见，审批部门不再组织技术审查。</w:t>
      </w:r>
    </w:p>
    <w:p>
      <w:pPr>
        <w:widowControl/>
        <w:spacing w:line="360" w:lineRule="auto"/>
        <w:jc w:val="left"/>
        <w:outlineLvl w:val="2"/>
        <w:rPr>
          <w:rFonts w:ascii="Times New Roman" w:hAnsi="Times New Roman" w:eastAsia="仿宋_GB2312" w:cs="Times New Roman"/>
          <w:b/>
          <w:color w:val="auto"/>
          <w:sz w:val="30"/>
          <w:szCs w:val="30"/>
        </w:rPr>
      </w:pPr>
      <w:r>
        <w:rPr>
          <w:rFonts w:hint="eastAsia" w:ascii="Times New Roman" w:hAnsi="Times New Roman" w:eastAsia="仿宋_GB2312" w:cs="Times New Roman"/>
          <w:b/>
          <w:color w:val="auto"/>
          <w:sz w:val="30"/>
          <w:szCs w:val="30"/>
        </w:rPr>
        <w:t>8.1.3 分类管理措施</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（1）已建项目</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对于江西青山湖高新技术产业园区已建设完成的项目，已实施的水土保持措施基本满足区内水土流失防治需要，在后期工作中，除了做好现有水土保持措施的养护，保证其水土保持功能正常发挥外，还需注意与未建区域交界区域的挡护，防止新建区域开发建设造成水土流失进入已建成区域。</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（2）在建项目</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对于江西青山湖高新技术产业园区目前在建的项目，如已编制水土保持方案并获得批复，建设主体单位应严格按照批复的水土保持方案开展施工期间的水土流失防治工作；对于目前尚未开展水土保持方案编制工作的在建项目，可参照个类项目的特殊情形要求，开展水土保持防治工作。</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（3）待建项目</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kern w:val="0"/>
        </w:rPr>
        <w:t>对于江西青山湖高新技术产业园区未开展建设的区域，本报告根据《中华人民共和国水土保持法》、《生产建设项目水土保持技术标准》等法律法规，对以上区域开发建设过程中的水土保持工作提出了具体要求，项目区后续的开发建设中，需严格按照审批后的区域评估报告，对区域开发建设过程中的水土流失进行防治。</w:t>
      </w:r>
    </w:p>
    <w:p>
      <w:pPr>
        <w:keepNext/>
        <w:keepLines/>
        <w:spacing w:line="360" w:lineRule="auto"/>
        <w:outlineLvl w:val="1"/>
        <w:rPr>
          <w:rFonts w:ascii="Times New Roman" w:hAnsi="Times New Roman" w:eastAsia="仿宋_GB2312" w:cs="Times New Roman"/>
          <w:b/>
          <w:color w:val="auto"/>
          <w:sz w:val="32"/>
          <w:szCs w:val="20"/>
        </w:rPr>
      </w:pPr>
      <w:bookmarkStart w:id="440" w:name="_Toc31051"/>
      <w:bookmarkStart w:id="441" w:name="_Toc439243944"/>
      <w:bookmarkStart w:id="442" w:name="_Toc514430878"/>
      <w:bookmarkStart w:id="443" w:name="_Toc499039906"/>
      <w:bookmarkStart w:id="444" w:name="_Toc514431488"/>
      <w:bookmarkStart w:id="445" w:name="_Toc514432632"/>
      <w:bookmarkStart w:id="446" w:name="_Toc28793"/>
      <w:bookmarkStart w:id="447" w:name="_Toc22838"/>
      <w:bookmarkStart w:id="448" w:name="_Toc459885955"/>
      <w:bookmarkStart w:id="449" w:name="_Toc3193"/>
      <w:bookmarkStart w:id="450" w:name="_Toc54478323"/>
      <w:bookmarkStart w:id="451" w:name="_Toc5746"/>
      <w:bookmarkStart w:id="452" w:name="_Toc21826"/>
      <w:r>
        <w:rPr>
          <w:rFonts w:ascii="Times New Roman" w:hAnsi="Times New Roman" w:eastAsia="仿宋_GB2312" w:cs="Times New Roman"/>
          <w:b/>
          <w:color w:val="auto"/>
          <w:sz w:val="32"/>
          <w:szCs w:val="20"/>
        </w:rPr>
        <w:t xml:space="preserve">8.2 </w:t>
      </w:r>
      <w:bookmarkEnd w:id="440"/>
      <w:bookmarkEnd w:id="441"/>
      <w:bookmarkEnd w:id="442"/>
      <w:bookmarkEnd w:id="443"/>
      <w:bookmarkEnd w:id="444"/>
      <w:bookmarkEnd w:id="445"/>
      <w:bookmarkEnd w:id="446"/>
      <w:bookmarkEnd w:id="447"/>
      <w:bookmarkEnd w:id="448"/>
      <w:bookmarkEnd w:id="449"/>
      <w:bookmarkEnd w:id="450"/>
      <w:bookmarkEnd w:id="451"/>
      <w:r>
        <w:rPr>
          <w:rFonts w:hint="eastAsia" w:ascii="Times New Roman" w:hAnsi="Times New Roman" w:eastAsia="仿宋_GB2312" w:cs="Times New Roman"/>
          <w:b/>
          <w:color w:val="auto"/>
          <w:sz w:val="32"/>
          <w:szCs w:val="20"/>
        </w:rPr>
        <w:t>针对</w:t>
      </w:r>
      <w:r>
        <w:rPr>
          <w:rFonts w:ascii="Times New Roman" w:hAnsi="Times New Roman" w:eastAsia="仿宋_GB2312" w:cs="Times New Roman"/>
          <w:b/>
          <w:color w:val="auto"/>
          <w:sz w:val="32"/>
          <w:szCs w:val="20"/>
        </w:rPr>
        <w:t>个类项目的特殊情形</w:t>
      </w:r>
      <w:bookmarkEnd w:id="452"/>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符合以下特殊情形的生产建设项目，仍需按照《江西省实施&lt;中华人民共和国水土保持法&gt;办法》第十九条的规定编报水土保持方案报告书，报水行政主管部门审批。如今后有关国家、江西省和南昌市出台水土保持相应的政策文件和决策部署的，区域内生产建设项目还应履行最新文件和政策法规要求。</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不列入承诺备案制管理的特殊情形：</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（1）处于信用惩戒期的建设单位建设的项目；</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（2）超出本报告编制范围红线的项目或者跨越本报告编制范围红线的项目；</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（3）在本次论证规划水平年（2026年）后开工建设的项目；</w:t>
      </w:r>
    </w:p>
    <w:p>
      <w:pPr>
        <w:widowControl/>
        <w:snapToGrid w:val="0"/>
        <w:spacing w:line="360" w:lineRule="auto"/>
        <w:ind w:firstLine="480" w:firstLineChars="200"/>
        <w:jc w:val="left"/>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（4）其他不列入承诺备案制管理的特殊情形。</w:t>
      </w:r>
    </w:p>
    <w:p>
      <w:pPr>
        <w:keepNext/>
        <w:keepLines/>
        <w:spacing w:line="360" w:lineRule="auto"/>
        <w:jc w:val="left"/>
        <w:outlineLvl w:val="1"/>
        <w:rPr>
          <w:rFonts w:ascii="Times New Roman" w:hAnsi="Times New Roman" w:eastAsia="仿宋_GB2312" w:cs="Times New Roman"/>
          <w:b/>
          <w:color w:val="auto"/>
          <w:sz w:val="32"/>
          <w:szCs w:val="20"/>
        </w:rPr>
      </w:pPr>
      <w:bookmarkStart w:id="453" w:name="_Toc86263719"/>
      <w:bookmarkStart w:id="454" w:name="_Toc16640"/>
      <w:r>
        <w:rPr>
          <w:rFonts w:ascii="Times New Roman" w:hAnsi="Times New Roman" w:eastAsia="仿宋_GB2312" w:cs="Times New Roman"/>
          <w:b/>
          <w:color w:val="auto"/>
          <w:sz w:val="32"/>
          <w:szCs w:val="20"/>
        </w:rPr>
        <w:t xml:space="preserve">8.3 </w:t>
      </w:r>
      <w:bookmarkEnd w:id="453"/>
      <w:r>
        <w:rPr>
          <w:rFonts w:hint="eastAsia" w:ascii="Times New Roman" w:hAnsi="Times New Roman" w:eastAsia="仿宋_GB2312" w:cs="Times New Roman"/>
          <w:b/>
          <w:color w:val="auto"/>
          <w:sz w:val="32"/>
          <w:szCs w:val="20"/>
        </w:rPr>
        <w:t>后续设计</w:t>
      </w:r>
      <w:bookmarkEnd w:id="454"/>
    </w:p>
    <w:p>
      <w:pPr>
        <w:adjustRightInd w:val="0"/>
        <w:snapToGrid w:val="0"/>
        <w:spacing w:line="360" w:lineRule="auto"/>
        <w:ind w:firstLine="480" w:firstLineChars="200"/>
        <w:rPr>
          <w:rFonts w:ascii="Times New Roman" w:hAnsi="Times New Roman" w:eastAsia="仿宋_GB2312" w:cs="Times New Roman"/>
          <w:color w:val="auto"/>
          <w:kern w:val="0"/>
        </w:rPr>
      </w:pPr>
      <w:r>
        <w:rPr>
          <w:rFonts w:ascii="Times New Roman" w:hAnsi="Times New Roman" w:eastAsia="仿宋_GB2312" w:cs="Times New Roman"/>
          <w:color w:val="auto"/>
          <w:kern w:val="0"/>
        </w:rPr>
        <w:t>水土保持区域评估报告经</w:t>
      </w:r>
      <w:r>
        <w:rPr>
          <w:rFonts w:hint="eastAsia" w:ascii="Times New Roman" w:hAnsi="Times New Roman" w:eastAsia="仿宋_GB2312" w:cs="Times New Roman"/>
          <w:color w:val="auto"/>
          <w:kern w:val="0"/>
        </w:rPr>
        <w:t>青山湖区农业农村局</w:t>
      </w:r>
      <w:r>
        <w:rPr>
          <w:rFonts w:ascii="Times New Roman" w:hAnsi="Times New Roman" w:eastAsia="仿宋_GB2312" w:cs="Times New Roman"/>
          <w:color w:val="auto"/>
          <w:kern w:val="0"/>
        </w:rPr>
        <w:t>批复后，根据主体设计深度以本</w:t>
      </w:r>
      <w:r>
        <w:rPr>
          <w:rFonts w:hint="eastAsia" w:ascii="Times New Roman" w:hAnsi="Times New Roman" w:eastAsia="仿宋_GB2312" w:cs="Times New Roman"/>
          <w:color w:val="auto"/>
          <w:kern w:val="0"/>
          <w:lang w:val="en-US" w:eastAsia="zh-CN"/>
        </w:rPr>
        <w:t>区域评估报告</w:t>
      </w:r>
      <w:r>
        <w:rPr>
          <w:rFonts w:ascii="Times New Roman" w:hAnsi="Times New Roman" w:eastAsia="仿宋_GB2312" w:cs="Times New Roman"/>
          <w:color w:val="auto"/>
          <w:kern w:val="0"/>
        </w:rPr>
        <w:t>中的水土保持设计原则、防治措施为基础，按设计程序进行水土保持后续设计工作，并将水土保持设计内容纳入相应主体工程设计文件中。</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ascii="Times New Roman" w:hAnsi="Times New Roman" w:eastAsia="仿宋_GB2312" w:cs="Times New Roman"/>
          <w:color w:val="auto"/>
          <w:kern w:val="0"/>
        </w:rPr>
        <w:t>水土保持方案经批准后，生产建设项目的地点、规模发生重大变化的，应当补充或者修改水土保持方案并报原审批机关批准。水土保持方案实施过程中，水土保持措施需要作出重大变更的，应当经原审批机关批准。</w:t>
      </w:r>
    </w:p>
    <w:p>
      <w:pPr>
        <w:widowControl/>
        <w:snapToGrid w:val="0"/>
        <w:spacing w:line="360" w:lineRule="auto"/>
        <w:ind w:firstLine="480" w:firstLineChars="200"/>
        <w:jc w:val="left"/>
        <w:rPr>
          <w:rFonts w:ascii="Times New Roman" w:hAnsi="Times New Roman" w:eastAsia="仿宋_GB2312" w:cs="Times New Roman"/>
          <w:color w:val="auto"/>
          <w:szCs w:val="24"/>
          <w:highlight w:val="none"/>
        </w:rPr>
      </w:pPr>
      <w:bookmarkStart w:id="455" w:name="_Toc5270"/>
      <w:bookmarkStart w:id="456" w:name="_Toc54478324"/>
      <w:bookmarkStart w:id="457" w:name="_Toc31477"/>
      <w:bookmarkStart w:id="458" w:name="_Toc21786"/>
      <w:bookmarkStart w:id="459" w:name="_Toc31130"/>
      <w:bookmarkStart w:id="460" w:name="_Toc2535"/>
      <w:bookmarkStart w:id="461" w:name="_Toc12021"/>
      <w:bookmarkStart w:id="462" w:name="_Toc499039907"/>
      <w:bookmarkStart w:id="463" w:name="_Toc459885956"/>
      <w:bookmarkStart w:id="464" w:name="_Toc514432633"/>
      <w:bookmarkStart w:id="465" w:name="_Toc439243945"/>
      <w:bookmarkStart w:id="466" w:name="_Toc514431489"/>
      <w:bookmarkStart w:id="467" w:name="_Toc514430879"/>
      <w:r>
        <w:rPr>
          <w:rFonts w:hint="eastAsia" w:ascii="Times New Roman" w:hAnsi="Times New Roman" w:eastAsia="仿宋_GB2312" w:cs="Times New Roman"/>
          <w:color w:val="auto"/>
          <w:szCs w:val="24"/>
          <w:highlight w:val="none"/>
        </w:rPr>
        <w:t>（</w:t>
      </w:r>
      <w:r>
        <w:rPr>
          <w:rFonts w:ascii="Times New Roman" w:hAnsi="Times New Roman" w:eastAsia="仿宋_GB2312" w:cs="Times New Roman"/>
          <w:color w:val="auto"/>
          <w:szCs w:val="24"/>
          <w:highlight w:val="none"/>
        </w:rPr>
        <w:t>1</w:t>
      </w:r>
      <w:r>
        <w:rPr>
          <w:rFonts w:hint="eastAsia" w:ascii="Times New Roman" w:hAnsi="Times New Roman" w:eastAsia="仿宋_GB2312" w:cs="Times New Roman"/>
          <w:color w:val="auto"/>
          <w:szCs w:val="24"/>
          <w:highlight w:val="none"/>
        </w:rPr>
        <w:t>）水土保持方案批复后，建设单位应及时将本方案布设的水土保持措施及其投资纳入主体工程施工图设计。施工图设计中的水土保持工程应单独成册。</w:t>
      </w:r>
    </w:p>
    <w:p>
      <w:pPr>
        <w:widowControl/>
        <w:snapToGrid w:val="0"/>
        <w:spacing w:line="360" w:lineRule="auto"/>
        <w:ind w:firstLine="480" w:firstLineChars="200"/>
        <w:jc w:val="left"/>
        <w:rPr>
          <w:rFonts w:ascii="Times New Roman" w:hAnsi="Times New Roman" w:eastAsia="仿宋_GB2312" w:cs="Times New Roman"/>
          <w:color w:val="auto"/>
          <w:szCs w:val="24"/>
          <w:highlight w:val="none"/>
        </w:rPr>
      </w:pPr>
      <w:r>
        <w:rPr>
          <w:rFonts w:hint="eastAsia" w:ascii="Times New Roman" w:hAnsi="Times New Roman" w:eastAsia="仿宋_GB2312" w:cs="Times New Roman"/>
          <w:color w:val="auto"/>
          <w:szCs w:val="24"/>
          <w:highlight w:val="none"/>
        </w:rPr>
        <w:t>（</w:t>
      </w:r>
      <w:r>
        <w:rPr>
          <w:rFonts w:ascii="Times New Roman" w:hAnsi="Times New Roman" w:eastAsia="仿宋_GB2312" w:cs="Times New Roman"/>
          <w:color w:val="auto"/>
          <w:szCs w:val="24"/>
          <w:highlight w:val="none"/>
        </w:rPr>
        <w:t>2</w:t>
      </w:r>
      <w:r>
        <w:rPr>
          <w:rFonts w:hint="eastAsia" w:ascii="Times New Roman" w:hAnsi="Times New Roman" w:eastAsia="仿宋_GB2312" w:cs="Times New Roman"/>
          <w:color w:val="auto"/>
          <w:szCs w:val="24"/>
          <w:highlight w:val="none"/>
        </w:rPr>
        <w:t>）水土保持工程施工阶段的后续设计成果应报</w:t>
      </w:r>
      <w:r>
        <w:rPr>
          <w:rFonts w:hint="eastAsia" w:ascii="Times New Roman" w:hAnsi="Times New Roman" w:eastAsia="仿宋_GB2312" w:cs="Times New Roman"/>
          <w:color w:val="auto"/>
          <w:kern w:val="0"/>
        </w:rPr>
        <w:t>青山湖区农业农村局</w:t>
      </w:r>
      <w:r>
        <w:rPr>
          <w:rFonts w:hint="eastAsia" w:ascii="Times New Roman" w:hAnsi="Times New Roman" w:eastAsia="仿宋_GB2312" w:cs="Times New Roman"/>
          <w:color w:val="auto"/>
          <w:szCs w:val="24"/>
          <w:highlight w:val="none"/>
        </w:rPr>
        <w:t>。</w:t>
      </w:r>
    </w:p>
    <w:p>
      <w:pPr>
        <w:widowControl/>
        <w:snapToGrid w:val="0"/>
        <w:spacing w:line="360" w:lineRule="auto"/>
        <w:ind w:firstLine="480" w:firstLineChars="200"/>
        <w:jc w:val="left"/>
        <w:rPr>
          <w:rFonts w:ascii="Times New Roman" w:hAnsi="Times New Roman" w:eastAsia="仿宋_GB2312" w:cs="Times New Roman"/>
          <w:color w:val="auto"/>
          <w:szCs w:val="24"/>
          <w:highlight w:val="none"/>
        </w:rPr>
      </w:pPr>
      <w:r>
        <w:rPr>
          <w:rFonts w:hint="eastAsia" w:ascii="Times New Roman" w:hAnsi="Times New Roman" w:eastAsia="仿宋_GB2312" w:cs="Times New Roman"/>
          <w:color w:val="auto"/>
          <w:szCs w:val="24"/>
          <w:highlight w:val="none"/>
        </w:rPr>
        <w:t>（</w:t>
      </w:r>
      <w:r>
        <w:rPr>
          <w:rFonts w:ascii="Times New Roman" w:hAnsi="Times New Roman" w:eastAsia="仿宋_GB2312" w:cs="Times New Roman"/>
          <w:color w:val="auto"/>
          <w:szCs w:val="24"/>
          <w:highlight w:val="none"/>
        </w:rPr>
        <w:t>3</w:t>
      </w:r>
      <w:r>
        <w:rPr>
          <w:rFonts w:hint="eastAsia" w:ascii="Times New Roman" w:hAnsi="Times New Roman" w:eastAsia="仿宋_GB2312" w:cs="Times New Roman"/>
          <w:color w:val="auto"/>
          <w:szCs w:val="24"/>
          <w:highlight w:val="none"/>
        </w:rPr>
        <w:t>）水土保持方案批复后，若有重大设计变更时，应按规定程序报</w:t>
      </w:r>
      <w:r>
        <w:rPr>
          <w:rFonts w:hint="eastAsia" w:ascii="Times New Roman" w:hAnsi="Times New Roman" w:eastAsia="仿宋_GB2312" w:cs="Times New Roman"/>
          <w:color w:val="auto"/>
          <w:kern w:val="0"/>
        </w:rPr>
        <w:t>青山湖区农业农村局</w:t>
      </w:r>
      <w:r>
        <w:rPr>
          <w:rFonts w:ascii="Times New Roman" w:hAnsi="Times New Roman" w:eastAsia="仿宋_GB2312" w:cs="Times New Roman"/>
          <w:color w:val="auto"/>
          <w:kern w:val="0"/>
        </w:rPr>
        <w:t>批准</w:t>
      </w:r>
      <w:r>
        <w:rPr>
          <w:rFonts w:hint="eastAsia" w:ascii="Times New Roman" w:hAnsi="Times New Roman" w:eastAsia="仿宋_GB2312" w:cs="Times New Roman"/>
          <w:color w:val="auto"/>
          <w:szCs w:val="24"/>
          <w:highlight w:val="none"/>
        </w:rPr>
        <w:t>。</w:t>
      </w:r>
    </w:p>
    <w:p>
      <w:pPr>
        <w:widowControl/>
        <w:snapToGrid w:val="0"/>
        <w:spacing w:line="360" w:lineRule="auto"/>
        <w:ind w:firstLine="480" w:firstLineChars="200"/>
        <w:jc w:val="left"/>
        <w:rPr>
          <w:rFonts w:ascii="Times New Roman" w:hAnsi="Times New Roman" w:eastAsia="仿宋_GB2312" w:cs="Times New Roman"/>
          <w:color w:val="auto"/>
          <w:szCs w:val="24"/>
          <w:highlight w:val="none"/>
        </w:rPr>
      </w:pPr>
      <w:r>
        <w:rPr>
          <w:rFonts w:hint="eastAsia" w:ascii="Times New Roman" w:hAnsi="Times New Roman" w:eastAsia="仿宋_GB2312" w:cs="Times New Roman"/>
          <w:color w:val="auto"/>
          <w:szCs w:val="24"/>
          <w:highlight w:val="none"/>
        </w:rPr>
        <w:t>（</w:t>
      </w:r>
      <w:r>
        <w:rPr>
          <w:rFonts w:ascii="Times New Roman" w:hAnsi="Times New Roman" w:eastAsia="仿宋_GB2312" w:cs="Times New Roman"/>
          <w:color w:val="auto"/>
          <w:szCs w:val="24"/>
          <w:highlight w:val="none"/>
        </w:rPr>
        <w:t>4</w:t>
      </w:r>
      <w:r>
        <w:rPr>
          <w:rFonts w:hint="eastAsia" w:ascii="Times New Roman" w:hAnsi="Times New Roman" w:eastAsia="仿宋_GB2312" w:cs="Times New Roman"/>
          <w:color w:val="auto"/>
          <w:szCs w:val="24"/>
          <w:highlight w:val="none"/>
        </w:rPr>
        <w:t>）设计单位须在生产建设项目水土保持设施竣工验收会上向验收组汇报水土保持措施的设计情况。</w:t>
      </w:r>
    </w:p>
    <w:p>
      <w:pPr>
        <w:keepNext/>
        <w:keepLines/>
        <w:spacing w:line="360" w:lineRule="auto"/>
        <w:outlineLvl w:val="1"/>
        <w:rPr>
          <w:rFonts w:ascii="Times New Roman" w:hAnsi="Times New Roman" w:eastAsia="仿宋_GB2312" w:cs="Times New Roman"/>
          <w:b/>
          <w:color w:val="auto"/>
          <w:sz w:val="32"/>
          <w:szCs w:val="20"/>
        </w:rPr>
      </w:pPr>
      <w:r>
        <w:rPr>
          <w:rFonts w:ascii="Times New Roman" w:hAnsi="Times New Roman" w:eastAsia="仿宋_GB2312" w:cs="Times New Roman"/>
          <w:b/>
          <w:color w:val="auto"/>
          <w:sz w:val="32"/>
          <w:szCs w:val="20"/>
        </w:rPr>
        <w:t>8.</w:t>
      </w:r>
      <w:r>
        <w:rPr>
          <w:rFonts w:hint="eastAsia" w:ascii="Times New Roman" w:hAnsi="Times New Roman" w:eastAsia="仿宋_GB2312" w:cs="Times New Roman"/>
          <w:b/>
          <w:color w:val="auto"/>
          <w:sz w:val="32"/>
          <w:szCs w:val="20"/>
        </w:rPr>
        <w:t>4</w:t>
      </w:r>
      <w:r>
        <w:rPr>
          <w:rFonts w:ascii="Times New Roman" w:hAnsi="Times New Roman" w:eastAsia="仿宋_GB2312" w:cs="Times New Roman"/>
          <w:b/>
          <w:color w:val="auto"/>
          <w:sz w:val="32"/>
          <w:szCs w:val="20"/>
        </w:rPr>
        <w:t xml:space="preserve"> 水土保持监测</w:t>
      </w:r>
      <w:bookmarkEnd w:id="455"/>
      <w:bookmarkEnd w:id="456"/>
    </w:p>
    <w:p>
      <w:pPr>
        <w:adjustRightInd w:val="0"/>
        <w:snapToGrid w:val="0"/>
        <w:spacing w:line="360" w:lineRule="auto"/>
        <w:ind w:firstLine="480" w:firstLineChars="200"/>
        <w:rPr>
          <w:rFonts w:ascii="Times New Roman" w:hAnsi="Times New Roman" w:eastAsia="仿宋_GB2312" w:cs="Times New Roman"/>
          <w:color w:val="auto"/>
          <w:kern w:val="0"/>
        </w:rPr>
      </w:pPr>
      <w:r>
        <w:rPr>
          <w:rFonts w:ascii="Times New Roman" w:hAnsi="Times New Roman" w:eastAsia="仿宋_GB2312" w:cs="Times New Roman"/>
          <w:color w:val="auto"/>
          <w:kern w:val="0"/>
        </w:rPr>
        <w:t>根据《国务院&lt;关于第一批清理规范89项国务院部门行政审批中介服务事项&gt;的决定》（国发[2015]58号文），建设单位应该按照经批准的水土保持方案，在开工前自行开展或委托相关单位开展监测。建设单位应在主体工程开工1个月内将《生产建设项目水土保持监测实施方案》（以下简称“实施方案”）报送</w:t>
      </w:r>
      <w:r>
        <w:rPr>
          <w:rFonts w:hint="eastAsia" w:ascii="Times New Roman" w:hAnsi="Times New Roman" w:eastAsia="仿宋_GB2312" w:cs="Times New Roman"/>
          <w:color w:val="auto"/>
          <w:kern w:val="0"/>
        </w:rPr>
        <w:t>青山湖区农业农村局</w:t>
      </w:r>
      <w:r>
        <w:rPr>
          <w:rFonts w:ascii="Times New Roman" w:hAnsi="Times New Roman" w:eastAsia="仿宋_GB2312" w:cs="Times New Roman"/>
          <w:color w:val="auto"/>
          <w:kern w:val="0"/>
        </w:rPr>
        <w:t>，监测单位应当按照《实施方案》开展监测工作。</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江西青山湖高新技术产业园区管理委员会</w:t>
      </w:r>
      <w:r>
        <w:rPr>
          <w:rFonts w:ascii="Times New Roman" w:hAnsi="Times New Roman" w:eastAsia="仿宋_GB2312" w:cs="Times New Roman"/>
          <w:color w:val="auto"/>
          <w:kern w:val="0"/>
        </w:rPr>
        <w:t>将通过公开招投标的方式确定具有监测能力的第三方专业机构，并委托其对园区进行全面的水土保持监测。区域内入驻生产建设单位应按照承诺制进行管理，水土保持监测工作按照有关规定执行。</w:t>
      </w:r>
    </w:p>
    <w:p>
      <w:pPr>
        <w:snapToGrid w:val="0"/>
        <w:spacing w:line="360" w:lineRule="auto"/>
        <w:ind w:firstLine="480" w:firstLineChars="200"/>
        <w:rPr>
          <w:rFonts w:hint="eastAsia" w:ascii="Times New Roman" w:hAnsi="Times New Roman" w:eastAsia="仿宋_GB2312" w:cs="Times New Roman"/>
          <w:color w:val="auto"/>
          <w:kern w:val="0"/>
        </w:rPr>
      </w:pPr>
      <w:r>
        <w:rPr>
          <w:rFonts w:hint="eastAsia" w:ascii="Times New Roman" w:hAnsi="Times New Roman" w:eastAsia="仿宋_GB2312" w:cs="Times New Roman"/>
          <w:color w:val="auto"/>
          <w:kern w:val="0"/>
        </w:rPr>
        <w:t>根据《水利部关于进一步深化“放管服”改革全面加强水土保持监管的意见》（水保〔2019〕160 号）文件规定，编制水土保持方案报告书的项目，应当依法开展水土保持监测工作。实行水土保持监测“绿黄红”三色评价，水土保持监测单位根据监测情况，在监测季报和总结报告等监测成果中提出“绿黄红”三色评价结论。三色评价采用评分法，满分为100分；得分80分及以上的为“绿”色，60分及以上不及80分的为“黄”色，不足60分的为“红”色。监测成果应当公开，生产建设单位应当在工程建设期间将水土保持监测季报在其官方网站公开，同时在业主项目部和施工项目部公开。水行政主管部门对监测评价结论为“红”色的项目，纳入重点监管对象。</w:t>
      </w:r>
    </w:p>
    <w:p>
      <w:pPr>
        <w:snapToGrid w:val="0"/>
        <w:spacing w:line="360" w:lineRule="auto"/>
        <w:ind w:firstLine="480" w:firstLineChars="200"/>
        <w:rPr>
          <w:rFonts w:hint="eastAsia" w:ascii="Times New Roman" w:hAnsi="Times New Roman" w:eastAsia="仿宋_GB2312" w:cs="Times New Roman"/>
          <w:color w:val="auto"/>
          <w:kern w:val="0"/>
        </w:rPr>
      </w:pPr>
      <w:r>
        <w:rPr>
          <w:rFonts w:hint="eastAsia" w:ascii="Times New Roman" w:hAnsi="Times New Roman" w:eastAsia="仿宋_GB2312" w:cs="Times New Roman"/>
          <w:color w:val="auto"/>
          <w:kern w:val="0"/>
        </w:rPr>
        <w:t>本工程水土保持监测的具体做法如下：</w:t>
      </w:r>
    </w:p>
    <w:p>
      <w:pPr>
        <w:snapToGrid w:val="0"/>
        <w:spacing w:line="360" w:lineRule="auto"/>
        <w:ind w:firstLine="480" w:firstLineChars="200"/>
        <w:rPr>
          <w:rFonts w:hint="eastAsia" w:ascii="Times New Roman" w:hAnsi="Times New Roman" w:eastAsia="仿宋_GB2312" w:cs="Times New Roman"/>
          <w:color w:val="auto"/>
          <w:kern w:val="0"/>
        </w:rPr>
      </w:pPr>
      <w:r>
        <w:rPr>
          <w:rFonts w:hint="eastAsia" w:ascii="Times New Roman" w:hAnsi="Times New Roman" w:eastAsia="仿宋_GB2312" w:cs="Times New Roman"/>
          <w:color w:val="auto"/>
          <w:kern w:val="0"/>
        </w:rPr>
        <w:t>（1）建设单位应及时自行或者委托具备相应技术条件的机构开展水土保持监测工作，并按时向水行政主管部门提交水土保持监测季报、年报和总结报告。</w:t>
      </w:r>
    </w:p>
    <w:p>
      <w:pPr>
        <w:snapToGrid w:val="0"/>
        <w:spacing w:line="360" w:lineRule="auto"/>
        <w:ind w:firstLine="480" w:firstLineChars="200"/>
        <w:rPr>
          <w:rFonts w:hint="eastAsia" w:ascii="Times New Roman" w:hAnsi="Times New Roman" w:eastAsia="仿宋_GB2312" w:cs="Times New Roman"/>
          <w:color w:val="auto"/>
          <w:kern w:val="0"/>
        </w:rPr>
      </w:pPr>
      <w:r>
        <w:rPr>
          <w:rFonts w:hint="eastAsia" w:ascii="Times New Roman" w:hAnsi="Times New Roman" w:eastAsia="仿宋_GB2312" w:cs="Times New Roman"/>
          <w:color w:val="auto"/>
          <w:kern w:val="0"/>
        </w:rPr>
        <w:t>（2）监测单位应按批复方案中的水土保持监测要求编制监测计划并实施监测工作，对原始监测资料进行系统汇总、整理和分析，按时完成水土保持监测季度报告、年度报告和总结报告，遇有重大水土流失事件时及时进行监测并提交报告。</w:t>
      </w:r>
    </w:p>
    <w:p>
      <w:pPr>
        <w:snapToGrid w:val="0"/>
        <w:spacing w:line="360" w:lineRule="auto"/>
        <w:ind w:firstLine="480" w:firstLineChars="200"/>
        <w:rPr>
          <w:rFonts w:ascii="Times New Roman" w:hAnsi="Times New Roman" w:eastAsia="仿宋_GB2312" w:cs="Times New Roman"/>
          <w:color w:val="auto"/>
          <w:szCs w:val="24"/>
        </w:rPr>
      </w:pPr>
      <w:r>
        <w:rPr>
          <w:rFonts w:hint="eastAsia" w:ascii="Times New Roman" w:hAnsi="Times New Roman" w:eastAsia="仿宋_GB2312" w:cs="Times New Roman"/>
          <w:color w:val="auto"/>
          <w:kern w:val="0"/>
        </w:rPr>
        <w:t>（3）监测单位须在生产建设项目水土保持设施完工验收会上向验收组汇报水土保持监测情况。</w:t>
      </w:r>
    </w:p>
    <w:p>
      <w:pPr>
        <w:keepNext/>
        <w:keepLines/>
        <w:spacing w:line="360" w:lineRule="auto"/>
        <w:outlineLvl w:val="1"/>
        <w:rPr>
          <w:rFonts w:ascii="Times New Roman" w:hAnsi="Times New Roman" w:eastAsia="仿宋_GB2312" w:cs="Times New Roman"/>
          <w:b/>
          <w:color w:val="auto"/>
          <w:sz w:val="32"/>
          <w:szCs w:val="20"/>
        </w:rPr>
      </w:pPr>
      <w:bookmarkStart w:id="468" w:name="_Toc54478325"/>
      <w:bookmarkStart w:id="469" w:name="_Toc21523"/>
      <w:r>
        <w:rPr>
          <w:rFonts w:ascii="Times New Roman" w:hAnsi="Times New Roman" w:eastAsia="仿宋_GB2312" w:cs="Times New Roman"/>
          <w:b/>
          <w:color w:val="auto"/>
          <w:sz w:val="32"/>
          <w:szCs w:val="20"/>
        </w:rPr>
        <w:t>8.</w:t>
      </w:r>
      <w:r>
        <w:rPr>
          <w:rFonts w:hint="eastAsia" w:ascii="Times New Roman" w:hAnsi="Times New Roman" w:eastAsia="仿宋_GB2312" w:cs="Times New Roman"/>
          <w:b/>
          <w:color w:val="auto"/>
          <w:sz w:val="32"/>
          <w:szCs w:val="20"/>
        </w:rPr>
        <w:t>5</w:t>
      </w:r>
      <w:r>
        <w:rPr>
          <w:rFonts w:ascii="Times New Roman" w:hAnsi="Times New Roman" w:eastAsia="仿宋_GB2312" w:cs="Times New Roman"/>
          <w:b/>
          <w:color w:val="auto"/>
          <w:sz w:val="32"/>
          <w:szCs w:val="20"/>
        </w:rPr>
        <w:t xml:space="preserve"> 水土保持监理</w:t>
      </w:r>
      <w:bookmarkEnd w:id="468"/>
      <w:bookmarkEnd w:id="469"/>
    </w:p>
    <w:p>
      <w:pPr>
        <w:adjustRightInd w:val="0"/>
        <w:snapToGrid w:val="0"/>
        <w:spacing w:line="360" w:lineRule="auto"/>
        <w:ind w:firstLine="480" w:firstLineChars="200"/>
        <w:rPr>
          <w:rFonts w:ascii="Times New Roman" w:hAnsi="Times New Roman" w:eastAsia="仿宋_GB2312" w:cs="Times New Roman"/>
          <w:color w:val="auto"/>
          <w:kern w:val="0"/>
        </w:rPr>
      </w:pPr>
      <w:r>
        <w:rPr>
          <w:rFonts w:ascii="Times New Roman" w:hAnsi="Times New Roman" w:eastAsia="仿宋_GB2312" w:cs="Times New Roman"/>
          <w:color w:val="auto"/>
          <w:kern w:val="0"/>
        </w:rPr>
        <w:t>水土保持监理是落实水土保持方案的重要措施，通过水土保持监理可为有效防治水土流失提供质量保障，确保达到水土保持方案提出的防治目标和水土保持效益，同时为水土保持竣工验收工作奠定基础。</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ascii="Times New Roman" w:hAnsi="Times New Roman" w:eastAsia="仿宋_GB2312" w:cs="Times New Roman"/>
          <w:color w:val="auto"/>
          <w:kern w:val="0"/>
        </w:rPr>
        <w:t>根据《水利部关于进一步深化“放管服”改革全面加强水土保持监管的意见》相关规定，凡主体工程开展监理工作的项目，应当按照水土保持监理标准和规范开展水土保持工程施工监理。其中，征占地面积在20公顷以上或者挖填土石方总量在20万立方米以上的项目，应当配备具有水土保持专业监理资格的工程师，征占地面积在200公顷以上或者挖填土石方总量在200万立方米以上的项目，应当由具有水土保持工程施工监理专业资质的单位承担监理任务。</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ascii="Times New Roman" w:hAnsi="Times New Roman" w:eastAsia="仿宋_GB2312" w:cs="Times New Roman"/>
          <w:color w:val="auto"/>
          <w:kern w:val="0"/>
        </w:rPr>
        <w:t>现场监理工程师应按时进场并及时组织设计单位向施工单位进行设计交底，审查施工单位提交的水土保持施工组织设计报告，经批准后施工单位方可进行开工申请。工程施工期间，根据相关规范，由主体工程开展相应的水土保持监理工作，在工程水土保持专项措施实施过程中，以水土保持监理工程师为依托，与项目法人、承包商共同形成三方相互制约的合同管理模式，以期达到节约投资，保证进度，提高水土保持工程施工质量的目的。</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ascii="Times New Roman" w:hAnsi="Times New Roman" w:eastAsia="仿宋_GB2312" w:cs="Times New Roman"/>
          <w:color w:val="auto"/>
          <w:kern w:val="0"/>
        </w:rPr>
        <w:t>监理过程中，现场水土保持监理人员按照国家和地方政府有关水土保持法规，检查工程及影响区域的各项水土保持工作；以巡视方式定期对各施工区域的各项水土保持措施的落实情况，施工过程中的临时措施应保存影响资料，按期编制水土保持监理工作报告（季报、年报），作为开发建设项目水土保持设施验收基础和水土保持验收报告必备的专项报告。具体监理任务如下：</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（1）</w:t>
      </w:r>
      <w:r>
        <w:rPr>
          <w:rFonts w:ascii="Times New Roman" w:hAnsi="Times New Roman" w:eastAsia="仿宋_GB2312" w:cs="Times New Roman"/>
          <w:color w:val="auto"/>
          <w:kern w:val="0"/>
        </w:rPr>
        <w:t>对本</w:t>
      </w:r>
      <w:r>
        <w:rPr>
          <w:rFonts w:hint="eastAsia" w:ascii="Times New Roman" w:hAnsi="Times New Roman" w:eastAsia="仿宋_GB2312" w:cs="Times New Roman"/>
          <w:color w:val="auto"/>
          <w:kern w:val="0"/>
          <w:lang w:val="en-US" w:eastAsia="zh-CN"/>
        </w:rPr>
        <w:t>区域评估报告</w:t>
      </w:r>
      <w:r>
        <w:rPr>
          <w:rFonts w:ascii="Times New Roman" w:hAnsi="Times New Roman" w:eastAsia="仿宋_GB2312" w:cs="Times New Roman"/>
          <w:color w:val="auto"/>
          <w:kern w:val="0"/>
        </w:rPr>
        <w:t>提出的所有水土保持项目及相关水土保持施工技术要求进行现场监督检查，采取检查、旁站和指令文件等监理方式。</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（2）</w:t>
      </w:r>
      <w:r>
        <w:rPr>
          <w:rFonts w:ascii="Times New Roman" w:hAnsi="Times New Roman" w:eastAsia="仿宋_GB2312" w:cs="Times New Roman"/>
          <w:color w:val="auto"/>
          <w:kern w:val="0"/>
        </w:rPr>
        <w:t>根据有关法律、法规及工程承包合同中的水土保持要求，对工程项目承包商的水土保持工作进行抽查、监督，监理工程建设的各项施工活动的水土保持措施是否与工程建设同步实施、同时投产使用和同时验收等提出要求，限期完成有关水土保持工作。</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（3）</w:t>
      </w:r>
      <w:r>
        <w:rPr>
          <w:rFonts w:ascii="Times New Roman" w:hAnsi="Times New Roman" w:eastAsia="仿宋_GB2312" w:cs="Times New Roman"/>
          <w:color w:val="auto"/>
          <w:kern w:val="0"/>
        </w:rPr>
        <w:t>对工程承包商的水土保持季报、年报进行审查，提出审查、修改意见。</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（4）</w:t>
      </w:r>
      <w:r>
        <w:rPr>
          <w:rFonts w:ascii="Times New Roman" w:hAnsi="Times New Roman" w:eastAsia="仿宋_GB2312" w:cs="Times New Roman"/>
          <w:color w:val="auto"/>
          <w:kern w:val="0"/>
        </w:rPr>
        <w:t>依据有关法律法规及工程承包合同，协助工程建设单位环境管理部门处理各种水土保持纠纷事件。</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（5）</w:t>
      </w:r>
      <w:r>
        <w:rPr>
          <w:rFonts w:ascii="Times New Roman" w:hAnsi="Times New Roman" w:eastAsia="仿宋_GB2312" w:cs="Times New Roman"/>
          <w:color w:val="auto"/>
          <w:kern w:val="0"/>
        </w:rPr>
        <w:t>编制水土保持监理工作报告报送工程建设单位管理部门，作为开发建设项目水土保持设施验收的基础和水土保持验收报告必备的专项报告。工作报告主要对水土保持监理工作进行总结，提出存在的重大水土保持问题和解决问题的方法，以及水土保持监理工作计划安排和工作重点。</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hint="eastAsia" w:ascii="Times New Roman" w:hAnsi="Times New Roman" w:eastAsia="仿宋_GB2312" w:cs="Times New Roman"/>
          <w:color w:val="auto"/>
          <w:kern w:val="0"/>
        </w:rPr>
        <w:t>（6）</w:t>
      </w:r>
      <w:r>
        <w:rPr>
          <w:rFonts w:ascii="Times New Roman" w:hAnsi="Times New Roman" w:eastAsia="仿宋_GB2312" w:cs="Times New Roman"/>
          <w:color w:val="auto"/>
          <w:kern w:val="0"/>
        </w:rPr>
        <w:t>监理工作应定期向当地水行政主管部门汇报工程建设的水土保持情况，呈报水土保持工作报告及工程水土保持监理成果，接受水行政主管部门的监督检查。</w:t>
      </w:r>
    </w:p>
    <w:p>
      <w:pPr>
        <w:widowControl/>
        <w:snapToGrid w:val="0"/>
        <w:spacing w:line="360" w:lineRule="auto"/>
        <w:ind w:firstLine="480" w:firstLineChars="200"/>
        <w:jc w:val="left"/>
        <w:rPr>
          <w:rFonts w:ascii="Times New Roman" w:hAnsi="Times New Roman" w:eastAsia="仿宋_GB2312" w:cs="Times New Roman"/>
          <w:color w:val="auto"/>
          <w:szCs w:val="24"/>
        </w:rPr>
      </w:pPr>
      <w:r>
        <w:rPr>
          <w:rFonts w:hint="eastAsia" w:ascii="Times New Roman" w:hAnsi="Times New Roman" w:eastAsia="仿宋_GB2312" w:cs="Times New Roman"/>
          <w:color w:val="auto"/>
          <w:kern w:val="0"/>
        </w:rPr>
        <w:t>（7）</w:t>
      </w:r>
      <w:r>
        <w:rPr>
          <w:rFonts w:ascii="Times New Roman" w:hAnsi="Times New Roman" w:eastAsia="仿宋_GB2312" w:cs="Times New Roman"/>
          <w:color w:val="auto"/>
          <w:kern w:val="0"/>
        </w:rPr>
        <w:t>监理成果是开发建设项目水土保持设施验收的基础和验收报告的专项报告，应定期归档。</w:t>
      </w:r>
    </w:p>
    <w:p>
      <w:pPr>
        <w:keepNext/>
        <w:keepLines/>
        <w:spacing w:line="360" w:lineRule="auto"/>
        <w:outlineLvl w:val="1"/>
        <w:rPr>
          <w:rFonts w:ascii="Times New Roman" w:hAnsi="Times New Roman" w:eastAsia="仿宋_GB2312" w:cs="Times New Roman"/>
          <w:b/>
          <w:color w:val="auto"/>
          <w:sz w:val="32"/>
          <w:szCs w:val="20"/>
        </w:rPr>
      </w:pPr>
      <w:bookmarkStart w:id="470" w:name="_Toc10958"/>
      <w:bookmarkStart w:id="471" w:name="_Toc54478326"/>
      <w:r>
        <w:rPr>
          <w:rFonts w:ascii="Times New Roman" w:hAnsi="Times New Roman" w:eastAsia="仿宋_GB2312" w:cs="Times New Roman"/>
          <w:b/>
          <w:color w:val="auto"/>
          <w:sz w:val="32"/>
          <w:szCs w:val="20"/>
        </w:rPr>
        <w:t>8.</w:t>
      </w:r>
      <w:r>
        <w:rPr>
          <w:rFonts w:hint="eastAsia" w:ascii="Times New Roman" w:hAnsi="Times New Roman" w:eastAsia="仿宋_GB2312" w:cs="Times New Roman"/>
          <w:b/>
          <w:color w:val="auto"/>
          <w:sz w:val="32"/>
          <w:szCs w:val="20"/>
        </w:rPr>
        <w:t>6</w:t>
      </w:r>
      <w:bookmarkEnd w:id="457"/>
      <w:bookmarkEnd w:id="458"/>
      <w:bookmarkEnd w:id="459"/>
      <w:bookmarkEnd w:id="460"/>
      <w:bookmarkEnd w:id="461"/>
      <w:r>
        <w:rPr>
          <w:rFonts w:ascii="Times New Roman" w:hAnsi="Times New Roman" w:eastAsia="仿宋_GB2312" w:cs="Times New Roman"/>
          <w:b/>
          <w:color w:val="auto"/>
          <w:sz w:val="32"/>
          <w:szCs w:val="20"/>
        </w:rPr>
        <w:t>水土保持施工</w:t>
      </w:r>
      <w:bookmarkEnd w:id="462"/>
      <w:bookmarkEnd w:id="463"/>
      <w:bookmarkEnd w:id="464"/>
      <w:bookmarkEnd w:id="465"/>
      <w:bookmarkEnd w:id="466"/>
      <w:bookmarkEnd w:id="467"/>
      <w:bookmarkEnd w:id="470"/>
      <w:bookmarkEnd w:id="471"/>
    </w:p>
    <w:p>
      <w:pPr>
        <w:adjustRightInd w:val="0"/>
        <w:snapToGrid w:val="0"/>
        <w:spacing w:line="360" w:lineRule="auto"/>
        <w:ind w:firstLine="480" w:firstLineChars="200"/>
        <w:rPr>
          <w:rFonts w:ascii="Times New Roman" w:hAnsi="Times New Roman" w:eastAsia="仿宋_GB2312" w:cs="Times New Roman"/>
          <w:color w:val="auto"/>
          <w:kern w:val="0"/>
        </w:rPr>
      </w:pPr>
      <w:r>
        <w:rPr>
          <w:rFonts w:ascii="Times New Roman" w:hAnsi="Times New Roman" w:eastAsia="仿宋_GB2312" w:cs="Times New Roman"/>
          <w:color w:val="auto"/>
          <w:kern w:val="0"/>
        </w:rPr>
        <w:t>按照减少扰动地表面积、减少扰动裸露时间、先拦后弃、先工程措施再植物措施的原则安排水土保持措施的实施。施工进度应能保证各水土保持措施施工的组织性、计划性、有序性；材料、资金、设备等资源的有效配置；还应考虑施工顺序、施工季节、施工质量和分期实施；确保各水土保持措施与主体工程协调、按防治分区并按期完成防治任务。</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ascii="Times New Roman" w:hAnsi="Times New Roman" w:eastAsia="仿宋_GB2312" w:cs="Times New Roman"/>
          <w:color w:val="auto"/>
          <w:kern w:val="0"/>
        </w:rPr>
        <w:t>工程措施宜安排在非主汛期、大的土方工程宜避开雨天及大风季节、植物措施应以春季和秋季为主，临时措施应伴随施工的全过程。</w:t>
      </w:r>
    </w:p>
    <w:p>
      <w:pPr>
        <w:adjustRightInd w:val="0"/>
        <w:snapToGrid w:val="0"/>
        <w:spacing w:line="360" w:lineRule="auto"/>
        <w:ind w:firstLine="480" w:firstLineChars="200"/>
        <w:rPr>
          <w:rFonts w:ascii="Times New Roman" w:hAnsi="Times New Roman" w:eastAsia="仿宋_GB2312" w:cs="Times New Roman"/>
          <w:color w:val="auto"/>
          <w:kern w:val="0"/>
        </w:rPr>
      </w:pPr>
      <w:r>
        <w:rPr>
          <w:rFonts w:ascii="Times New Roman" w:hAnsi="Times New Roman" w:eastAsia="仿宋_GB2312" w:cs="Times New Roman"/>
          <w:color w:val="auto"/>
          <w:kern w:val="0"/>
        </w:rPr>
        <w:t>建设单位应实施公众参与制度，接受社会监督，加强对施工技术人员水土保持法律、法规的宣传工作，提高其水土保持法律意识，形成全社会支持水土保持生态环境建设的局面。承包商要接受当地水行政管理部门的监督检查，建设单位应加强对施工技术人员水土保持法律、法规的宣传工作，提高其水土保持法律意识。施工过程中要合理配备相应专业技术人员，对施工队伍进行技术培训，严格按照有关规范和设计标准的要求，根据水土保持方案中的防护措施（包括临时防护措施）、水土保持工程设计图及施工安排，做到精心施工、文明施工。</w:t>
      </w:r>
    </w:p>
    <w:p>
      <w:pPr>
        <w:snapToGrid w:val="0"/>
        <w:spacing w:line="360" w:lineRule="auto"/>
        <w:ind w:firstLine="482"/>
        <w:rPr>
          <w:rFonts w:ascii="Times New Roman" w:hAnsi="Times New Roman" w:eastAsia="仿宋_GB2312" w:cs="Times New Roman"/>
          <w:color w:val="auto"/>
          <w:szCs w:val="24"/>
        </w:rPr>
      </w:pPr>
      <w:r>
        <w:rPr>
          <w:rFonts w:ascii="Times New Roman" w:hAnsi="Times New Roman" w:eastAsia="仿宋_GB2312" w:cs="Times New Roman"/>
          <w:color w:val="auto"/>
          <w:kern w:val="0"/>
        </w:rPr>
        <w:t>水土保持措施完工后，建设单位应重视并加强管护水保措施，建立专门的管护体系，明确专门管护人员，确保责任到人。管护人员应定期对水保措施进行全面检查，排水、沉沙要及时清淤，如有损毁，应及时修复，确保各项措施正常使用、发挥防止水土流失的功能。</w:t>
      </w:r>
    </w:p>
    <w:p>
      <w:pPr>
        <w:keepNext/>
        <w:keepLines/>
        <w:spacing w:line="360" w:lineRule="auto"/>
        <w:outlineLvl w:val="1"/>
        <w:rPr>
          <w:rFonts w:ascii="Times New Roman" w:hAnsi="Times New Roman" w:eastAsia="仿宋_GB2312" w:cs="Times New Roman"/>
          <w:b/>
          <w:color w:val="auto"/>
          <w:sz w:val="32"/>
          <w:szCs w:val="20"/>
        </w:rPr>
      </w:pPr>
      <w:bookmarkStart w:id="472" w:name="_Toc23236"/>
      <w:bookmarkStart w:id="473" w:name="_Toc514431492"/>
      <w:bookmarkStart w:id="474" w:name="_Toc25038"/>
      <w:bookmarkStart w:id="475" w:name="_Toc514432636"/>
      <w:bookmarkStart w:id="476" w:name="_Toc514430882"/>
      <w:bookmarkStart w:id="477" w:name="_Toc499039910"/>
      <w:bookmarkStart w:id="478" w:name="_Toc459885959"/>
      <w:bookmarkStart w:id="479" w:name="_Toc29075"/>
      <w:bookmarkStart w:id="480" w:name="_Toc5353"/>
      <w:bookmarkStart w:id="481" w:name="_Toc4734"/>
      <w:bookmarkStart w:id="482" w:name="_Toc439243948"/>
      <w:bookmarkStart w:id="483" w:name="_Toc26260"/>
      <w:bookmarkStart w:id="484" w:name="_Toc54478327"/>
      <w:bookmarkStart w:id="485" w:name="_Toc23358"/>
      <w:r>
        <w:rPr>
          <w:rFonts w:ascii="Times New Roman" w:hAnsi="Times New Roman" w:eastAsia="仿宋_GB2312" w:cs="Times New Roman"/>
          <w:b/>
          <w:color w:val="auto"/>
          <w:sz w:val="32"/>
          <w:szCs w:val="20"/>
        </w:rPr>
        <w:t>8.</w:t>
      </w:r>
      <w:bookmarkEnd w:id="472"/>
      <w:bookmarkEnd w:id="473"/>
      <w:bookmarkEnd w:id="474"/>
      <w:bookmarkEnd w:id="475"/>
      <w:bookmarkEnd w:id="476"/>
      <w:bookmarkEnd w:id="477"/>
      <w:bookmarkEnd w:id="478"/>
      <w:bookmarkEnd w:id="479"/>
      <w:bookmarkEnd w:id="480"/>
      <w:bookmarkEnd w:id="481"/>
      <w:bookmarkEnd w:id="482"/>
      <w:bookmarkEnd w:id="483"/>
      <w:r>
        <w:rPr>
          <w:rFonts w:hint="eastAsia" w:ascii="Times New Roman" w:hAnsi="Times New Roman" w:eastAsia="仿宋_GB2312" w:cs="Times New Roman"/>
          <w:b/>
          <w:color w:val="auto"/>
          <w:sz w:val="32"/>
          <w:szCs w:val="20"/>
        </w:rPr>
        <w:t>7</w:t>
      </w:r>
      <w:r>
        <w:rPr>
          <w:rFonts w:ascii="Times New Roman" w:hAnsi="Times New Roman" w:eastAsia="仿宋_GB2312" w:cs="Times New Roman"/>
          <w:b/>
          <w:color w:val="auto"/>
          <w:sz w:val="32"/>
          <w:szCs w:val="20"/>
        </w:rPr>
        <w:t>水土保持设施验收</w:t>
      </w:r>
      <w:bookmarkEnd w:id="484"/>
      <w:bookmarkEnd w:id="485"/>
    </w:p>
    <w:p>
      <w:pPr>
        <w:adjustRightInd w:val="0"/>
        <w:snapToGrid w:val="0"/>
        <w:spacing w:line="360" w:lineRule="auto"/>
        <w:ind w:firstLine="480" w:firstLineChars="200"/>
        <w:rPr>
          <w:rFonts w:ascii="Times New Roman" w:hAnsi="Times New Roman" w:eastAsia="仿宋_GB2312" w:cs="Times New Roman"/>
          <w:color w:val="auto"/>
          <w:kern w:val="0"/>
        </w:rPr>
      </w:pPr>
      <w:r>
        <w:rPr>
          <w:rFonts w:ascii="Times New Roman" w:hAnsi="Times New Roman" w:eastAsia="仿宋_GB2312" w:cs="Times New Roman"/>
          <w:color w:val="auto"/>
          <w:kern w:val="0"/>
        </w:rPr>
        <w:t>评估区域各项水土保持技术指标达到验收标准后，建设单位应按照《水利部关于加强事中事后监管规范生产建设项目水土保持设施自主验收的通知》（水保〔2017〕365号）、《水利部办公厅关于印发&lt;生产建设项目水土保持设施自主验收规程（试行）&gt;的通知》（办水保〔2018〕133号）的要求委托具有相应业务能力的第三方机构编制《水土保持设施验收报告》，按规定程序组织进行水土保持设施验收。</w:t>
      </w:r>
    </w:p>
    <w:p>
      <w:pPr>
        <w:snapToGrid w:val="0"/>
        <w:spacing w:line="360" w:lineRule="auto"/>
        <w:ind w:firstLine="482"/>
        <w:rPr>
          <w:rFonts w:ascii="Times New Roman" w:hAnsi="Times New Roman" w:eastAsia="仿宋_GB2312" w:cs="Times New Roman"/>
          <w:color w:val="auto"/>
          <w:kern w:val="0"/>
        </w:rPr>
      </w:pPr>
      <w:r>
        <w:rPr>
          <w:rFonts w:ascii="Times New Roman" w:hAnsi="Times New Roman" w:eastAsia="仿宋_GB2312" w:cs="Times New Roman"/>
          <w:color w:val="auto"/>
          <w:kern w:val="0"/>
        </w:rPr>
        <w:t>水土保持设施竣工验收成立由建设单位、工程设计、方案编制、施工、监理、水土保持监测、验收报告编制等单位组成的验收组，召开水土保持设施验收会议，审议《水土保持监测总结报告》、《水土保持设施验收报告》等验收成果，提出《水土保持设施验收鉴定书》。本工程水土保持工作和工程设施按照验收会议的意见整改到位后，将《水土保持设施验收报告》、《水土保持监测总结报告》、《水土保持设施验收鉴定书》3项验收成果资料在建设官方网站上向社会公示，并处理好社会公众对项目提出的问题和意见。验收成果公示期满20个工作日后，建设单位应整理水土保持设施验收成果资料，填写《生产建设项目水土保持设施验收备案登记表》向</w:t>
      </w:r>
      <w:r>
        <w:rPr>
          <w:rFonts w:hint="eastAsia" w:ascii="Times New Roman" w:hAnsi="Times New Roman" w:eastAsia="仿宋_GB2312" w:cs="Times New Roman"/>
          <w:color w:val="auto"/>
          <w:kern w:val="0"/>
        </w:rPr>
        <w:t>青山湖区农业农村局</w:t>
      </w:r>
      <w:r>
        <w:rPr>
          <w:rFonts w:ascii="Times New Roman" w:hAnsi="Times New Roman" w:eastAsia="仿宋_GB2312" w:cs="Times New Roman"/>
          <w:color w:val="auto"/>
          <w:kern w:val="0"/>
        </w:rPr>
        <w:t>报告备案，并取得备案证明文件。</w:t>
      </w:r>
    </w:p>
    <w:p>
      <w:pPr>
        <w:snapToGrid w:val="0"/>
        <w:spacing w:line="360" w:lineRule="auto"/>
        <w:ind w:firstLine="482"/>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生产建设单位自主验收水土保持设施，要严格执行水土保持标准、规范、规程确定的验收标准和条件，对存在下列情形之一的，</w:t>
      </w:r>
      <w:r>
        <w:rPr>
          <w:rFonts w:hint="eastAsia" w:ascii="Times New Roman" w:hAnsi="Times New Roman" w:eastAsia="仿宋_GB2312" w:cs="Times New Roman"/>
          <w:b/>
          <w:color w:val="auto"/>
          <w:szCs w:val="24"/>
        </w:rPr>
        <w:t>不得通过水土保持设施验收：</w:t>
      </w:r>
    </w:p>
    <w:p>
      <w:pPr>
        <w:snapToGrid w:val="0"/>
        <w:spacing w:line="360" w:lineRule="auto"/>
        <w:ind w:firstLine="482"/>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1</w:t>
      </w:r>
      <w:r>
        <w:rPr>
          <w:rFonts w:hint="eastAsia" w:ascii="Times New Roman" w:hAnsi="Times New Roman" w:eastAsia="仿宋_GB2312" w:cs="Times New Roman"/>
          <w:color w:val="auto"/>
          <w:szCs w:val="24"/>
        </w:rPr>
        <w:t>）未依法依规履行水土保持方案及重大变更的编报审批程序的；</w:t>
      </w:r>
    </w:p>
    <w:p>
      <w:pPr>
        <w:snapToGrid w:val="0"/>
        <w:spacing w:line="360" w:lineRule="auto"/>
        <w:ind w:firstLine="482"/>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2</w:t>
      </w:r>
      <w:r>
        <w:rPr>
          <w:rFonts w:hint="eastAsia" w:ascii="Times New Roman" w:hAnsi="Times New Roman" w:eastAsia="仿宋_GB2312" w:cs="Times New Roman"/>
          <w:color w:val="auto"/>
          <w:szCs w:val="24"/>
        </w:rPr>
        <w:t>）未依法依规开展水土保持监测的；</w:t>
      </w:r>
    </w:p>
    <w:p>
      <w:pPr>
        <w:snapToGrid w:val="0"/>
        <w:spacing w:line="360" w:lineRule="auto"/>
        <w:ind w:firstLine="482"/>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3</w:t>
      </w:r>
      <w:r>
        <w:rPr>
          <w:rFonts w:hint="eastAsia" w:ascii="Times New Roman" w:hAnsi="Times New Roman" w:eastAsia="仿宋_GB2312" w:cs="Times New Roman"/>
          <w:color w:val="auto"/>
          <w:szCs w:val="24"/>
        </w:rPr>
        <w:t>）未依法依规开展水土保持监理的；</w:t>
      </w:r>
    </w:p>
    <w:p>
      <w:pPr>
        <w:snapToGrid w:val="0"/>
        <w:spacing w:line="360" w:lineRule="auto"/>
        <w:ind w:firstLine="482"/>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4</w:t>
      </w:r>
      <w:r>
        <w:rPr>
          <w:rFonts w:hint="eastAsia" w:ascii="Times New Roman" w:hAnsi="Times New Roman" w:eastAsia="仿宋_GB2312" w:cs="Times New Roman"/>
          <w:color w:val="auto"/>
          <w:szCs w:val="24"/>
        </w:rPr>
        <w:t>）废弃土（石、渣）未堆放在经批准的水土保持方案确定的专门存放地的；</w:t>
      </w:r>
    </w:p>
    <w:p>
      <w:pPr>
        <w:snapToGrid w:val="0"/>
        <w:spacing w:line="360" w:lineRule="auto"/>
        <w:ind w:firstLine="482"/>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5</w:t>
      </w:r>
      <w:r>
        <w:rPr>
          <w:rFonts w:hint="eastAsia" w:ascii="Times New Roman" w:hAnsi="Times New Roman" w:eastAsia="仿宋_GB2312" w:cs="Times New Roman"/>
          <w:color w:val="auto"/>
          <w:szCs w:val="24"/>
        </w:rPr>
        <w:t>）水土保持措施体系、等级和标准未按经批准的水土保持方案要求落实的；</w:t>
      </w:r>
    </w:p>
    <w:p>
      <w:pPr>
        <w:snapToGrid w:val="0"/>
        <w:spacing w:line="360" w:lineRule="auto"/>
        <w:ind w:firstLine="482"/>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6</w:t>
      </w:r>
      <w:r>
        <w:rPr>
          <w:rFonts w:hint="eastAsia" w:ascii="Times New Roman" w:hAnsi="Times New Roman" w:eastAsia="仿宋_GB2312" w:cs="Times New Roman"/>
          <w:color w:val="auto"/>
          <w:szCs w:val="24"/>
        </w:rPr>
        <w:t>）水土流失防治指标未达到经批准的水土保持方案要求的；</w:t>
      </w:r>
    </w:p>
    <w:p>
      <w:pPr>
        <w:snapToGrid w:val="0"/>
        <w:spacing w:line="360" w:lineRule="auto"/>
        <w:ind w:firstLine="482"/>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7</w:t>
      </w:r>
      <w:r>
        <w:rPr>
          <w:rFonts w:hint="eastAsia" w:ascii="Times New Roman" w:hAnsi="Times New Roman" w:eastAsia="仿宋_GB2312" w:cs="Times New Roman"/>
          <w:color w:val="auto"/>
          <w:szCs w:val="24"/>
        </w:rPr>
        <w:t>）水土保持分部工程和单位工程未经验收或验收不合格的；</w:t>
      </w:r>
    </w:p>
    <w:p>
      <w:pPr>
        <w:snapToGrid w:val="0"/>
        <w:spacing w:line="360" w:lineRule="auto"/>
        <w:ind w:firstLine="482"/>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8</w:t>
      </w:r>
      <w:r>
        <w:rPr>
          <w:rFonts w:hint="eastAsia" w:ascii="Times New Roman" w:hAnsi="Times New Roman" w:eastAsia="仿宋_GB2312" w:cs="Times New Roman"/>
          <w:color w:val="auto"/>
          <w:szCs w:val="24"/>
        </w:rPr>
        <w:t>）水土保持设施验收报告、水土保持监测总结报告等材料弄虚作假或存在重大技术问题的；</w:t>
      </w:r>
    </w:p>
    <w:p>
      <w:pPr>
        <w:snapToGrid w:val="0"/>
        <w:spacing w:line="360" w:lineRule="auto"/>
        <w:ind w:firstLine="482"/>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9</w:t>
      </w:r>
      <w:r>
        <w:rPr>
          <w:rFonts w:hint="eastAsia" w:ascii="Times New Roman" w:hAnsi="Times New Roman" w:eastAsia="仿宋_GB2312" w:cs="Times New Roman"/>
          <w:color w:val="auto"/>
          <w:szCs w:val="24"/>
        </w:rPr>
        <w:t>）未依法依规缴纳水土保持补偿费的；</w:t>
      </w:r>
    </w:p>
    <w:p>
      <w:pPr>
        <w:snapToGrid w:val="0"/>
        <w:spacing w:line="360" w:lineRule="auto"/>
        <w:ind w:firstLine="482"/>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w:t>
      </w:r>
      <w:r>
        <w:rPr>
          <w:rFonts w:ascii="Times New Roman" w:hAnsi="Times New Roman" w:eastAsia="仿宋_GB2312" w:cs="Times New Roman"/>
          <w:color w:val="auto"/>
          <w:szCs w:val="24"/>
        </w:rPr>
        <w:t>10</w:t>
      </w:r>
      <w:r>
        <w:rPr>
          <w:rFonts w:hint="eastAsia" w:ascii="Times New Roman" w:hAnsi="Times New Roman" w:eastAsia="仿宋_GB2312" w:cs="Times New Roman"/>
          <w:color w:val="auto"/>
          <w:szCs w:val="24"/>
        </w:rPr>
        <w:t>）存在其它不符合相关法律法规规定情形的。</w:t>
      </w:r>
    </w:p>
    <w:p>
      <w:pPr>
        <w:snapToGrid w:val="0"/>
        <w:spacing w:line="360" w:lineRule="auto"/>
        <w:ind w:firstLine="480"/>
        <w:rPr>
          <w:rFonts w:ascii="Times New Roman" w:hAnsi="Times New Roman" w:eastAsia="仿宋_GB2312" w:cs="Times New Roman"/>
          <w:color w:val="auto"/>
          <w:szCs w:val="24"/>
        </w:rPr>
      </w:pPr>
      <w:r>
        <w:rPr>
          <w:rFonts w:hint="eastAsia" w:ascii="Times New Roman" w:hAnsi="Times New Roman" w:eastAsia="仿宋_GB2312" w:cs="Times New Roman"/>
          <w:color w:val="auto"/>
          <w:szCs w:val="24"/>
        </w:rPr>
        <w:t>建设单位、设计单位、</w:t>
      </w:r>
      <w:r>
        <w:rPr>
          <w:rFonts w:hint="eastAsia" w:ascii="Times New Roman" w:hAnsi="Times New Roman" w:eastAsia="仿宋_GB2312" w:cs="Times New Roman"/>
          <w:color w:val="auto"/>
          <w:szCs w:val="24"/>
          <w:lang w:val="en-US" w:eastAsia="zh-CN"/>
        </w:rPr>
        <w:t>评估报告</w:t>
      </w:r>
      <w:r>
        <w:rPr>
          <w:rFonts w:hint="eastAsia" w:ascii="Times New Roman" w:hAnsi="Times New Roman" w:eastAsia="仿宋_GB2312" w:cs="Times New Roman"/>
          <w:color w:val="auto"/>
          <w:szCs w:val="24"/>
        </w:rPr>
        <w:t>编制单位、施工单位、监理单位、监测单位及验收报告编制单位应当参加现场验收，并在验收会上分别向验收组汇报水土保持措施实施、设计、</w:t>
      </w:r>
      <w:r>
        <w:rPr>
          <w:rFonts w:hint="eastAsia" w:ascii="Times New Roman" w:hAnsi="Times New Roman" w:eastAsia="仿宋_GB2312" w:cs="Times New Roman"/>
          <w:color w:val="auto"/>
          <w:szCs w:val="24"/>
          <w:lang w:val="en-US" w:eastAsia="zh-CN"/>
        </w:rPr>
        <w:t>评估报告</w:t>
      </w:r>
      <w:r>
        <w:rPr>
          <w:rFonts w:hint="eastAsia" w:ascii="Times New Roman" w:hAnsi="Times New Roman" w:eastAsia="仿宋_GB2312" w:cs="Times New Roman"/>
          <w:color w:val="auto"/>
          <w:szCs w:val="24"/>
        </w:rPr>
        <w:t>编制、施工、监理、监测和验收报告编制情况。</w:t>
      </w:r>
      <w:bookmarkEnd w:id="418"/>
      <w:bookmarkEnd w:id="432"/>
      <w:bookmarkEnd w:id="433"/>
      <w:bookmarkEnd w:id="434"/>
      <w:bookmarkEnd w:id="435"/>
      <w:bookmarkEnd w:id="436"/>
      <w:bookmarkEnd w:id="437"/>
      <w:bookmarkEnd w:id="438"/>
      <w:bookmarkEnd w:id="439"/>
    </w:p>
    <w:sectPr>
      <w:headerReference r:id="rId45"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Calibri Light">
    <w:panose1 w:val="020F0302020204030204"/>
    <w:charset w:val="00"/>
    <w:family w:val="swiss"/>
    <w:pitch w:val="default"/>
    <w:sig w:usb0="A00002EF" w:usb1="4000207B" w:usb2="00000000" w:usb3="00000000" w:csb0="2000019F" w:csb1="00000000"/>
  </w:font>
  <w:font w:name="Cambria">
    <w:panose1 w:val="02040503050406030204"/>
    <w:charset w:val="00"/>
    <w:family w:val="roman"/>
    <w:pitch w:val="default"/>
    <w:sig w:usb0="E00002FF" w:usb1="400004FF" w:usb2="00000000" w:usb3="00000000" w:csb0="2000019F" w:csb1="00000000"/>
  </w:font>
  <w:font w:name="Arial Unicode MS">
    <w:altName w:val="宋体"/>
    <w:panose1 w:val="020B0604020202020204"/>
    <w:charset w:val="86"/>
    <w:family w:val="swiss"/>
    <w:pitch w:val="default"/>
    <w:sig w:usb0="00000000" w:usb1="00000000" w:usb2="0000003F" w:usb3="00000000" w:csb0="003F01F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Adobe 宋体 Std L">
    <w:altName w:val="宋体"/>
    <w:panose1 w:val="00000000000000000000"/>
    <w:charset w:val="86"/>
    <w:family w:val="roman"/>
    <w:pitch w:val="default"/>
    <w:sig w:usb0="00000000" w:usb1="00000000" w:usb2="00000016" w:usb3="00000000" w:csb0="00060007" w:csb1="00000000"/>
  </w:font>
  <w:font w:name="Cambria Math">
    <w:panose1 w:val="02040503050406030204"/>
    <w:charset w:val="00"/>
    <w:family w:val="roman"/>
    <w:pitch w:val="default"/>
    <w:sig w:usb0="E00002FF" w:usb1="420024FF" w:usb2="00000000" w:usb3="00000000" w:csb0="2000019F"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Bdr>
        <w:top w:val="none" w:color="auto" w:sz="0" w:space="0"/>
      </w:pBdr>
      <w:tabs>
        <w:tab w:val="left" w:pos="4926"/>
        <w:tab w:val="clear" w:pos="8306"/>
      </w:tabs>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keepNext w:val="0"/>
      <w:keepLines w:val="0"/>
      <w:pageBreakBefore w:val="0"/>
      <w:widowControl w:val="0"/>
      <w:kinsoku/>
      <w:wordWrap/>
      <w:overflowPunct/>
      <w:topLinePunct w:val="0"/>
      <w:autoSpaceDE/>
      <w:autoSpaceDN/>
      <w:bidi w:val="0"/>
      <w:adjustRightInd/>
      <w:snapToGrid w:val="0"/>
      <w:ind w:firstLine="0" w:firstLineChars="0"/>
      <w:jc w:val="right"/>
      <w:textAlignment w:val="auto"/>
      <w:rPr>
        <w:szCs w:val="21"/>
      </w:rPr>
    </w:pPr>
    <w:r>
      <w:fldChar w:fldCharType="begin"/>
    </w:r>
    <w:r>
      <w:instrText xml:space="preserve"> PAGE   \* MERGEFORMAT </w:instrText>
    </w:r>
    <w:r>
      <w:fldChar w:fldCharType="separate"/>
    </w:r>
    <w:r>
      <w:rPr>
        <w:lang w:val="zh-CN"/>
      </w:rPr>
      <w:t>37</w:t>
    </w:r>
    <w:r>
      <w:rPr>
        <w:lang w:val="zh-CN"/>
      </w:rPr>
      <w:fldChar w:fldCharType="end"/>
    </w:r>
    <w:r>
      <w:rPr>
        <w:rFonts w:hint="eastAsia" w:cs="宋体"/>
        <w:szCs w:val="21"/>
      </w:rPr>
      <w:t xml:space="preserve">  </w:t>
    </w:r>
    <w:r>
      <w:rPr>
        <w:rFonts w:hint="eastAsia" w:cs="宋体"/>
        <w:szCs w:val="21"/>
        <w:lang w:val="en-US" w:eastAsia="zh-CN"/>
      </w:rPr>
      <w:t xml:space="preserve">          </w:t>
    </w:r>
    <w:r>
      <w:rPr>
        <w:rFonts w:hint="eastAsia" w:cs="宋体"/>
        <w:szCs w:val="21"/>
      </w:rPr>
      <w:t xml:space="preserve">  </w:t>
    </w:r>
    <w:r>
      <w:rPr>
        <w:rFonts w:hint="eastAsia" w:ascii="仿宋_GB2312" w:hAnsi="仿宋_GB2312" w:eastAsia="仿宋_GB2312" w:cs="仿宋_GB2312"/>
        <w:szCs w:val="21"/>
      </w:rPr>
      <w:t>江西锦恒水保环境技术咨询有限公司</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keepNext w:val="0"/>
      <w:keepLines w:val="0"/>
      <w:pageBreakBefore w:val="0"/>
      <w:widowControl w:val="0"/>
      <w:kinsoku/>
      <w:wordWrap/>
      <w:overflowPunct/>
      <w:topLinePunct w:val="0"/>
      <w:autoSpaceDE/>
      <w:autoSpaceDN/>
      <w:bidi w:val="0"/>
      <w:adjustRightInd/>
      <w:snapToGrid w:val="0"/>
      <w:ind w:firstLine="0" w:firstLineChars="0"/>
      <w:jc w:val="right"/>
      <w:textAlignment w:val="auto"/>
      <w:rPr>
        <w:rFonts w:ascii="仿宋_GB2312" w:hAnsi="仿宋_GB2312" w:eastAsia="仿宋_GB2312" w:cs="仿宋_GB2312"/>
        <w:szCs w:val="21"/>
      </w:rPr>
    </w:pPr>
    <w:r>
      <w:fldChar w:fldCharType="begin"/>
    </w:r>
    <w:r>
      <w:instrText xml:space="preserve"> PAGE   \* MERGEFORMAT </w:instrText>
    </w:r>
    <w:r>
      <w:fldChar w:fldCharType="separate"/>
    </w:r>
    <w:r>
      <w:rPr>
        <w:lang w:val="zh-CN"/>
      </w:rPr>
      <w:t>63</w:t>
    </w:r>
    <w:r>
      <w:rPr>
        <w:lang w:val="zh-CN"/>
      </w:rPr>
      <w:fldChar w:fldCharType="end"/>
    </w:r>
    <w:r>
      <w:rPr>
        <w:rFonts w:hint="eastAsia" w:ascii="仿宋_GB2312" w:hAnsi="仿宋_GB2312" w:eastAsia="仿宋_GB2312" w:cs="仿宋_GB2312"/>
        <w:szCs w:val="21"/>
      </w:rPr>
      <w:t xml:space="preserve">       </w:t>
    </w:r>
    <w:r>
      <w:rPr>
        <w:rFonts w:hint="eastAsia" w:ascii="仿宋_GB2312" w:hAnsi="仿宋_GB2312" w:eastAsia="仿宋_GB2312" w:cs="仿宋_GB2312"/>
        <w:szCs w:val="21"/>
        <w:lang w:val="en-US" w:eastAsia="zh-CN"/>
      </w:rPr>
      <w:t xml:space="preserve">  </w:t>
    </w:r>
    <w:r>
      <w:rPr>
        <w:rFonts w:hint="eastAsia" w:ascii="仿宋_GB2312" w:hAnsi="仿宋_GB2312" w:eastAsia="仿宋_GB2312" w:cs="仿宋_GB2312"/>
        <w:szCs w:val="21"/>
      </w:rPr>
      <w:t xml:space="preserve">    江西锦恒水保环境技术咨询有限公司</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firstLine="6840" w:firstLineChars="3800"/>
      <w:rPr>
        <w:szCs w:val="21"/>
      </w:rPr>
    </w:pPr>
    <w:r>
      <w:fldChar w:fldCharType="begin"/>
    </w:r>
    <w:r>
      <w:instrText xml:space="preserve"> PAGE   \* MERGEFORMAT </w:instrText>
    </w:r>
    <w:r>
      <w:fldChar w:fldCharType="separate"/>
    </w:r>
    <w:r>
      <w:rPr>
        <w:lang w:val="zh-CN"/>
      </w:rPr>
      <w:t>64</w:t>
    </w:r>
    <w:r>
      <w:rPr>
        <w:lang w:val="zh-CN"/>
      </w:rPr>
      <w:fldChar w:fldCharType="end"/>
    </w:r>
    <w:r>
      <w:rPr>
        <w:rFonts w:hint="eastAsia" w:cs="宋体"/>
        <w:szCs w:val="21"/>
      </w:rPr>
      <w:t xml:space="preserve">                                            江西锦恒水保环境技术咨询有限公司</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keepNext w:val="0"/>
      <w:keepLines w:val="0"/>
      <w:pageBreakBefore w:val="0"/>
      <w:widowControl w:val="0"/>
      <w:kinsoku/>
      <w:wordWrap/>
      <w:overflowPunct/>
      <w:topLinePunct w:val="0"/>
      <w:autoSpaceDE/>
      <w:autoSpaceDN/>
      <w:bidi w:val="0"/>
      <w:adjustRightInd/>
      <w:snapToGrid w:val="0"/>
      <w:ind w:firstLine="0" w:firstLineChars="0"/>
      <w:jc w:val="right"/>
      <w:textAlignment w:val="auto"/>
      <w:rPr>
        <w:rFonts w:ascii="仿宋_GB2312" w:hAnsi="仿宋_GB2312" w:eastAsia="仿宋_GB2312" w:cs="仿宋_GB2312"/>
        <w:szCs w:val="21"/>
      </w:rPr>
    </w:pPr>
    <w:r>
      <w:fldChar w:fldCharType="begin"/>
    </w:r>
    <w:r>
      <w:instrText xml:space="preserve"> PAGE   \* MERGEFORMAT </w:instrText>
    </w:r>
    <w:r>
      <w:fldChar w:fldCharType="separate"/>
    </w:r>
    <w:r>
      <w:rPr>
        <w:lang w:val="zh-CN"/>
      </w:rPr>
      <w:t>105</w:t>
    </w:r>
    <w:r>
      <w:rPr>
        <w:lang w:val="zh-CN"/>
      </w:rPr>
      <w:fldChar w:fldCharType="end"/>
    </w:r>
    <w:r>
      <w:rPr>
        <w:rFonts w:hint="eastAsia" w:ascii="仿宋_GB2312" w:hAnsi="仿宋_GB2312" w:eastAsia="仿宋_GB2312" w:cs="仿宋_GB2312"/>
        <w:szCs w:val="21"/>
      </w:rPr>
      <w:t xml:space="preserve">       </w:t>
    </w:r>
    <w:r>
      <w:rPr>
        <w:rFonts w:hint="eastAsia" w:ascii="仿宋_GB2312" w:hAnsi="仿宋_GB2312" w:eastAsia="仿宋_GB2312" w:cs="仿宋_GB2312"/>
        <w:szCs w:val="21"/>
        <w:lang w:val="en-US" w:eastAsia="zh-CN"/>
      </w:rPr>
      <w:t xml:space="preserve">   </w:t>
    </w:r>
    <w:r>
      <w:rPr>
        <w:rFonts w:hint="eastAsia" w:ascii="仿宋_GB2312" w:hAnsi="仿宋_GB2312" w:eastAsia="仿宋_GB2312" w:cs="仿宋_GB2312"/>
        <w:szCs w:val="21"/>
      </w:rPr>
      <w:t xml:space="preserve"> </w:t>
    </w:r>
    <w:r>
      <w:rPr>
        <w:rFonts w:hint="eastAsia" w:ascii="仿宋_GB2312" w:hAnsi="仿宋_GB2312" w:eastAsia="仿宋_GB2312" w:cs="仿宋_GB2312"/>
        <w:szCs w:val="21"/>
        <w:lang w:val="en-US" w:eastAsia="zh-CN"/>
      </w:rPr>
      <w:t xml:space="preserve"> </w:t>
    </w:r>
    <w:r>
      <w:rPr>
        <w:rFonts w:hint="eastAsia" w:ascii="仿宋_GB2312" w:hAnsi="仿宋_GB2312" w:eastAsia="仿宋_GB2312" w:cs="仿宋_GB2312"/>
        <w:szCs w:val="21"/>
      </w:rPr>
      <w:t xml:space="preserve">   江西锦恒水保环境技术咨询有限公司</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keepNext w:val="0"/>
      <w:keepLines w:val="0"/>
      <w:pageBreakBefore w:val="0"/>
      <w:widowControl w:val="0"/>
      <w:kinsoku/>
      <w:wordWrap/>
      <w:overflowPunct/>
      <w:topLinePunct w:val="0"/>
      <w:autoSpaceDE/>
      <w:autoSpaceDN/>
      <w:bidi w:val="0"/>
      <w:adjustRightInd/>
      <w:snapToGrid w:val="0"/>
      <w:ind w:firstLine="0" w:firstLineChars="0"/>
      <w:jc w:val="right"/>
      <w:textAlignment w:val="auto"/>
      <w:rPr>
        <w:rFonts w:ascii="仿宋_GB2312" w:hAnsi="仿宋_GB2312" w:eastAsia="仿宋_GB2312" w:cs="仿宋_GB2312"/>
        <w:szCs w:val="21"/>
      </w:rPr>
    </w:pPr>
    <w:r>
      <w:fldChar w:fldCharType="begin"/>
    </w:r>
    <w:r>
      <w:instrText xml:space="preserve"> PAGE   \* MERGEFORMAT </w:instrText>
    </w:r>
    <w:r>
      <w:fldChar w:fldCharType="separate"/>
    </w:r>
    <w:r>
      <w:rPr>
        <w:lang w:val="zh-CN"/>
      </w:rPr>
      <w:t>109</w:t>
    </w:r>
    <w:r>
      <w:rPr>
        <w:lang w:val="zh-CN"/>
      </w:rPr>
      <w:fldChar w:fldCharType="end"/>
    </w:r>
    <w:r>
      <w:rPr>
        <w:rFonts w:hint="eastAsia" w:ascii="仿宋_GB2312" w:hAnsi="仿宋_GB2312" w:eastAsia="仿宋_GB2312" w:cs="仿宋_GB2312"/>
        <w:szCs w:val="21"/>
      </w:rPr>
      <w:t xml:space="preserve">                                           江西锦恒水保环境技术咨询有限公司</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firstLine="4140" w:firstLineChars="2300"/>
      <w:jc w:val="right"/>
      <w:rPr>
        <w:rFonts w:ascii="仿宋_GB2312" w:hAnsi="仿宋_GB2312" w:eastAsia="仿宋_GB2312" w:cs="仿宋_GB2312"/>
        <w:szCs w:val="21"/>
      </w:rPr>
    </w:pPr>
    <w:r>
      <w:fldChar w:fldCharType="begin"/>
    </w:r>
    <w:r>
      <w:instrText xml:space="preserve"> PAGE   \* MERGEFORMAT </w:instrText>
    </w:r>
    <w:r>
      <w:fldChar w:fldCharType="separate"/>
    </w:r>
    <w:r>
      <w:rPr>
        <w:lang w:val="zh-CN"/>
      </w:rPr>
      <w:t>110</w:t>
    </w:r>
    <w:r>
      <w:rPr>
        <w:lang w:val="zh-CN"/>
      </w:rPr>
      <w:fldChar w:fldCharType="end"/>
    </w:r>
    <w:r>
      <w:rPr>
        <w:rFonts w:hint="eastAsia" w:ascii="仿宋_GB2312" w:hAnsi="仿宋_GB2312" w:eastAsia="仿宋_GB2312" w:cs="仿宋_GB2312"/>
        <w:szCs w:val="21"/>
      </w:rPr>
      <w:t xml:space="preserve">           江西锦恒水保环境技术咨询有限公司</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keepNext w:val="0"/>
      <w:keepLines w:val="0"/>
      <w:pageBreakBefore w:val="0"/>
      <w:widowControl w:val="0"/>
      <w:kinsoku/>
      <w:wordWrap/>
      <w:overflowPunct/>
      <w:topLinePunct w:val="0"/>
      <w:autoSpaceDE/>
      <w:autoSpaceDN/>
      <w:bidi w:val="0"/>
      <w:adjustRightInd/>
      <w:snapToGrid w:val="0"/>
      <w:ind w:firstLine="0" w:firstLineChars="0"/>
      <w:jc w:val="right"/>
      <w:textAlignment w:val="auto"/>
      <w:rPr>
        <w:rFonts w:hint="eastAsia" w:ascii="仿宋_GB2312" w:hAnsi="仿宋_GB2312" w:eastAsia="仿宋_GB2312" w:cs="仿宋_GB2312"/>
        <w:szCs w:val="21"/>
      </w:rPr>
    </w:pPr>
    <w:r>
      <w:fldChar w:fldCharType="begin"/>
    </w:r>
    <w:r>
      <w:instrText xml:space="preserve"> PAGE   \* MERGEFORMAT </w:instrText>
    </w:r>
    <w:r>
      <w:fldChar w:fldCharType="separate"/>
    </w:r>
    <w:r>
      <w:rPr>
        <w:lang w:val="zh-CN"/>
      </w:rPr>
      <w:t>111</w:t>
    </w:r>
    <w:r>
      <w:rPr>
        <w:lang w:val="zh-CN"/>
      </w:rPr>
      <w:fldChar w:fldCharType="end"/>
    </w:r>
    <w:r>
      <w:rPr>
        <w:rFonts w:hint="eastAsia" w:cs="宋体"/>
        <w:szCs w:val="21"/>
      </w:rPr>
      <w:t xml:space="preserve">                                       </w:t>
    </w:r>
    <w:r>
      <w:rPr>
        <w:rFonts w:hint="eastAsia" w:ascii="仿宋_GB2312" w:hAnsi="仿宋_GB2312" w:eastAsia="仿宋_GB2312" w:cs="仿宋_GB2312"/>
        <w:szCs w:val="21"/>
      </w:rPr>
      <w:t>江西锦恒水保环境技术咨询有限公司</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jc w:val="right"/>
      <w:rPr>
        <w:rFonts w:ascii="仿宋_GB2312" w:hAnsi="仿宋_GB2312" w:eastAsia="仿宋_GB2312" w:cs="仿宋_GB2312"/>
        <w:szCs w:val="21"/>
      </w:rPr>
    </w:pPr>
    <w:r>
      <w:fldChar w:fldCharType="begin"/>
    </w:r>
    <w:r>
      <w:instrText xml:space="preserve"> PAGE   \* MERGEFORMAT </w:instrText>
    </w:r>
    <w:r>
      <w:fldChar w:fldCharType="separate"/>
    </w:r>
    <w:r>
      <w:rPr>
        <w:lang w:val="zh-CN"/>
      </w:rPr>
      <w:t>132</w:t>
    </w:r>
    <w:r>
      <w:rPr>
        <w:lang w:val="zh-CN"/>
      </w:rPr>
      <w:fldChar w:fldCharType="end"/>
    </w:r>
    <w:r>
      <w:rPr>
        <w:rFonts w:hint="eastAsia" w:ascii="仿宋_GB2312" w:hAnsi="仿宋_GB2312" w:eastAsia="仿宋_GB2312" w:cs="仿宋_GB2312"/>
        <w:szCs w:val="21"/>
      </w:rPr>
      <w:t xml:space="preserve">   </w:t>
    </w:r>
    <w:r>
      <w:rPr>
        <w:rFonts w:hint="eastAsia" w:ascii="仿宋_GB2312" w:hAnsi="仿宋_GB2312" w:eastAsia="仿宋_GB2312" w:cs="仿宋_GB2312"/>
        <w:szCs w:val="21"/>
        <w:lang w:val="en-US" w:eastAsia="zh-CN"/>
      </w:rPr>
      <w:t xml:space="preserve">            </w:t>
    </w:r>
    <w:r>
      <w:rPr>
        <w:rFonts w:hint="eastAsia" w:ascii="仿宋_GB2312" w:hAnsi="仿宋_GB2312" w:eastAsia="仿宋_GB2312" w:cs="仿宋_GB2312"/>
        <w:szCs w:val="21"/>
      </w:rPr>
      <w:t xml:space="preserve">   江西锦恒水保环境技术咨询有限公司</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jc w:val="right"/>
      <w:rPr>
        <w:rFonts w:ascii="仿宋_GB2312" w:hAnsi="仿宋_GB2312" w:eastAsia="仿宋_GB2312" w:cs="仿宋_GB2312"/>
        <w:szCs w:val="21"/>
      </w:rPr>
    </w:pPr>
    <w:r>
      <w:fldChar w:fldCharType="begin"/>
    </w:r>
    <w:r>
      <w:instrText xml:space="preserve"> PAGE   \* MERGEFORMAT </w:instrText>
    </w:r>
    <w:r>
      <w:fldChar w:fldCharType="separate"/>
    </w:r>
    <w:r>
      <w:rPr>
        <w:lang w:val="zh-CN"/>
      </w:rPr>
      <w:t>132</w:t>
    </w:r>
    <w:r>
      <w:rPr>
        <w:lang w:val="zh-CN"/>
      </w:rPr>
      <w:fldChar w:fldCharType="end"/>
    </w:r>
    <w:r>
      <w:rPr>
        <w:rFonts w:hint="eastAsia" w:ascii="仿宋_GB2312" w:hAnsi="仿宋_GB2312" w:eastAsia="仿宋_GB2312" w:cs="仿宋_GB2312"/>
        <w:szCs w:val="21"/>
      </w:rPr>
      <w:t xml:space="preserve">    </w:t>
    </w:r>
    <w:r>
      <w:rPr>
        <w:rFonts w:hint="eastAsia" w:ascii="仿宋_GB2312" w:hAnsi="仿宋_GB2312" w:eastAsia="仿宋_GB2312" w:cs="仿宋_GB2312"/>
        <w:szCs w:val="21"/>
        <w:lang w:val="en-US" w:eastAsia="zh-CN"/>
      </w:rPr>
      <w:t xml:space="preserve">        </w:t>
    </w:r>
    <w:r>
      <w:rPr>
        <w:rFonts w:hint="eastAsia" w:ascii="仿宋_GB2312" w:hAnsi="仿宋_GB2312" w:eastAsia="仿宋_GB2312" w:cs="仿宋_GB2312"/>
        <w:szCs w:val="21"/>
      </w:rPr>
      <w:t xml:space="preserve">  江西锦恒水保环境技术咨询有限公司</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firstLine="6930" w:firstLineChars="3850"/>
      <w:rPr>
        <w:rFonts w:ascii="仿宋_GB2312" w:hAnsi="仿宋_GB2312" w:eastAsia="仿宋_GB2312" w:cs="仿宋_GB2312"/>
        <w:szCs w:val="21"/>
      </w:rPr>
    </w:pPr>
    <w:r>
      <w:fldChar w:fldCharType="begin"/>
    </w:r>
    <w:r>
      <w:instrText xml:space="preserve"> PAGE   \* MERGEFORMAT </w:instrText>
    </w:r>
    <w:r>
      <w:fldChar w:fldCharType="separate"/>
    </w:r>
    <w:r>
      <w:rPr>
        <w:lang w:val="zh-CN"/>
      </w:rPr>
      <w:t>145</w:t>
    </w:r>
    <w:r>
      <w:rPr>
        <w:lang w:val="zh-CN"/>
      </w:rPr>
      <w:fldChar w:fldCharType="end"/>
    </w:r>
    <w:r>
      <w:rPr>
        <w:rFonts w:hint="eastAsia" w:ascii="仿宋_GB2312" w:hAnsi="仿宋_GB2312" w:eastAsia="仿宋_GB2312" w:cs="仿宋_GB2312"/>
        <w:szCs w:val="21"/>
      </w:rPr>
      <w:t xml:space="preserve">                                          江西锦恒水保环境技术咨询有限公司</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sz w:val="16"/>
        <w:szCs w:val="16"/>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firstLine="4140" w:firstLineChars="2300"/>
      <w:rPr>
        <w:rFonts w:ascii="仿宋_GB2312" w:hAnsi="仿宋_GB2312" w:eastAsia="仿宋_GB2312" w:cs="仿宋_GB2312"/>
        <w:szCs w:val="21"/>
      </w:rPr>
    </w:pPr>
    <w:r>
      <w:fldChar w:fldCharType="begin"/>
    </w:r>
    <w:r>
      <w:instrText xml:space="preserve"> PAGE   \* MERGEFORMAT </w:instrText>
    </w:r>
    <w:r>
      <w:fldChar w:fldCharType="separate"/>
    </w:r>
    <w:r>
      <w:rPr>
        <w:lang w:val="zh-CN"/>
      </w:rPr>
      <w:t>166</w:t>
    </w:r>
    <w:r>
      <w:rPr>
        <w:lang w:val="zh-CN"/>
      </w:rPr>
      <w:fldChar w:fldCharType="end"/>
    </w:r>
    <w:r>
      <w:rPr>
        <w:rFonts w:hint="eastAsia" w:ascii="仿宋_GB2312" w:hAnsi="仿宋_GB2312" w:eastAsia="仿宋_GB2312" w:cs="仿宋_GB2312"/>
        <w:szCs w:val="21"/>
      </w:rPr>
      <w:t xml:space="preserve">           江西锦恒水保环境技术咨询有限公司</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firstLine="6570" w:firstLineChars="3650"/>
      <w:rPr>
        <w:rFonts w:ascii="仿宋_GB2312" w:hAnsi="仿宋_GB2312" w:eastAsia="仿宋_GB2312" w:cs="仿宋_GB2312"/>
        <w:szCs w:val="21"/>
      </w:rPr>
    </w:pPr>
    <w:r>
      <w:fldChar w:fldCharType="begin"/>
    </w:r>
    <w:r>
      <w:instrText xml:space="preserve"> PAGE   \* MERGEFORMAT </w:instrText>
    </w:r>
    <w:r>
      <w:fldChar w:fldCharType="separate"/>
    </w:r>
    <w:r>
      <w:rPr>
        <w:lang w:val="zh-CN"/>
      </w:rPr>
      <w:t>168</w:t>
    </w:r>
    <w:r>
      <w:rPr>
        <w:lang w:val="zh-CN"/>
      </w:rPr>
      <w:fldChar w:fldCharType="end"/>
    </w:r>
    <w:r>
      <w:rPr>
        <w:rFonts w:hint="eastAsia"/>
        <w:lang w:val="zh-CN"/>
      </w:rPr>
      <w:t xml:space="preserve">                                       </w:t>
    </w:r>
    <w:r>
      <w:rPr>
        <w:rFonts w:hint="eastAsia" w:ascii="仿宋_GB2312" w:hAnsi="仿宋_GB2312" w:eastAsia="仿宋_GB2312" w:cs="仿宋_GB2312"/>
        <w:szCs w:val="21"/>
      </w:rPr>
      <w:t>江西锦恒水保环境技术咨询有限公司</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firstLine="4050" w:firstLineChars="2250"/>
      <w:rPr>
        <w:rFonts w:ascii="仿宋_GB2312" w:hAnsi="仿宋_GB2312" w:eastAsia="仿宋_GB2312" w:cs="仿宋_GB2312"/>
        <w:szCs w:val="21"/>
      </w:rPr>
    </w:pPr>
    <w:r>
      <w:fldChar w:fldCharType="begin"/>
    </w:r>
    <w:r>
      <w:instrText xml:space="preserve"> PAGE   \* MERGEFORMAT </w:instrText>
    </w:r>
    <w:r>
      <w:fldChar w:fldCharType="separate"/>
    </w:r>
    <w:r>
      <w:rPr>
        <w:lang w:val="zh-CN"/>
      </w:rPr>
      <w:t>180</w:t>
    </w:r>
    <w:r>
      <w:rPr>
        <w:lang w:val="zh-CN"/>
      </w:rPr>
      <w:fldChar w:fldCharType="end"/>
    </w:r>
    <w:r>
      <w:rPr>
        <w:rFonts w:hint="eastAsia"/>
        <w:lang w:val="zh-CN"/>
      </w:rPr>
      <w:t xml:space="preserve">            </w:t>
    </w:r>
    <w:r>
      <w:rPr>
        <w:rFonts w:hint="eastAsia" w:ascii="仿宋_GB2312" w:hAnsi="仿宋_GB2312" w:eastAsia="仿宋_GB2312" w:cs="仿宋_GB2312"/>
        <w:szCs w:val="21"/>
      </w:rPr>
      <w:t>江西锦恒水保环境技术咨询有限公司</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4" w:space="1"/>
        <w:left w:val="none" w:color="auto" w:sz="0" w:space="4"/>
        <w:bottom w:val="none" w:color="auto" w:sz="0" w:space="1"/>
        <w:right w:val="none" w:color="auto" w:sz="0" w:space="4"/>
      </w:pBdr>
      <w:jc w:val="center"/>
      <w:rPr>
        <w:rFonts w:ascii="Times New Roman" w:hAnsi="Times New Roman" w:cs="Times New Roman"/>
        <w:sz w:val="16"/>
        <w:szCs w:val="16"/>
      </w:rPr>
    </w:pPr>
    <w:r>
      <w:rPr>
        <w:sz w:val="16"/>
      </w:rPr>
      <w:pict>
        <v:shape id="_x0000_s3073" o:spid="_x0000_s3073" o:spt="202" type="#_x0000_t202" style="position:absolute;left:0pt;margin-top:0pt;height:9.2pt;width:8.45pt;mso-position-horizontal:center;mso-position-horizontal-relative:margin;mso-wrap-style:none;z-index:251659264;mso-width-relative:page;mso-height-relative:page;" filled="f" stroked="f" coordsize="21600,21600">
          <v:path/>
          <v:fill on="f" focussize="0,0"/>
          <v:stroke on="f" joinstyle="miter"/>
          <v:imagedata o:title=""/>
          <o:lock v:ext="edit"/>
          <v:textbox inset="0mm,0mm,0mm,0mm" style="mso-fit-shape-to-text:t;">
            <w:txbxContent>
              <w:p>
                <w:pPr>
                  <w:jc w:val="cente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PAGE   \* MERGEFORMAT </w:instrText>
                </w:r>
                <w:r>
                  <w:rPr>
                    <w:rFonts w:ascii="Times New Roman" w:hAnsi="Times New Roman" w:cs="Times New Roman"/>
                    <w:sz w:val="16"/>
                    <w:szCs w:val="16"/>
                  </w:rPr>
                  <w:fldChar w:fldCharType="separate"/>
                </w:r>
                <w:r>
                  <w:rPr>
                    <w:rFonts w:ascii="Times New Roman" w:hAnsi="Times New Roman" w:cs="Times New Roman"/>
                    <w:sz w:val="16"/>
                    <w:szCs w:val="16"/>
                    <w:lang w:val="zh-CN"/>
                  </w:rPr>
                  <w:t>IV</w:t>
                </w:r>
                <w:r>
                  <w:rPr>
                    <w:rFonts w:ascii="Times New Roman" w:hAnsi="Times New Roman" w:cs="Times New Roman"/>
                    <w:sz w:val="16"/>
                    <w:szCs w:val="16"/>
                  </w:rPr>
                  <w:fldChar w:fldCharType="end"/>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firstLine="4050" w:firstLineChars="2250"/>
      <w:rPr>
        <w:rFonts w:eastAsia="仿宋_GB2312"/>
        <w:sz w:val="21"/>
        <w:szCs w:val="21"/>
      </w:rPr>
    </w:pPr>
    <w:r>
      <w:rPr>
        <w:rFonts w:eastAsia="仿宋_GB2312"/>
      </w:rPr>
      <w:fldChar w:fldCharType="begin"/>
    </w:r>
    <w:r>
      <w:rPr>
        <w:rFonts w:eastAsia="仿宋_GB2312"/>
      </w:rPr>
      <w:instrText xml:space="preserve"> PAGE   \* MERGEFORMAT </w:instrText>
    </w:r>
    <w:r>
      <w:rPr>
        <w:rFonts w:eastAsia="仿宋_GB2312"/>
      </w:rPr>
      <w:fldChar w:fldCharType="separate"/>
    </w:r>
    <w:r>
      <w:rPr>
        <w:rFonts w:eastAsia="仿宋_GB2312"/>
        <w:lang w:val="zh-CN"/>
      </w:rPr>
      <w:t>21</w:t>
    </w:r>
    <w:r>
      <w:rPr>
        <w:rFonts w:eastAsia="仿宋_GB2312"/>
        <w:lang w:val="zh-CN"/>
      </w:rPr>
      <w:fldChar w:fldCharType="end"/>
    </w:r>
    <w:r>
      <w:rPr>
        <w:rFonts w:hint="eastAsia" w:eastAsia="仿宋_GB2312"/>
        <w:lang w:val="zh-CN"/>
      </w:rPr>
      <w:t xml:space="preserve">             </w:t>
    </w:r>
    <w:r>
      <w:rPr>
        <w:rFonts w:eastAsia="仿宋_GB2312"/>
        <w:szCs w:val="21"/>
      </w:rPr>
      <w:t>江西锦恒水保环境技术咨询有限公司</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firstLine="4140" w:firstLineChars="2300"/>
      <w:rPr>
        <w:szCs w:val="21"/>
      </w:rPr>
    </w:pPr>
    <w:r>
      <w:fldChar w:fldCharType="begin"/>
    </w:r>
    <w:r>
      <w:instrText xml:space="preserve"> PAGE   \* MERGEFORMAT </w:instrText>
    </w:r>
    <w:r>
      <w:fldChar w:fldCharType="separate"/>
    </w:r>
    <w:r>
      <w:rPr>
        <w:lang w:val="zh-CN"/>
      </w:rPr>
      <w:t>27</w:t>
    </w:r>
    <w:r>
      <w:rPr>
        <w:lang w:val="zh-CN"/>
      </w:rPr>
      <w:fldChar w:fldCharType="end"/>
    </w:r>
    <w:r>
      <w:rPr>
        <w:rFonts w:hint="eastAsia"/>
        <w:lang w:val="zh-CN"/>
      </w:rPr>
      <w:t xml:space="preserve">            </w:t>
    </w:r>
    <w:r>
      <w:rPr>
        <w:rFonts w:hint="eastAsia" w:ascii="仿宋_GB2312" w:hAnsi="仿宋_GB2312" w:eastAsia="仿宋_GB2312" w:cs="仿宋_GB2312"/>
        <w:szCs w:val="21"/>
      </w:rPr>
      <w:t>江西锦恒水保环境技术咨询有限公司</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firstLine="6750" w:firstLineChars="3750"/>
      <w:rPr>
        <w:szCs w:val="21"/>
      </w:rPr>
    </w:pPr>
    <w:r>
      <w:fldChar w:fldCharType="begin"/>
    </w:r>
    <w:r>
      <w:instrText xml:space="preserve"> PAGE   \* MERGEFORMAT </w:instrText>
    </w:r>
    <w:r>
      <w:fldChar w:fldCharType="separate"/>
    </w:r>
    <w:r>
      <w:rPr>
        <w:lang w:val="zh-CN"/>
      </w:rPr>
      <w:t>28</w:t>
    </w:r>
    <w:r>
      <w:rPr>
        <w:lang w:val="zh-CN"/>
      </w:rPr>
      <w:fldChar w:fldCharType="end"/>
    </w:r>
    <w:r>
      <w:rPr>
        <w:rFonts w:hint="eastAsia"/>
        <w:lang w:val="en-US" w:eastAsia="zh-CN"/>
      </w:rPr>
      <w:t xml:space="preserve">                                         </w:t>
    </w:r>
    <w:r>
      <w:rPr>
        <w:rFonts w:hint="eastAsia" w:ascii="仿宋_GB2312" w:hAnsi="仿宋_GB2312" w:eastAsia="仿宋_GB2312" w:cs="仿宋_GB2312"/>
        <w:szCs w:val="21"/>
      </w:rPr>
      <w:t>江西锦恒水保环境技术咨询有限公司</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keepNext w:val="0"/>
      <w:keepLines w:val="0"/>
      <w:pageBreakBefore w:val="0"/>
      <w:widowControl w:val="0"/>
      <w:kinsoku/>
      <w:wordWrap/>
      <w:overflowPunct/>
      <w:topLinePunct w:val="0"/>
      <w:autoSpaceDE/>
      <w:autoSpaceDN/>
      <w:bidi w:val="0"/>
      <w:adjustRightInd/>
      <w:snapToGrid w:val="0"/>
      <w:ind w:firstLine="0" w:firstLineChars="0"/>
      <w:jc w:val="right"/>
      <w:textAlignment w:val="auto"/>
      <w:rPr>
        <w:szCs w:val="21"/>
      </w:rPr>
    </w:pPr>
    <w:r>
      <w:fldChar w:fldCharType="begin"/>
    </w:r>
    <w:r>
      <w:instrText xml:space="preserve"> PAGE   \* MERGEFORMAT </w:instrText>
    </w:r>
    <w:r>
      <w:fldChar w:fldCharType="separate"/>
    </w:r>
    <w:r>
      <w:rPr>
        <w:lang w:val="zh-CN"/>
      </w:rPr>
      <w:t>34</w:t>
    </w:r>
    <w:r>
      <w:rPr>
        <w:lang w:val="zh-CN"/>
      </w:rPr>
      <w:fldChar w:fldCharType="end"/>
    </w:r>
    <w:r>
      <w:rPr>
        <w:rFonts w:hint="eastAsia" w:cs="宋体"/>
        <w:szCs w:val="21"/>
      </w:rPr>
      <w:t xml:space="preserve">        </w:t>
    </w:r>
    <w:r>
      <w:rPr>
        <w:rFonts w:hint="eastAsia" w:cs="宋体"/>
        <w:szCs w:val="21"/>
        <w:lang w:val="en-US" w:eastAsia="zh-CN"/>
      </w:rPr>
      <w:t xml:space="preserve">         </w:t>
    </w:r>
    <w:r>
      <w:rPr>
        <w:rFonts w:hint="eastAsia" w:ascii="仿宋_GB2312" w:hAnsi="仿宋_GB2312" w:eastAsia="仿宋_GB2312" w:cs="仿宋_GB2312"/>
        <w:szCs w:val="21"/>
      </w:rPr>
      <w:t>江西锦恒水保环境技术咨询有限公司</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keepNext w:val="0"/>
      <w:keepLines w:val="0"/>
      <w:pageBreakBefore w:val="0"/>
      <w:widowControl w:val="0"/>
      <w:kinsoku/>
      <w:wordWrap/>
      <w:overflowPunct/>
      <w:topLinePunct w:val="0"/>
      <w:autoSpaceDE/>
      <w:autoSpaceDN/>
      <w:bidi w:val="0"/>
      <w:adjustRightInd/>
      <w:snapToGrid w:val="0"/>
      <w:ind w:firstLine="0" w:firstLineChars="0"/>
      <w:jc w:val="right"/>
      <w:textAlignment w:val="auto"/>
      <w:rPr>
        <w:szCs w:val="21"/>
      </w:rPr>
    </w:pPr>
    <w:r>
      <w:fldChar w:fldCharType="begin"/>
    </w:r>
    <w:r>
      <w:instrText xml:space="preserve"> PAGE   \* MERGEFORMAT </w:instrText>
    </w:r>
    <w:r>
      <w:fldChar w:fldCharType="separate"/>
    </w:r>
    <w:r>
      <w:rPr>
        <w:lang w:val="zh-CN"/>
      </w:rPr>
      <w:t>35</w:t>
    </w:r>
    <w:r>
      <w:rPr>
        <w:lang w:val="zh-CN"/>
      </w:rPr>
      <w:fldChar w:fldCharType="end"/>
    </w:r>
    <w:r>
      <w:rPr>
        <w:rFonts w:hint="eastAsia"/>
        <w:lang w:val="en-US" w:eastAsia="zh-CN"/>
      </w:rPr>
      <w:t xml:space="preserve">              </w:t>
    </w:r>
    <w:r>
      <w:rPr>
        <w:rFonts w:hint="eastAsia" w:ascii="仿宋_GB2312" w:hAnsi="仿宋_GB2312" w:eastAsia="仿宋_GB2312" w:cs="仿宋_GB2312"/>
        <w:szCs w:val="21"/>
      </w:rPr>
      <w:t>江西锦恒水保环境技术咨询有限公司</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keepNext w:val="0"/>
      <w:keepLines w:val="0"/>
      <w:pageBreakBefore w:val="0"/>
      <w:widowControl w:val="0"/>
      <w:kinsoku/>
      <w:wordWrap/>
      <w:overflowPunct/>
      <w:topLinePunct w:val="0"/>
      <w:autoSpaceDE/>
      <w:autoSpaceDN/>
      <w:bidi w:val="0"/>
      <w:adjustRightInd/>
      <w:snapToGrid w:val="0"/>
      <w:ind w:firstLine="0" w:firstLineChars="0"/>
      <w:jc w:val="right"/>
      <w:textAlignment w:val="auto"/>
      <w:rPr>
        <w:rFonts w:ascii="仿宋_GB2312" w:hAnsi="仿宋_GB2312" w:eastAsia="仿宋_GB2312" w:cs="仿宋_GB2312"/>
        <w:szCs w:val="21"/>
      </w:rPr>
    </w:pPr>
    <w:r>
      <w:fldChar w:fldCharType="begin"/>
    </w:r>
    <w:r>
      <w:instrText xml:space="preserve"> PAGE   \* MERGEFORMAT </w:instrText>
    </w:r>
    <w:r>
      <w:fldChar w:fldCharType="separate"/>
    </w:r>
    <w:r>
      <w:rPr>
        <w:lang w:val="zh-CN"/>
      </w:rPr>
      <w:t>36</w:t>
    </w:r>
    <w:r>
      <w:rPr>
        <w:lang w:val="zh-CN"/>
      </w:rPr>
      <w:fldChar w:fldCharType="end"/>
    </w:r>
    <w:r>
      <w:rPr>
        <w:rFonts w:hint="eastAsia" w:ascii="仿宋_GB2312" w:hAnsi="仿宋_GB2312" w:eastAsia="仿宋_GB2312" w:cs="仿宋_GB2312"/>
        <w:szCs w:val="21"/>
      </w:rPr>
      <w:t xml:space="preserve">      </w:t>
    </w:r>
    <w:r>
      <w:rPr>
        <w:rFonts w:hint="eastAsia" w:ascii="仿宋_GB2312" w:hAnsi="仿宋_GB2312" w:eastAsia="仿宋_GB2312" w:cs="仿宋_GB2312"/>
        <w:szCs w:val="21"/>
        <w:lang w:val="en-US" w:eastAsia="zh-CN"/>
      </w:rPr>
      <w:t xml:space="preserve">         </w:t>
    </w:r>
    <w:r>
      <w:rPr>
        <w:rFonts w:hint="eastAsia" w:ascii="仿宋_GB2312" w:hAnsi="仿宋_GB2312" w:eastAsia="仿宋_GB2312" w:cs="仿宋_GB2312"/>
        <w:szCs w:val="21"/>
      </w:rPr>
      <w:t xml:space="preserve"> 江西锦恒水保环境技术咨询有限公司</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none" w:color="auto" w:sz="0" w:space="0"/>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top w:val="none" w:color="auto" w:sz="0" w:space="1"/>
        <w:left w:val="none" w:color="auto" w:sz="0" w:space="4"/>
        <w:bottom w:val="single" w:color="auto" w:sz="4" w:space="1"/>
        <w:right w:val="none" w:color="auto" w:sz="0" w:space="4"/>
      </w:pBdr>
      <w:rPr>
        <w:rFonts w:ascii="Times New Roman" w:hAnsi="Times New Roman" w:eastAsia="仿宋_GB2312" w:cs="Times New Roman"/>
      </w:rPr>
    </w:pPr>
    <w:r>
      <w:rPr>
        <w:rFonts w:hint="eastAsia" w:ascii="Times New Roman" w:hAnsi="Times New Roman" w:eastAsia="仿宋_GB2312" w:cs="Times New Roman"/>
      </w:rPr>
      <w:t>4</w:t>
    </w:r>
    <w:r>
      <w:rPr>
        <w:rFonts w:ascii="Times New Roman" w:hAnsi="Times New Roman" w:eastAsia="仿宋_GB2312" w:cs="Times New Roman"/>
      </w:rPr>
      <w:t xml:space="preserve"> 水土流失</w:t>
    </w:r>
    <w:r>
      <w:rPr>
        <w:rFonts w:hint="eastAsia" w:ascii="Times New Roman" w:hAnsi="Times New Roman" w:eastAsia="仿宋_GB2312" w:cs="Times New Roman"/>
      </w:rPr>
      <w:t>分析与</w:t>
    </w:r>
    <w:r>
      <w:rPr>
        <w:rFonts w:ascii="Times New Roman" w:hAnsi="Times New Roman" w:eastAsia="仿宋_GB2312" w:cs="Times New Roman"/>
      </w:rPr>
      <w:t>预测</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top w:val="none" w:color="auto" w:sz="0" w:space="1"/>
        <w:left w:val="none" w:color="auto" w:sz="0" w:space="4"/>
        <w:bottom w:val="single" w:color="auto" w:sz="4" w:space="1"/>
        <w:right w:val="none" w:color="auto" w:sz="0" w:space="4"/>
      </w:pBdr>
      <w:rPr>
        <w:rFonts w:ascii="Times New Roman" w:hAnsi="Times New Roman" w:eastAsia="仿宋_GB2312" w:cs="Times New Roman"/>
      </w:rPr>
    </w:pPr>
    <w:r>
      <w:rPr>
        <w:rFonts w:hint="eastAsia" w:ascii="Times New Roman" w:hAnsi="Times New Roman" w:eastAsia="仿宋_GB2312" w:cs="Times New Roman"/>
      </w:rPr>
      <w:t>4</w:t>
    </w:r>
    <w:r>
      <w:rPr>
        <w:rFonts w:ascii="Times New Roman" w:hAnsi="Times New Roman" w:eastAsia="仿宋_GB2312" w:cs="Times New Roman"/>
      </w:rPr>
      <w:t xml:space="preserve"> 水土流失</w:t>
    </w:r>
    <w:r>
      <w:rPr>
        <w:rFonts w:hint="eastAsia" w:ascii="Times New Roman" w:hAnsi="Times New Roman" w:eastAsia="仿宋_GB2312" w:cs="Times New Roman"/>
      </w:rPr>
      <w:t>分析与</w:t>
    </w:r>
    <w:r>
      <w:rPr>
        <w:rFonts w:ascii="Times New Roman" w:hAnsi="Times New Roman" w:eastAsia="仿宋_GB2312" w:cs="Times New Roman"/>
      </w:rPr>
      <w:t>预测</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top w:val="none" w:color="auto" w:sz="0" w:space="1"/>
        <w:left w:val="none" w:color="auto" w:sz="0" w:space="4"/>
        <w:bottom w:val="single" w:color="auto" w:sz="4" w:space="1"/>
        <w:right w:val="none" w:color="auto" w:sz="0" w:space="4"/>
      </w:pBdr>
      <w:rPr>
        <w:rFonts w:ascii="Times New Roman" w:hAnsi="Times New Roman" w:eastAsia="仿宋_GB2312" w:cs="Times New Roman"/>
      </w:rPr>
    </w:pPr>
    <w:r>
      <w:rPr>
        <w:rFonts w:hint="eastAsia" w:ascii="Times New Roman" w:hAnsi="Times New Roman" w:eastAsia="仿宋_GB2312" w:cs="Times New Roman"/>
      </w:rPr>
      <w:t>4</w:t>
    </w:r>
    <w:r>
      <w:rPr>
        <w:rFonts w:ascii="Times New Roman" w:hAnsi="Times New Roman" w:eastAsia="仿宋_GB2312" w:cs="Times New Roman"/>
      </w:rPr>
      <w:t xml:space="preserve"> 水土流失</w:t>
    </w:r>
    <w:r>
      <w:rPr>
        <w:rFonts w:hint="eastAsia" w:ascii="Times New Roman" w:hAnsi="Times New Roman" w:eastAsia="仿宋_GB2312" w:cs="Times New Roman"/>
      </w:rPr>
      <w:t>分析与</w:t>
    </w:r>
    <w:r>
      <w:rPr>
        <w:rFonts w:ascii="Times New Roman" w:hAnsi="Times New Roman" w:eastAsia="仿宋_GB2312" w:cs="Times New Roman"/>
      </w:rPr>
      <w:t>预测</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top w:val="none" w:color="auto" w:sz="0" w:space="1"/>
        <w:left w:val="none" w:color="auto" w:sz="0" w:space="4"/>
        <w:bottom w:val="single" w:color="auto" w:sz="4" w:space="1"/>
        <w:right w:val="none" w:color="auto" w:sz="0" w:space="4"/>
      </w:pBdr>
      <w:rPr>
        <w:rFonts w:ascii="Times New Roman" w:hAnsi="Times New Roman" w:eastAsia="仿宋_GB2312" w:cs="Times New Roman"/>
      </w:rPr>
    </w:pPr>
    <w:r>
      <w:rPr>
        <w:rFonts w:hint="eastAsia" w:ascii="Times New Roman" w:hAnsi="Times New Roman" w:eastAsia="仿宋_GB2312" w:cs="Times New Roman"/>
      </w:rPr>
      <w:t>4</w:t>
    </w:r>
    <w:r>
      <w:rPr>
        <w:rFonts w:ascii="Times New Roman" w:hAnsi="Times New Roman" w:eastAsia="仿宋_GB2312" w:cs="Times New Roman"/>
      </w:rPr>
      <w:t xml:space="preserve"> 水土流失</w:t>
    </w:r>
    <w:r>
      <w:rPr>
        <w:rFonts w:hint="eastAsia" w:ascii="Times New Roman" w:hAnsi="Times New Roman" w:eastAsia="仿宋_GB2312" w:cs="Times New Roman"/>
      </w:rPr>
      <w:t>分析与</w:t>
    </w:r>
    <w:r>
      <w:rPr>
        <w:rFonts w:ascii="Times New Roman" w:hAnsi="Times New Roman" w:eastAsia="仿宋_GB2312" w:cs="Times New Roman"/>
      </w:rPr>
      <w:t>预测</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top w:val="none" w:color="auto" w:sz="0" w:space="1"/>
        <w:left w:val="none" w:color="auto" w:sz="0" w:space="4"/>
        <w:bottom w:val="single" w:color="auto" w:sz="4" w:space="1"/>
        <w:right w:val="none" w:color="auto" w:sz="0" w:space="4"/>
      </w:pBdr>
      <w:rPr>
        <w:rFonts w:ascii="Times New Roman" w:hAnsi="Times New Roman" w:eastAsia="仿宋_GB2312" w:cs="Times New Roman"/>
      </w:rPr>
    </w:pPr>
    <w:r>
      <w:rPr>
        <w:rFonts w:hint="eastAsia" w:ascii="Times New Roman" w:hAnsi="Times New Roman" w:eastAsia="仿宋_GB2312" w:cs="Times New Roman"/>
      </w:rPr>
      <w:t>4</w:t>
    </w:r>
    <w:r>
      <w:rPr>
        <w:rFonts w:ascii="Times New Roman" w:hAnsi="Times New Roman" w:eastAsia="仿宋_GB2312" w:cs="Times New Roman"/>
      </w:rPr>
      <w:t xml:space="preserve"> 水土流失</w:t>
    </w:r>
    <w:r>
      <w:rPr>
        <w:rFonts w:hint="eastAsia" w:ascii="Times New Roman" w:hAnsi="Times New Roman" w:eastAsia="仿宋_GB2312" w:cs="Times New Roman"/>
      </w:rPr>
      <w:t>分析与</w:t>
    </w:r>
    <w:r>
      <w:rPr>
        <w:rFonts w:ascii="Times New Roman" w:hAnsi="Times New Roman" w:eastAsia="仿宋_GB2312" w:cs="Times New Roman"/>
      </w:rPr>
      <w:t>预测</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top w:val="none" w:color="auto" w:sz="0" w:space="1"/>
        <w:left w:val="none" w:color="auto" w:sz="0" w:space="4"/>
        <w:bottom w:val="single" w:color="auto" w:sz="4" w:space="1"/>
        <w:right w:val="none" w:color="auto" w:sz="0" w:space="4"/>
      </w:pBdr>
      <w:rPr>
        <w:rFonts w:ascii="Times New Roman" w:hAnsi="Times New Roman" w:eastAsia="仿宋_GB2312" w:cs="Times New Roman"/>
      </w:rPr>
    </w:pPr>
    <w:r>
      <w:rPr>
        <w:rFonts w:hint="eastAsia" w:ascii="Times New Roman" w:hAnsi="Times New Roman" w:eastAsia="仿宋_GB2312" w:cs="Times New Roman"/>
      </w:rPr>
      <w:t>5水土保持措施</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top w:val="none" w:color="auto" w:sz="0" w:space="1"/>
        <w:left w:val="none" w:color="auto" w:sz="0" w:space="4"/>
        <w:bottom w:val="single" w:color="auto" w:sz="4" w:space="1"/>
        <w:right w:val="none" w:color="auto" w:sz="0" w:space="4"/>
      </w:pBdr>
      <w:rPr>
        <w:rFonts w:ascii="Times New Roman" w:hAnsi="Times New Roman" w:eastAsia="仿宋_GB2312" w:cs="Times New Roman"/>
      </w:rPr>
    </w:pPr>
    <w:r>
      <w:rPr>
        <w:rFonts w:hint="eastAsia" w:ascii="Times New Roman" w:hAnsi="Times New Roman" w:eastAsia="仿宋_GB2312" w:cs="Times New Roman"/>
      </w:rPr>
      <w:t>5水土保持措施</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top w:val="none" w:color="auto" w:sz="0" w:space="1"/>
        <w:left w:val="none" w:color="auto" w:sz="0" w:space="4"/>
        <w:bottom w:val="single" w:color="auto" w:sz="4" w:space="1"/>
        <w:right w:val="none" w:color="auto" w:sz="0" w:space="4"/>
      </w:pBdr>
      <w:rPr>
        <w:rFonts w:ascii="Times New Roman" w:hAnsi="Times New Roman" w:eastAsia="仿宋_GB2312" w:cs="Times New Roman"/>
      </w:rPr>
    </w:pPr>
    <w:r>
      <w:rPr>
        <w:rFonts w:ascii="Times New Roman" w:hAnsi="Times New Roman" w:eastAsia="仿宋_GB2312" w:cs="Times New Roman"/>
      </w:rPr>
      <w:t>6水土保持监测</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top w:val="none" w:color="auto" w:sz="0" w:space="1"/>
        <w:left w:val="none" w:color="auto" w:sz="0" w:space="4"/>
        <w:bottom w:val="single" w:color="auto" w:sz="4" w:space="1"/>
        <w:right w:val="none" w:color="auto" w:sz="0" w:space="4"/>
      </w:pBdr>
      <w:rPr>
        <w:rFonts w:ascii="Times New Roman" w:hAnsi="Times New Roman" w:eastAsia="仿宋_GB2312" w:cs="Times New Roman"/>
      </w:rPr>
    </w:pPr>
    <w:r>
      <w:rPr>
        <w:rFonts w:hint="eastAsia" w:ascii="Times New Roman" w:hAnsi="Times New Roman" w:eastAsia="仿宋_GB2312" w:cs="Times New Roman"/>
      </w:rPr>
      <w:t>7</w:t>
    </w:r>
    <w:r>
      <w:rPr>
        <w:rFonts w:ascii="Times New Roman" w:hAnsi="Times New Roman" w:eastAsia="仿宋_GB2312" w:cs="Times New Roman"/>
      </w:rPr>
      <w:t>水土保持投资</w:t>
    </w:r>
    <w:r>
      <w:rPr>
        <w:rFonts w:hint="eastAsia" w:ascii="Times New Roman" w:hAnsi="Times New Roman" w:eastAsia="仿宋_GB2312" w:cs="Times New Roman"/>
      </w:rPr>
      <w:t>估</w:t>
    </w:r>
    <w:r>
      <w:rPr>
        <w:rFonts w:ascii="Times New Roman" w:hAnsi="Times New Roman" w:eastAsia="仿宋_GB2312" w:cs="Times New Roman"/>
      </w:rPr>
      <w:t>算及效益分析</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top w:val="none" w:color="auto" w:sz="0" w:space="1"/>
        <w:left w:val="none" w:color="auto" w:sz="0" w:space="4"/>
        <w:bottom w:val="single" w:color="auto" w:sz="4" w:space="1"/>
        <w:right w:val="none" w:color="auto" w:sz="0" w:space="4"/>
      </w:pBdr>
      <w:rPr>
        <w:rFonts w:ascii="Times New Roman" w:hAnsi="Times New Roman" w:eastAsia="仿宋_GB2312" w:cs="Times New Roman"/>
      </w:rPr>
    </w:pPr>
    <w:r>
      <w:rPr>
        <w:rFonts w:hint="eastAsia" w:ascii="Times New Roman" w:hAnsi="Times New Roman" w:eastAsia="仿宋_GB2312" w:cs="Times New Roman"/>
      </w:rPr>
      <w:t>7</w:t>
    </w:r>
    <w:r>
      <w:rPr>
        <w:rFonts w:ascii="Times New Roman" w:hAnsi="Times New Roman" w:eastAsia="仿宋_GB2312" w:cs="Times New Roman"/>
      </w:rPr>
      <w:t>水土保持投资</w:t>
    </w:r>
    <w:r>
      <w:rPr>
        <w:rFonts w:hint="eastAsia" w:ascii="Times New Roman" w:hAnsi="Times New Roman" w:eastAsia="仿宋_GB2312" w:cs="Times New Roman"/>
      </w:rPr>
      <w:t>估</w:t>
    </w:r>
    <w:r>
      <w:rPr>
        <w:rFonts w:ascii="Times New Roman" w:hAnsi="Times New Roman" w:eastAsia="仿宋_GB2312" w:cs="Times New Roman"/>
      </w:rPr>
      <w:t>算及效益分析</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none" w:color="auto" w:sz="0" w:space="1"/>
        <w:left w:val="none" w:color="auto" w:sz="0" w:space="4"/>
        <w:bottom w:val="single" w:color="auto" w:sz="4" w:space="1"/>
        <w:right w:val="none" w:color="auto" w:sz="0" w:space="4"/>
      </w:pBdr>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营业执照</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top w:val="none" w:color="auto" w:sz="0" w:space="1"/>
        <w:left w:val="none" w:color="auto" w:sz="0" w:space="4"/>
        <w:bottom w:val="single" w:color="auto" w:sz="4" w:space="1"/>
        <w:right w:val="none" w:color="auto" w:sz="0" w:space="4"/>
      </w:pBdr>
      <w:rPr>
        <w:rFonts w:ascii="Times New Roman" w:hAnsi="Times New Roman" w:eastAsia="仿宋_GB2312" w:cs="Times New Roman"/>
      </w:rPr>
    </w:pPr>
    <w:r>
      <w:rPr>
        <w:rFonts w:hint="eastAsia" w:ascii="Times New Roman" w:hAnsi="Times New Roman" w:eastAsia="仿宋_GB2312" w:cs="Times New Roman"/>
      </w:rPr>
      <w:t>7</w:t>
    </w:r>
    <w:r>
      <w:rPr>
        <w:rFonts w:ascii="Times New Roman" w:hAnsi="Times New Roman" w:eastAsia="仿宋_GB2312" w:cs="Times New Roman"/>
      </w:rPr>
      <w:t>水土保持投资</w:t>
    </w:r>
    <w:r>
      <w:rPr>
        <w:rFonts w:hint="eastAsia" w:ascii="Times New Roman" w:hAnsi="Times New Roman" w:eastAsia="仿宋_GB2312" w:cs="Times New Roman"/>
      </w:rPr>
      <w:t>估</w:t>
    </w:r>
    <w:r>
      <w:rPr>
        <w:rFonts w:ascii="Times New Roman" w:hAnsi="Times New Roman" w:eastAsia="仿宋_GB2312" w:cs="Times New Roman"/>
      </w:rPr>
      <w:t>算及效益分析</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top w:val="none" w:color="auto" w:sz="0" w:space="1"/>
        <w:left w:val="none" w:color="auto" w:sz="0" w:space="4"/>
        <w:bottom w:val="single" w:color="auto" w:sz="4" w:space="1"/>
        <w:right w:val="none" w:color="auto" w:sz="0" w:space="4"/>
      </w:pBdr>
      <w:rPr>
        <w:rFonts w:ascii="Times New Roman" w:hAnsi="Times New Roman" w:eastAsia="仿宋_GB2312" w:cs="Times New Roman"/>
      </w:rPr>
    </w:pPr>
    <w:r>
      <w:rPr>
        <w:rFonts w:hint="eastAsia" w:ascii="Times New Roman" w:hAnsi="Times New Roman" w:eastAsia="仿宋_GB2312" w:cs="Times New Roman"/>
      </w:rPr>
      <w:t>8 水土保持管理</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none" w:color="auto" w:sz="0" w:space="1"/>
        <w:left w:val="none" w:color="auto" w:sz="0" w:space="4"/>
        <w:bottom w:val="single" w:color="auto" w:sz="4" w:space="1"/>
        <w:right w:val="none" w:color="auto" w:sz="0" w:space="4"/>
      </w:pBdr>
      <w:jc w:val="center"/>
      <w:rPr>
        <w:rFonts w:ascii="仿宋_GB2312" w:hAnsi="仿宋_GB2312" w:eastAsia="仿宋_GB2312" w:cs="仿宋_GB2312"/>
        <w:sz w:val="18"/>
        <w:szCs w:val="18"/>
      </w:rPr>
    </w:pPr>
    <w:r>
      <w:rPr>
        <w:rFonts w:hint="eastAsia" w:ascii="仿宋_GB2312" w:hAnsi="仿宋_GB2312" w:eastAsia="仿宋_GB2312" w:cs="仿宋_GB2312"/>
        <w:sz w:val="18"/>
        <w:szCs w:val="18"/>
      </w:rPr>
      <w:t>责任页</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0"/>
      </w:pBdr>
      <w:jc w:val="center"/>
      <w:rPr>
        <w:rFonts w:ascii="仿宋_GB2312" w:eastAsia="仿宋_GB2312" w:hAnsiTheme="minorHAnsi" w:cstheme="minorBidi"/>
        <w:sz w:val="21"/>
        <w:szCs w:val="21"/>
      </w:rPr>
    </w:pPr>
    <w:r>
      <w:rPr>
        <w:rFonts w:hint="eastAsia" w:ascii="仿宋_GB2312" w:eastAsia="仿宋_GB2312" w:hAnsiTheme="minorHAnsi" w:cstheme="minorBidi"/>
        <w:sz w:val="21"/>
        <w:szCs w:val="21"/>
      </w:rPr>
      <w:t>目录</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rPr>
        <w:rFonts w:ascii="Times New Roman" w:hAnsi="Times New Roman" w:eastAsia="仿宋_GB2312" w:cs="Times New Roman"/>
      </w:rPr>
    </w:pPr>
    <w:r>
      <w:rPr>
        <w:rFonts w:ascii="Times New Roman" w:hAnsi="Times New Roman" w:eastAsia="仿宋_GB2312" w:cs="Times New Roman"/>
      </w:rPr>
      <w:t>1综合说明</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rPr>
        <w:rFonts w:ascii="Times New Roman" w:hAnsi="Times New Roman" w:eastAsia="仿宋_GB2312" w:cs="Times New Roman"/>
      </w:rPr>
    </w:pPr>
    <w:r>
      <w:rPr>
        <w:rFonts w:ascii="Times New Roman" w:hAnsi="Times New Roman" w:eastAsia="仿宋_GB2312" w:cs="Times New Roman"/>
      </w:rPr>
      <w:t>2项目概况</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rPr>
        <w:sz w:val="15"/>
      </w:rPr>
    </w:pPr>
    <w:r>
      <w:rPr>
        <w:rFonts w:hint="eastAsia" w:ascii="Times New Roman" w:hAnsi="Times New Roman" w:eastAsia="仿宋_GB2312" w:cs="Times New Roman"/>
        <w:szCs w:val="21"/>
      </w:rPr>
      <w:t>2</w:t>
    </w:r>
    <w:r>
      <w:rPr>
        <w:rFonts w:ascii="Times New Roman" w:hAnsi="Times New Roman" w:eastAsia="仿宋_GB2312" w:cs="Times New Roman"/>
        <w:szCs w:val="21"/>
      </w:rPr>
      <w:t xml:space="preserve"> 项目概况</w:t>
    </w:r>
  </w:p>
  <w:p>
    <w:pPr>
      <w:pStyle w:val="25"/>
      <w:pBdr>
        <w:bottom w:val="none" w:color="auto" w:sz="0" w:space="0"/>
      </w:pBdr>
      <w:jc w:val="left"/>
      <w:rPr>
        <w:rFonts w:ascii="Times New Roman" w:hAnsi="Times New Roman" w:eastAsia="仿宋_GB2312" w:cs="Times New Roman"/>
        <w:sz w:val="21"/>
        <w:szCs w:val="21"/>
        <w:u w:val="single"/>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rPr>
        <w:sz w:val="15"/>
      </w:rPr>
    </w:pPr>
    <w:r>
      <w:rPr>
        <w:rFonts w:hint="eastAsia" w:ascii="Times New Roman" w:hAnsi="Times New Roman" w:eastAsia="仿宋_GB2312" w:cs="Times New Roman"/>
        <w:szCs w:val="21"/>
      </w:rPr>
      <w:t>2</w:t>
    </w:r>
    <w:r>
      <w:rPr>
        <w:rFonts w:ascii="Times New Roman" w:hAnsi="Times New Roman" w:eastAsia="仿宋_GB2312" w:cs="Times New Roman"/>
        <w:szCs w:val="21"/>
      </w:rPr>
      <w:t xml:space="preserve"> 项目概况</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single" w:color="auto" w:sz="6" w:space="0"/>
      </w:pBdr>
      <w:rPr>
        <w:rFonts w:ascii="Times New Roman" w:hAnsi="Times New Roman" w:eastAsia="仿宋_GB2312" w:cs="Times New Roman"/>
      </w:rPr>
    </w:pPr>
    <w:r>
      <w:rPr>
        <w:rFonts w:ascii="Times New Roman" w:hAnsi="Times New Roman" w:eastAsia="仿宋_GB2312" w:cs="Times New Roman"/>
      </w:rPr>
      <w:t>3项目水土保持评价</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7C7941A"/>
    <w:multiLevelType w:val="singleLevel"/>
    <w:tmpl w:val="57C7941A"/>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6"/>
  <w:bordersDoNotSurroundHeader w:val="0"/>
  <w:bordersDoNotSurroundFooter w:val="0"/>
  <w:hideSpellingErrors/>
  <w:documentProtection w:enforcement="0"/>
  <w:defaultTabStop w:val="420"/>
  <w:drawingGridHorizontalSpacing w:val="120"/>
  <w:drawingGridVerticalSpacing w:val="16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MDRmYzc4ZGRjMWE2Zjc0ZWI5ZjU0MjMxNGU5OWQwNDAifQ=="/>
  </w:docVars>
  <w:rsids>
    <w:rsidRoot w:val="00D27E0F"/>
    <w:rsid w:val="000002E8"/>
    <w:rsid w:val="0000051F"/>
    <w:rsid w:val="000005DC"/>
    <w:rsid w:val="00000E54"/>
    <w:rsid w:val="000012E4"/>
    <w:rsid w:val="000014DC"/>
    <w:rsid w:val="00001D74"/>
    <w:rsid w:val="00001E79"/>
    <w:rsid w:val="00002552"/>
    <w:rsid w:val="00002BBC"/>
    <w:rsid w:val="0000350E"/>
    <w:rsid w:val="00003914"/>
    <w:rsid w:val="000046E3"/>
    <w:rsid w:val="000046EB"/>
    <w:rsid w:val="0000531B"/>
    <w:rsid w:val="00005686"/>
    <w:rsid w:val="00006107"/>
    <w:rsid w:val="00006295"/>
    <w:rsid w:val="0000673D"/>
    <w:rsid w:val="0000684B"/>
    <w:rsid w:val="000069DE"/>
    <w:rsid w:val="00007338"/>
    <w:rsid w:val="0000748F"/>
    <w:rsid w:val="00007599"/>
    <w:rsid w:val="0000769E"/>
    <w:rsid w:val="000103AB"/>
    <w:rsid w:val="00012465"/>
    <w:rsid w:val="00012643"/>
    <w:rsid w:val="00012CF9"/>
    <w:rsid w:val="00013316"/>
    <w:rsid w:val="00013616"/>
    <w:rsid w:val="00013E3B"/>
    <w:rsid w:val="00013F3B"/>
    <w:rsid w:val="00014494"/>
    <w:rsid w:val="00014ED4"/>
    <w:rsid w:val="000157D7"/>
    <w:rsid w:val="00015A3D"/>
    <w:rsid w:val="00015B5D"/>
    <w:rsid w:val="00015C3F"/>
    <w:rsid w:val="000166F2"/>
    <w:rsid w:val="0001692F"/>
    <w:rsid w:val="00016D6A"/>
    <w:rsid w:val="00017346"/>
    <w:rsid w:val="0001739A"/>
    <w:rsid w:val="0001763C"/>
    <w:rsid w:val="00017BA7"/>
    <w:rsid w:val="00020283"/>
    <w:rsid w:val="00020B27"/>
    <w:rsid w:val="00020D37"/>
    <w:rsid w:val="00021036"/>
    <w:rsid w:val="000210AF"/>
    <w:rsid w:val="00021903"/>
    <w:rsid w:val="00021916"/>
    <w:rsid w:val="00021B3A"/>
    <w:rsid w:val="00021BEC"/>
    <w:rsid w:val="00021FC1"/>
    <w:rsid w:val="0002219E"/>
    <w:rsid w:val="000227C7"/>
    <w:rsid w:val="00023150"/>
    <w:rsid w:val="000233F6"/>
    <w:rsid w:val="00023788"/>
    <w:rsid w:val="000237C3"/>
    <w:rsid w:val="0002388F"/>
    <w:rsid w:val="00023CED"/>
    <w:rsid w:val="00024B19"/>
    <w:rsid w:val="00025B97"/>
    <w:rsid w:val="00025EFB"/>
    <w:rsid w:val="00026088"/>
    <w:rsid w:val="000260E3"/>
    <w:rsid w:val="00026278"/>
    <w:rsid w:val="000276A4"/>
    <w:rsid w:val="0002772F"/>
    <w:rsid w:val="000300C0"/>
    <w:rsid w:val="000304A9"/>
    <w:rsid w:val="00031119"/>
    <w:rsid w:val="0003183A"/>
    <w:rsid w:val="00031E66"/>
    <w:rsid w:val="000325B4"/>
    <w:rsid w:val="00032732"/>
    <w:rsid w:val="0003358E"/>
    <w:rsid w:val="0003414C"/>
    <w:rsid w:val="0003415D"/>
    <w:rsid w:val="0003489F"/>
    <w:rsid w:val="00034CB3"/>
    <w:rsid w:val="00034E05"/>
    <w:rsid w:val="0003553A"/>
    <w:rsid w:val="00035552"/>
    <w:rsid w:val="00035612"/>
    <w:rsid w:val="00035D4B"/>
    <w:rsid w:val="0003629A"/>
    <w:rsid w:val="00036F14"/>
    <w:rsid w:val="00037921"/>
    <w:rsid w:val="00040693"/>
    <w:rsid w:val="00040A07"/>
    <w:rsid w:val="00040DC4"/>
    <w:rsid w:val="00040F4D"/>
    <w:rsid w:val="0004177C"/>
    <w:rsid w:val="00042102"/>
    <w:rsid w:val="000422D1"/>
    <w:rsid w:val="000435CC"/>
    <w:rsid w:val="00043754"/>
    <w:rsid w:val="00044082"/>
    <w:rsid w:val="0004453B"/>
    <w:rsid w:val="00044A62"/>
    <w:rsid w:val="00044B44"/>
    <w:rsid w:val="00044BA2"/>
    <w:rsid w:val="00045258"/>
    <w:rsid w:val="00046308"/>
    <w:rsid w:val="00046477"/>
    <w:rsid w:val="00046818"/>
    <w:rsid w:val="000468F8"/>
    <w:rsid w:val="00046E49"/>
    <w:rsid w:val="000506FB"/>
    <w:rsid w:val="00050990"/>
    <w:rsid w:val="00050B5C"/>
    <w:rsid w:val="00050E52"/>
    <w:rsid w:val="00051499"/>
    <w:rsid w:val="000516AD"/>
    <w:rsid w:val="000516F9"/>
    <w:rsid w:val="0005194D"/>
    <w:rsid w:val="00051DEC"/>
    <w:rsid w:val="000530B9"/>
    <w:rsid w:val="0005376E"/>
    <w:rsid w:val="00053EEC"/>
    <w:rsid w:val="00054383"/>
    <w:rsid w:val="00055645"/>
    <w:rsid w:val="00055743"/>
    <w:rsid w:val="00055A4C"/>
    <w:rsid w:val="00056030"/>
    <w:rsid w:val="000562B6"/>
    <w:rsid w:val="000567E4"/>
    <w:rsid w:val="00056A1E"/>
    <w:rsid w:val="00056D1E"/>
    <w:rsid w:val="00057C0B"/>
    <w:rsid w:val="00057C27"/>
    <w:rsid w:val="00060162"/>
    <w:rsid w:val="0006143F"/>
    <w:rsid w:val="00061A4E"/>
    <w:rsid w:val="00061E70"/>
    <w:rsid w:val="000625FD"/>
    <w:rsid w:val="0006288B"/>
    <w:rsid w:val="00062DA0"/>
    <w:rsid w:val="00063798"/>
    <w:rsid w:val="00063F94"/>
    <w:rsid w:val="00064974"/>
    <w:rsid w:val="00064A11"/>
    <w:rsid w:val="00064A50"/>
    <w:rsid w:val="00064CCE"/>
    <w:rsid w:val="00064D05"/>
    <w:rsid w:val="00064F77"/>
    <w:rsid w:val="00064F7D"/>
    <w:rsid w:val="000659E1"/>
    <w:rsid w:val="00065FCD"/>
    <w:rsid w:val="00066B60"/>
    <w:rsid w:val="00066D2D"/>
    <w:rsid w:val="00066F8F"/>
    <w:rsid w:val="0006753A"/>
    <w:rsid w:val="0006781D"/>
    <w:rsid w:val="0006798B"/>
    <w:rsid w:val="00067DB4"/>
    <w:rsid w:val="00067DDF"/>
    <w:rsid w:val="00067FD0"/>
    <w:rsid w:val="0007002A"/>
    <w:rsid w:val="0007077B"/>
    <w:rsid w:val="000713C5"/>
    <w:rsid w:val="000713D7"/>
    <w:rsid w:val="0007143A"/>
    <w:rsid w:val="00071684"/>
    <w:rsid w:val="00071880"/>
    <w:rsid w:val="0007199F"/>
    <w:rsid w:val="00071A5F"/>
    <w:rsid w:val="00071D5D"/>
    <w:rsid w:val="000726F8"/>
    <w:rsid w:val="0007283E"/>
    <w:rsid w:val="000729E0"/>
    <w:rsid w:val="0007402B"/>
    <w:rsid w:val="000746BC"/>
    <w:rsid w:val="00074CD0"/>
    <w:rsid w:val="000750C6"/>
    <w:rsid w:val="00075804"/>
    <w:rsid w:val="00075B10"/>
    <w:rsid w:val="00076116"/>
    <w:rsid w:val="000764DF"/>
    <w:rsid w:val="00076B04"/>
    <w:rsid w:val="0007778E"/>
    <w:rsid w:val="000807E2"/>
    <w:rsid w:val="00081DDD"/>
    <w:rsid w:val="000820D6"/>
    <w:rsid w:val="00082452"/>
    <w:rsid w:val="000829B4"/>
    <w:rsid w:val="000831C7"/>
    <w:rsid w:val="00083290"/>
    <w:rsid w:val="0008330E"/>
    <w:rsid w:val="0008351D"/>
    <w:rsid w:val="00083E75"/>
    <w:rsid w:val="00084153"/>
    <w:rsid w:val="0008476D"/>
    <w:rsid w:val="0008483C"/>
    <w:rsid w:val="0008498E"/>
    <w:rsid w:val="00084A22"/>
    <w:rsid w:val="0008518D"/>
    <w:rsid w:val="00085753"/>
    <w:rsid w:val="00085D4B"/>
    <w:rsid w:val="00085DA1"/>
    <w:rsid w:val="000864FA"/>
    <w:rsid w:val="000869A7"/>
    <w:rsid w:val="00087291"/>
    <w:rsid w:val="00087328"/>
    <w:rsid w:val="00087408"/>
    <w:rsid w:val="0008766A"/>
    <w:rsid w:val="000878B5"/>
    <w:rsid w:val="000879B0"/>
    <w:rsid w:val="0009029A"/>
    <w:rsid w:val="000906C2"/>
    <w:rsid w:val="0009102A"/>
    <w:rsid w:val="0009103D"/>
    <w:rsid w:val="000919E6"/>
    <w:rsid w:val="00091AEC"/>
    <w:rsid w:val="00091AF5"/>
    <w:rsid w:val="000921A9"/>
    <w:rsid w:val="00092ACA"/>
    <w:rsid w:val="000935AC"/>
    <w:rsid w:val="00093BB9"/>
    <w:rsid w:val="00093EE8"/>
    <w:rsid w:val="00094605"/>
    <w:rsid w:val="00095317"/>
    <w:rsid w:val="00095AFB"/>
    <w:rsid w:val="00095DBD"/>
    <w:rsid w:val="000962A5"/>
    <w:rsid w:val="00096474"/>
    <w:rsid w:val="00096A16"/>
    <w:rsid w:val="00096B46"/>
    <w:rsid w:val="00096D41"/>
    <w:rsid w:val="00097755"/>
    <w:rsid w:val="000A01C6"/>
    <w:rsid w:val="000A07D5"/>
    <w:rsid w:val="000A09DA"/>
    <w:rsid w:val="000A12C7"/>
    <w:rsid w:val="000A1613"/>
    <w:rsid w:val="000A1713"/>
    <w:rsid w:val="000A17FD"/>
    <w:rsid w:val="000A2B0C"/>
    <w:rsid w:val="000A2C14"/>
    <w:rsid w:val="000A2F1C"/>
    <w:rsid w:val="000A32B6"/>
    <w:rsid w:val="000A3B1B"/>
    <w:rsid w:val="000A4868"/>
    <w:rsid w:val="000A4B5D"/>
    <w:rsid w:val="000A4D14"/>
    <w:rsid w:val="000A5412"/>
    <w:rsid w:val="000A5830"/>
    <w:rsid w:val="000A6011"/>
    <w:rsid w:val="000A64E4"/>
    <w:rsid w:val="000A669F"/>
    <w:rsid w:val="000A6CFF"/>
    <w:rsid w:val="000A6FEC"/>
    <w:rsid w:val="000B0931"/>
    <w:rsid w:val="000B0AE5"/>
    <w:rsid w:val="000B10C2"/>
    <w:rsid w:val="000B18AA"/>
    <w:rsid w:val="000B1C31"/>
    <w:rsid w:val="000B1DE1"/>
    <w:rsid w:val="000B1E43"/>
    <w:rsid w:val="000B1F60"/>
    <w:rsid w:val="000B2729"/>
    <w:rsid w:val="000B2ED2"/>
    <w:rsid w:val="000B36B6"/>
    <w:rsid w:val="000B4760"/>
    <w:rsid w:val="000B4AA4"/>
    <w:rsid w:val="000B54FE"/>
    <w:rsid w:val="000B5A87"/>
    <w:rsid w:val="000B5D3A"/>
    <w:rsid w:val="000B623D"/>
    <w:rsid w:val="000B65F2"/>
    <w:rsid w:val="000B6956"/>
    <w:rsid w:val="000C0D62"/>
    <w:rsid w:val="000C0EC1"/>
    <w:rsid w:val="000C11E9"/>
    <w:rsid w:val="000C12FA"/>
    <w:rsid w:val="000C188B"/>
    <w:rsid w:val="000C2073"/>
    <w:rsid w:val="000C2166"/>
    <w:rsid w:val="000C2E5F"/>
    <w:rsid w:val="000C3281"/>
    <w:rsid w:val="000C4B7C"/>
    <w:rsid w:val="000C51FA"/>
    <w:rsid w:val="000C5486"/>
    <w:rsid w:val="000C5591"/>
    <w:rsid w:val="000C614F"/>
    <w:rsid w:val="000C65D3"/>
    <w:rsid w:val="000C6685"/>
    <w:rsid w:val="000C6AD9"/>
    <w:rsid w:val="000C716B"/>
    <w:rsid w:val="000C78AA"/>
    <w:rsid w:val="000C7C55"/>
    <w:rsid w:val="000D09BA"/>
    <w:rsid w:val="000D09DE"/>
    <w:rsid w:val="000D0B88"/>
    <w:rsid w:val="000D0E1B"/>
    <w:rsid w:val="000D0E87"/>
    <w:rsid w:val="000D1143"/>
    <w:rsid w:val="000D123C"/>
    <w:rsid w:val="000D1A0E"/>
    <w:rsid w:val="000D1B25"/>
    <w:rsid w:val="000D20E5"/>
    <w:rsid w:val="000D2BA1"/>
    <w:rsid w:val="000D33A5"/>
    <w:rsid w:val="000D346B"/>
    <w:rsid w:val="000D384F"/>
    <w:rsid w:val="000D3B26"/>
    <w:rsid w:val="000D3B87"/>
    <w:rsid w:val="000D46E2"/>
    <w:rsid w:val="000D4850"/>
    <w:rsid w:val="000D4BE0"/>
    <w:rsid w:val="000D4C5B"/>
    <w:rsid w:val="000D4ED4"/>
    <w:rsid w:val="000D4F51"/>
    <w:rsid w:val="000D526A"/>
    <w:rsid w:val="000D5B1B"/>
    <w:rsid w:val="000D712B"/>
    <w:rsid w:val="000D74E7"/>
    <w:rsid w:val="000D7608"/>
    <w:rsid w:val="000D7BC2"/>
    <w:rsid w:val="000E05CF"/>
    <w:rsid w:val="000E0B24"/>
    <w:rsid w:val="000E0F53"/>
    <w:rsid w:val="000E11AD"/>
    <w:rsid w:val="000E1626"/>
    <w:rsid w:val="000E162E"/>
    <w:rsid w:val="000E2172"/>
    <w:rsid w:val="000E2EA8"/>
    <w:rsid w:val="000E2EE4"/>
    <w:rsid w:val="000E3CD5"/>
    <w:rsid w:val="000E496A"/>
    <w:rsid w:val="000E498E"/>
    <w:rsid w:val="000E4CC1"/>
    <w:rsid w:val="000E4E9C"/>
    <w:rsid w:val="000E50EC"/>
    <w:rsid w:val="000E5A87"/>
    <w:rsid w:val="000E6030"/>
    <w:rsid w:val="000E608E"/>
    <w:rsid w:val="000E687E"/>
    <w:rsid w:val="000E69E1"/>
    <w:rsid w:val="000E6C3A"/>
    <w:rsid w:val="000E6E49"/>
    <w:rsid w:val="000E6ED6"/>
    <w:rsid w:val="000E7F08"/>
    <w:rsid w:val="000F009A"/>
    <w:rsid w:val="000F0249"/>
    <w:rsid w:val="000F039D"/>
    <w:rsid w:val="000F0778"/>
    <w:rsid w:val="000F21B1"/>
    <w:rsid w:val="000F2646"/>
    <w:rsid w:val="000F3355"/>
    <w:rsid w:val="000F4136"/>
    <w:rsid w:val="000F4199"/>
    <w:rsid w:val="000F476A"/>
    <w:rsid w:val="000F47B4"/>
    <w:rsid w:val="000F4E52"/>
    <w:rsid w:val="000F78DC"/>
    <w:rsid w:val="000F794C"/>
    <w:rsid w:val="000F7E28"/>
    <w:rsid w:val="001000F5"/>
    <w:rsid w:val="001002E4"/>
    <w:rsid w:val="00100A4B"/>
    <w:rsid w:val="00100CD6"/>
    <w:rsid w:val="001014AF"/>
    <w:rsid w:val="001014F1"/>
    <w:rsid w:val="00101AE9"/>
    <w:rsid w:val="00101DE6"/>
    <w:rsid w:val="00103B1E"/>
    <w:rsid w:val="00103BFB"/>
    <w:rsid w:val="00104681"/>
    <w:rsid w:val="0010469D"/>
    <w:rsid w:val="00104EAB"/>
    <w:rsid w:val="00105309"/>
    <w:rsid w:val="00105755"/>
    <w:rsid w:val="001060D1"/>
    <w:rsid w:val="001065EF"/>
    <w:rsid w:val="00106780"/>
    <w:rsid w:val="00107737"/>
    <w:rsid w:val="0010777A"/>
    <w:rsid w:val="00107AF6"/>
    <w:rsid w:val="00107B30"/>
    <w:rsid w:val="00107D5D"/>
    <w:rsid w:val="00107F41"/>
    <w:rsid w:val="0011071C"/>
    <w:rsid w:val="00110B19"/>
    <w:rsid w:val="00111251"/>
    <w:rsid w:val="001115E0"/>
    <w:rsid w:val="00111E3F"/>
    <w:rsid w:val="0011283E"/>
    <w:rsid w:val="00112C6B"/>
    <w:rsid w:val="00113286"/>
    <w:rsid w:val="001137B3"/>
    <w:rsid w:val="00114514"/>
    <w:rsid w:val="00114DA6"/>
    <w:rsid w:val="00114DA9"/>
    <w:rsid w:val="00115011"/>
    <w:rsid w:val="00116408"/>
    <w:rsid w:val="00116609"/>
    <w:rsid w:val="00116881"/>
    <w:rsid w:val="00116D04"/>
    <w:rsid w:val="00117EE0"/>
    <w:rsid w:val="00120683"/>
    <w:rsid w:val="001206F5"/>
    <w:rsid w:val="001211C4"/>
    <w:rsid w:val="00121C52"/>
    <w:rsid w:val="00121C66"/>
    <w:rsid w:val="00122882"/>
    <w:rsid w:val="00122A5E"/>
    <w:rsid w:val="00123457"/>
    <w:rsid w:val="001237C8"/>
    <w:rsid w:val="00123ADC"/>
    <w:rsid w:val="001249CB"/>
    <w:rsid w:val="00124A27"/>
    <w:rsid w:val="00124C09"/>
    <w:rsid w:val="00125D13"/>
    <w:rsid w:val="001261A9"/>
    <w:rsid w:val="00127068"/>
    <w:rsid w:val="00127289"/>
    <w:rsid w:val="0012762F"/>
    <w:rsid w:val="00127971"/>
    <w:rsid w:val="00127E72"/>
    <w:rsid w:val="00127F38"/>
    <w:rsid w:val="001303CA"/>
    <w:rsid w:val="00130412"/>
    <w:rsid w:val="001309D0"/>
    <w:rsid w:val="00130C64"/>
    <w:rsid w:val="00131067"/>
    <w:rsid w:val="0013154C"/>
    <w:rsid w:val="0013175F"/>
    <w:rsid w:val="0013242F"/>
    <w:rsid w:val="00133FA0"/>
    <w:rsid w:val="00134EB5"/>
    <w:rsid w:val="00134EBA"/>
    <w:rsid w:val="001352B6"/>
    <w:rsid w:val="00135E7F"/>
    <w:rsid w:val="00136647"/>
    <w:rsid w:val="00136875"/>
    <w:rsid w:val="00136CB8"/>
    <w:rsid w:val="00137340"/>
    <w:rsid w:val="0014049E"/>
    <w:rsid w:val="001414A3"/>
    <w:rsid w:val="001424C9"/>
    <w:rsid w:val="0014303E"/>
    <w:rsid w:val="00143312"/>
    <w:rsid w:val="001433D0"/>
    <w:rsid w:val="00144C0D"/>
    <w:rsid w:val="0014503D"/>
    <w:rsid w:val="001457E5"/>
    <w:rsid w:val="001464A8"/>
    <w:rsid w:val="001467C2"/>
    <w:rsid w:val="00146ADC"/>
    <w:rsid w:val="00146E53"/>
    <w:rsid w:val="0014726A"/>
    <w:rsid w:val="00147407"/>
    <w:rsid w:val="00147665"/>
    <w:rsid w:val="00150C5D"/>
    <w:rsid w:val="00150F07"/>
    <w:rsid w:val="001514A4"/>
    <w:rsid w:val="0015154A"/>
    <w:rsid w:val="00151E26"/>
    <w:rsid w:val="00152389"/>
    <w:rsid w:val="00152562"/>
    <w:rsid w:val="00152CCD"/>
    <w:rsid w:val="00153E0A"/>
    <w:rsid w:val="0015465C"/>
    <w:rsid w:val="00154783"/>
    <w:rsid w:val="00155154"/>
    <w:rsid w:val="00155510"/>
    <w:rsid w:val="0015693B"/>
    <w:rsid w:val="00156F79"/>
    <w:rsid w:val="00157464"/>
    <w:rsid w:val="00157C72"/>
    <w:rsid w:val="00160DA2"/>
    <w:rsid w:val="00160FC6"/>
    <w:rsid w:val="00161617"/>
    <w:rsid w:val="00162185"/>
    <w:rsid w:val="00162B30"/>
    <w:rsid w:val="0016361C"/>
    <w:rsid w:val="00163F4D"/>
    <w:rsid w:val="00165AAB"/>
    <w:rsid w:val="00165D53"/>
    <w:rsid w:val="00165DE4"/>
    <w:rsid w:val="0016610A"/>
    <w:rsid w:val="001661BE"/>
    <w:rsid w:val="00166C5C"/>
    <w:rsid w:val="00166D1A"/>
    <w:rsid w:val="00166D1B"/>
    <w:rsid w:val="00167219"/>
    <w:rsid w:val="0016721B"/>
    <w:rsid w:val="0016760E"/>
    <w:rsid w:val="0017028A"/>
    <w:rsid w:val="00170568"/>
    <w:rsid w:val="00170B96"/>
    <w:rsid w:val="00170EC6"/>
    <w:rsid w:val="0017144A"/>
    <w:rsid w:val="00171532"/>
    <w:rsid w:val="00171685"/>
    <w:rsid w:val="00171B0E"/>
    <w:rsid w:val="00173398"/>
    <w:rsid w:val="001733D2"/>
    <w:rsid w:val="00173537"/>
    <w:rsid w:val="00173BEF"/>
    <w:rsid w:val="00173FC4"/>
    <w:rsid w:val="00174B33"/>
    <w:rsid w:val="0017520D"/>
    <w:rsid w:val="001776E6"/>
    <w:rsid w:val="00177B1E"/>
    <w:rsid w:val="00177B97"/>
    <w:rsid w:val="00177FE5"/>
    <w:rsid w:val="00180357"/>
    <w:rsid w:val="00180984"/>
    <w:rsid w:val="00180A3B"/>
    <w:rsid w:val="00181336"/>
    <w:rsid w:val="00181D87"/>
    <w:rsid w:val="0018205D"/>
    <w:rsid w:val="001828BF"/>
    <w:rsid w:val="0018297E"/>
    <w:rsid w:val="001829DE"/>
    <w:rsid w:val="00182BB7"/>
    <w:rsid w:val="00182C4A"/>
    <w:rsid w:val="0018363E"/>
    <w:rsid w:val="00183788"/>
    <w:rsid w:val="001838E6"/>
    <w:rsid w:val="00183E36"/>
    <w:rsid w:val="0018412C"/>
    <w:rsid w:val="00184203"/>
    <w:rsid w:val="001849E0"/>
    <w:rsid w:val="00184B61"/>
    <w:rsid w:val="00184E27"/>
    <w:rsid w:val="00185AEA"/>
    <w:rsid w:val="00186862"/>
    <w:rsid w:val="001868F2"/>
    <w:rsid w:val="0018728E"/>
    <w:rsid w:val="001876B5"/>
    <w:rsid w:val="00187BAE"/>
    <w:rsid w:val="00187F74"/>
    <w:rsid w:val="00190828"/>
    <w:rsid w:val="00190A71"/>
    <w:rsid w:val="0019112E"/>
    <w:rsid w:val="0019144B"/>
    <w:rsid w:val="00191A61"/>
    <w:rsid w:val="00191ED4"/>
    <w:rsid w:val="00192050"/>
    <w:rsid w:val="00192B42"/>
    <w:rsid w:val="00192DC4"/>
    <w:rsid w:val="00193B60"/>
    <w:rsid w:val="00193DE5"/>
    <w:rsid w:val="001941F5"/>
    <w:rsid w:val="00194A97"/>
    <w:rsid w:val="00195246"/>
    <w:rsid w:val="0019524C"/>
    <w:rsid w:val="001952C9"/>
    <w:rsid w:val="001957CD"/>
    <w:rsid w:val="00195864"/>
    <w:rsid w:val="00195F40"/>
    <w:rsid w:val="00196919"/>
    <w:rsid w:val="001969F4"/>
    <w:rsid w:val="001A0B5A"/>
    <w:rsid w:val="001A0C5B"/>
    <w:rsid w:val="001A0D45"/>
    <w:rsid w:val="001A0D97"/>
    <w:rsid w:val="001A0DDA"/>
    <w:rsid w:val="001A0F1A"/>
    <w:rsid w:val="001A109F"/>
    <w:rsid w:val="001A1384"/>
    <w:rsid w:val="001A140F"/>
    <w:rsid w:val="001A1491"/>
    <w:rsid w:val="001A1920"/>
    <w:rsid w:val="001A2F16"/>
    <w:rsid w:val="001A32FD"/>
    <w:rsid w:val="001A3C5F"/>
    <w:rsid w:val="001A3DD7"/>
    <w:rsid w:val="001A46A2"/>
    <w:rsid w:val="001A4AE3"/>
    <w:rsid w:val="001A545C"/>
    <w:rsid w:val="001A5706"/>
    <w:rsid w:val="001A57ED"/>
    <w:rsid w:val="001A5B0F"/>
    <w:rsid w:val="001A5F0A"/>
    <w:rsid w:val="001A6527"/>
    <w:rsid w:val="001A6A4B"/>
    <w:rsid w:val="001A720D"/>
    <w:rsid w:val="001A760F"/>
    <w:rsid w:val="001A78D4"/>
    <w:rsid w:val="001A7EDA"/>
    <w:rsid w:val="001B05CA"/>
    <w:rsid w:val="001B2A1A"/>
    <w:rsid w:val="001B2FE1"/>
    <w:rsid w:val="001B3193"/>
    <w:rsid w:val="001B3679"/>
    <w:rsid w:val="001B387B"/>
    <w:rsid w:val="001B3AD7"/>
    <w:rsid w:val="001B54E1"/>
    <w:rsid w:val="001B5654"/>
    <w:rsid w:val="001B5D89"/>
    <w:rsid w:val="001B606C"/>
    <w:rsid w:val="001B6105"/>
    <w:rsid w:val="001B6B47"/>
    <w:rsid w:val="001B73D0"/>
    <w:rsid w:val="001B7562"/>
    <w:rsid w:val="001B75C7"/>
    <w:rsid w:val="001B79CF"/>
    <w:rsid w:val="001B7AF9"/>
    <w:rsid w:val="001B7E18"/>
    <w:rsid w:val="001C0903"/>
    <w:rsid w:val="001C0968"/>
    <w:rsid w:val="001C10D5"/>
    <w:rsid w:val="001C16BB"/>
    <w:rsid w:val="001C16D9"/>
    <w:rsid w:val="001C28DD"/>
    <w:rsid w:val="001C48A7"/>
    <w:rsid w:val="001C48E3"/>
    <w:rsid w:val="001C494A"/>
    <w:rsid w:val="001C49CF"/>
    <w:rsid w:val="001C6522"/>
    <w:rsid w:val="001C67E2"/>
    <w:rsid w:val="001C6D9E"/>
    <w:rsid w:val="001C71C7"/>
    <w:rsid w:val="001C7B74"/>
    <w:rsid w:val="001D0782"/>
    <w:rsid w:val="001D0ECD"/>
    <w:rsid w:val="001D1107"/>
    <w:rsid w:val="001D1C83"/>
    <w:rsid w:val="001D2D12"/>
    <w:rsid w:val="001D3884"/>
    <w:rsid w:val="001D3F42"/>
    <w:rsid w:val="001D3FFD"/>
    <w:rsid w:val="001D42C4"/>
    <w:rsid w:val="001D42CC"/>
    <w:rsid w:val="001D4AE2"/>
    <w:rsid w:val="001D4D84"/>
    <w:rsid w:val="001D4EC0"/>
    <w:rsid w:val="001D566C"/>
    <w:rsid w:val="001D5719"/>
    <w:rsid w:val="001D5DB9"/>
    <w:rsid w:val="001D5F09"/>
    <w:rsid w:val="001D5F6D"/>
    <w:rsid w:val="001D6B0A"/>
    <w:rsid w:val="001D6FB8"/>
    <w:rsid w:val="001D71B3"/>
    <w:rsid w:val="001D7BE5"/>
    <w:rsid w:val="001D7F8A"/>
    <w:rsid w:val="001D7F8F"/>
    <w:rsid w:val="001E0735"/>
    <w:rsid w:val="001E14E0"/>
    <w:rsid w:val="001E2ADE"/>
    <w:rsid w:val="001E2CAE"/>
    <w:rsid w:val="001E30BD"/>
    <w:rsid w:val="001E30CB"/>
    <w:rsid w:val="001E3145"/>
    <w:rsid w:val="001E3A12"/>
    <w:rsid w:val="001E3C50"/>
    <w:rsid w:val="001E4124"/>
    <w:rsid w:val="001E4187"/>
    <w:rsid w:val="001E4C26"/>
    <w:rsid w:val="001E518B"/>
    <w:rsid w:val="001E51F4"/>
    <w:rsid w:val="001E52B0"/>
    <w:rsid w:val="001E52B9"/>
    <w:rsid w:val="001E5C30"/>
    <w:rsid w:val="001E60AA"/>
    <w:rsid w:val="001E6490"/>
    <w:rsid w:val="001E64FE"/>
    <w:rsid w:val="001E74F1"/>
    <w:rsid w:val="001E79B9"/>
    <w:rsid w:val="001E7C47"/>
    <w:rsid w:val="001F075F"/>
    <w:rsid w:val="001F07CF"/>
    <w:rsid w:val="001F0C09"/>
    <w:rsid w:val="001F18B7"/>
    <w:rsid w:val="001F1AC0"/>
    <w:rsid w:val="001F1E7A"/>
    <w:rsid w:val="001F2135"/>
    <w:rsid w:val="001F234C"/>
    <w:rsid w:val="001F25DB"/>
    <w:rsid w:val="001F29DE"/>
    <w:rsid w:val="001F2DF8"/>
    <w:rsid w:val="001F3339"/>
    <w:rsid w:val="001F3C49"/>
    <w:rsid w:val="001F3E6B"/>
    <w:rsid w:val="001F445E"/>
    <w:rsid w:val="001F5654"/>
    <w:rsid w:val="001F60D6"/>
    <w:rsid w:val="001F626C"/>
    <w:rsid w:val="001F635A"/>
    <w:rsid w:val="001F6D3A"/>
    <w:rsid w:val="001F7830"/>
    <w:rsid w:val="001F7DE2"/>
    <w:rsid w:val="001F7FF8"/>
    <w:rsid w:val="0020086B"/>
    <w:rsid w:val="00200911"/>
    <w:rsid w:val="00200A4B"/>
    <w:rsid w:val="002018AF"/>
    <w:rsid w:val="002019BA"/>
    <w:rsid w:val="00201FC1"/>
    <w:rsid w:val="002024F5"/>
    <w:rsid w:val="0020252D"/>
    <w:rsid w:val="00202D5E"/>
    <w:rsid w:val="00202EE2"/>
    <w:rsid w:val="00202FC8"/>
    <w:rsid w:val="0020368B"/>
    <w:rsid w:val="002036DF"/>
    <w:rsid w:val="0020371B"/>
    <w:rsid w:val="002044EE"/>
    <w:rsid w:val="00204CC6"/>
    <w:rsid w:val="002050D4"/>
    <w:rsid w:val="0020563C"/>
    <w:rsid w:val="00205FF4"/>
    <w:rsid w:val="002064DC"/>
    <w:rsid w:val="00206573"/>
    <w:rsid w:val="00206907"/>
    <w:rsid w:val="00206BFB"/>
    <w:rsid w:val="00207E66"/>
    <w:rsid w:val="00210145"/>
    <w:rsid w:val="00210FDA"/>
    <w:rsid w:val="0021100B"/>
    <w:rsid w:val="00211869"/>
    <w:rsid w:val="00211ED5"/>
    <w:rsid w:val="00212FDD"/>
    <w:rsid w:val="00213351"/>
    <w:rsid w:val="00213E30"/>
    <w:rsid w:val="002141B7"/>
    <w:rsid w:val="002141CE"/>
    <w:rsid w:val="002153B5"/>
    <w:rsid w:val="00215DC3"/>
    <w:rsid w:val="002165B6"/>
    <w:rsid w:val="00216C43"/>
    <w:rsid w:val="00216DCF"/>
    <w:rsid w:val="00216F20"/>
    <w:rsid w:val="00216F47"/>
    <w:rsid w:val="00216FC6"/>
    <w:rsid w:val="00216FF7"/>
    <w:rsid w:val="00217442"/>
    <w:rsid w:val="002204AF"/>
    <w:rsid w:val="00221160"/>
    <w:rsid w:val="00222172"/>
    <w:rsid w:val="00222771"/>
    <w:rsid w:val="00222AC6"/>
    <w:rsid w:val="0022327D"/>
    <w:rsid w:val="00223E7A"/>
    <w:rsid w:val="002246E0"/>
    <w:rsid w:val="00224A05"/>
    <w:rsid w:val="0022506E"/>
    <w:rsid w:val="0022522D"/>
    <w:rsid w:val="00225604"/>
    <w:rsid w:val="00225998"/>
    <w:rsid w:val="00225A49"/>
    <w:rsid w:val="00225BCE"/>
    <w:rsid w:val="00225DF8"/>
    <w:rsid w:val="00225F15"/>
    <w:rsid w:val="00226A16"/>
    <w:rsid w:val="00226B3F"/>
    <w:rsid w:val="00226EDB"/>
    <w:rsid w:val="00226F1A"/>
    <w:rsid w:val="00227184"/>
    <w:rsid w:val="002302CF"/>
    <w:rsid w:val="00230923"/>
    <w:rsid w:val="0023101A"/>
    <w:rsid w:val="00231368"/>
    <w:rsid w:val="002314BB"/>
    <w:rsid w:val="00231888"/>
    <w:rsid w:val="002318CF"/>
    <w:rsid w:val="00231966"/>
    <w:rsid w:val="00231AD7"/>
    <w:rsid w:val="00231C15"/>
    <w:rsid w:val="00231FA5"/>
    <w:rsid w:val="00232174"/>
    <w:rsid w:val="00232311"/>
    <w:rsid w:val="002335FE"/>
    <w:rsid w:val="00233600"/>
    <w:rsid w:val="0023386E"/>
    <w:rsid w:val="002341B4"/>
    <w:rsid w:val="0023495F"/>
    <w:rsid w:val="00234B60"/>
    <w:rsid w:val="00234EEE"/>
    <w:rsid w:val="00237640"/>
    <w:rsid w:val="00237DF1"/>
    <w:rsid w:val="00237E1B"/>
    <w:rsid w:val="002401EE"/>
    <w:rsid w:val="00240787"/>
    <w:rsid w:val="0024126F"/>
    <w:rsid w:val="00241395"/>
    <w:rsid w:val="00241AE4"/>
    <w:rsid w:val="0024249F"/>
    <w:rsid w:val="002425A4"/>
    <w:rsid w:val="00242A54"/>
    <w:rsid w:val="0024377D"/>
    <w:rsid w:val="00243E09"/>
    <w:rsid w:val="00243E78"/>
    <w:rsid w:val="002447E3"/>
    <w:rsid w:val="00244BF0"/>
    <w:rsid w:val="00244F60"/>
    <w:rsid w:val="00245259"/>
    <w:rsid w:val="00245BEB"/>
    <w:rsid w:val="002460F9"/>
    <w:rsid w:val="00246345"/>
    <w:rsid w:val="00247567"/>
    <w:rsid w:val="002478B3"/>
    <w:rsid w:val="00247C64"/>
    <w:rsid w:val="00250114"/>
    <w:rsid w:val="00250248"/>
    <w:rsid w:val="00250AB5"/>
    <w:rsid w:val="00251893"/>
    <w:rsid w:val="00251B2A"/>
    <w:rsid w:val="002524DC"/>
    <w:rsid w:val="00252529"/>
    <w:rsid w:val="0025292A"/>
    <w:rsid w:val="0025350F"/>
    <w:rsid w:val="00253538"/>
    <w:rsid w:val="002540D7"/>
    <w:rsid w:val="002541FE"/>
    <w:rsid w:val="0025485C"/>
    <w:rsid w:val="002549D9"/>
    <w:rsid w:val="00254A5B"/>
    <w:rsid w:val="00254CE6"/>
    <w:rsid w:val="00254EE8"/>
    <w:rsid w:val="00255149"/>
    <w:rsid w:val="00255C96"/>
    <w:rsid w:val="002565D0"/>
    <w:rsid w:val="002566EE"/>
    <w:rsid w:val="00256C09"/>
    <w:rsid w:val="0025714E"/>
    <w:rsid w:val="002577FE"/>
    <w:rsid w:val="00257E54"/>
    <w:rsid w:val="00260978"/>
    <w:rsid w:val="00261662"/>
    <w:rsid w:val="00262331"/>
    <w:rsid w:val="0026320E"/>
    <w:rsid w:val="00263C7E"/>
    <w:rsid w:val="00264057"/>
    <w:rsid w:val="00264DF6"/>
    <w:rsid w:val="00264F8F"/>
    <w:rsid w:val="00265AFF"/>
    <w:rsid w:val="00265BDD"/>
    <w:rsid w:val="00266013"/>
    <w:rsid w:val="002661E1"/>
    <w:rsid w:val="0026639A"/>
    <w:rsid w:val="00266DDC"/>
    <w:rsid w:val="00267145"/>
    <w:rsid w:val="00267F9C"/>
    <w:rsid w:val="0027042C"/>
    <w:rsid w:val="00270555"/>
    <w:rsid w:val="00270DB5"/>
    <w:rsid w:val="00270E1B"/>
    <w:rsid w:val="00271A1D"/>
    <w:rsid w:val="002722AB"/>
    <w:rsid w:val="002726AF"/>
    <w:rsid w:val="00272B3B"/>
    <w:rsid w:val="00273678"/>
    <w:rsid w:val="002740AD"/>
    <w:rsid w:val="002741F3"/>
    <w:rsid w:val="00274AD9"/>
    <w:rsid w:val="00274E45"/>
    <w:rsid w:val="00275472"/>
    <w:rsid w:val="0027571A"/>
    <w:rsid w:val="002767B9"/>
    <w:rsid w:val="00276879"/>
    <w:rsid w:val="00276AD4"/>
    <w:rsid w:val="002777F1"/>
    <w:rsid w:val="00277920"/>
    <w:rsid w:val="00277D67"/>
    <w:rsid w:val="002800B5"/>
    <w:rsid w:val="0028036E"/>
    <w:rsid w:val="002803B2"/>
    <w:rsid w:val="002805AE"/>
    <w:rsid w:val="00280DEE"/>
    <w:rsid w:val="0028114A"/>
    <w:rsid w:val="00281380"/>
    <w:rsid w:val="00281ACD"/>
    <w:rsid w:val="00281C91"/>
    <w:rsid w:val="00281ED0"/>
    <w:rsid w:val="002826F4"/>
    <w:rsid w:val="0028281C"/>
    <w:rsid w:val="00282F76"/>
    <w:rsid w:val="00283297"/>
    <w:rsid w:val="00283BCC"/>
    <w:rsid w:val="0028437E"/>
    <w:rsid w:val="00284D98"/>
    <w:rsid w:val="00285641"/>
    <w:rsid w:val="00286541"/>
    <w:rsid w:val="00286F8A"/>
    <w:rsid w:val="0029055C"/>
    <w:rsid w:val="002909D6"/>
    <w:rsid w:val="00290A70"/>
    <w:rsid w:val="00290B49"/>
    <w:rsid w:val="00290B50"/>
    <w:rsid w:val="00290DD6"/>
    <w:rsid w:val="002915F3"/>
    <w:rsid w:val="002915FB"/>
    <w:rsid w:val="00291914"/>
    <w:rsid w:val="00292254"/>
    <w:rsid w:val="002925FC"/>
    <w:rsid w:val="002935C0"/>
    <w:rsid w:val="00293624"/>
    <w:rsid w:val="00293ADA"/>
    <w:rsid w:val="00293D83"/>
    <w:rsid w:val="00293E80"/>
    <w:rsid w:val="00294A1D"/>
    <w:rsid w:val="0029536E"/>
    <w:rsid w:val="00295485"/>
    <w:rsid w:val="002954D9"/>
    <w:rsid w:val="0029737D"/>
    <w:rsid w:val="00297C3D"/>
    <w:rsid w:val="002A10C1"/>
    <w:rsid w:val="002A1172"/>
    <w:rsid w:val="002A154F"/>
    <w:rsid w:val="002A1FA7"/>
    <w:rsid w:val="002A2D4E"/>
    <w:rsid w:val="002A2ED5"/>
    <w:rsid w:val="002A3130"/>
    <w:rsid w:val="002A396A"/>
    <w:rsid w:val="002A3EF3"/>
    <w:rsid w:val="002A3F45"/>
    <w:rsid w:val="002A3FC1"/>
    <w:rsid w:val="002A3FEE"/>
    <w:rsid w:val="002A73E5"/>
    <w:rsid w:val="002A76B0"/>
    <w:rsid w:val="002A7893"/>
    <w:rsid w:val="002A7C51"/>
    <w:rsid w:val="002B07CB"/>
    <w:rsid w:val="002B0BF1"/>
    <w:rsid w:val="002B0E2A"/>
    <w:rsid w:val="002B1321"/>
    <w:rsid w:val="002B195F"/>
    <w:rsid w:val="002B19F9"/>
    <w:rsid w:val="002B1BCE"/>
    <w:rsid w:val="002B237B"/>
    <w:rsid w:val="002B2A32"/>
    <w:rsid w:val="002B2AE3"/>
    <w:rsid w:val="002B3210"/>
    <w:rsid w:val="002B38AA"/>
    <w:rsid w:val="002B39BF"/>
    <w:rsid w:val="002B3B6B"/>
    <w:rsid w:val="002B3B93"/>
    <w:rsid w:val="002B3C66"/>
    <w:rsid w:val="002B3D39"/>
    <w:rsid w:val="002B410C"/>
    <w:rsid w:val="002B4264"/>
    <w:rsid w:val="002B45AE"/>
    <w:rsid w:val="002B5398"/>
    <w:rsid w:val="002B5AD0"/>
    <w:rsid w:val="002B5C27"/>
    <w:rsid w:val="002B60D2"/>
    <w:rsid w:val="002B6206"/>
    <w:rsid w:val="002B6571"/>
    <w:rsid w:val="002B65E5"/>
    <w:rsid w:val="002B72FB"/>
    <w:rsid w:val="002B7478"/>
    <w:rsid w:val="002C0191"/>
    <w:rsid w:val="002C0E42"/>
    <w:rsid w:val="002C13A2"/>
    <w:rsid w:val="002C15BA"/>
    <w:rsid w:val="002C1660"/>
    <w:rsid w:val="002C1757"/>
    <w:rsid w:val="002C1DE0"/>
    <w:rsid w:val="002C1EB5"/>
    <w:rsid w:val="002C22AA"/>
    <w:rsid w:val="002C3F14"/>
    <w:rsid w:val="002C452C"/>
    <w:rsid w:val="002C4545"/>
    <w:rsid w:val="002C4FD1"/>
    <w:rsid w:val="002C509D"/>
    <w:rsid w:val="002C5868"/>
    <w:rsid w:val="002C5908"/>
    <w:rsid w:val="002C59A1"/>
    <w:rsid w:val="002C6009"/>
    <w:rsid w:val="002C6214"/>
    <w:rsid w:val="002C6533"/>
    <w:rsid w:val="002D078B"/>
    <w:rsid w:val="002D0CB0"/>
    <w:rsid w:val="002D0CBB"/>
    <w:rsid w:val="002D0CEF"/>
    <w:rsid w:val="002D1896"/>
    <w:rsid w:val="002D19F8"/>
    <w:rsid w:val="002D1D3C"/>
    <w:rsid w:val="002D2030"/>
    <w:rsid w:val="002D20BA"/>
    <w:rsid w:val="002D2471"/>
    <w:rsid w:val="002D2A59"/>
    <w:rsid w:val="002D2CB8"/>
    <w:rsid w:val="002D31EC"/>
    <w:rsid w:val="002D3369"/>
    <w:rsid w:val="002D3A71"/>
    <w:rsid w:val="002D3B35"/>
    <w:rsid w:val="002D3B52"/>
    <w:rsid w:val="002D3EB8"/>
    <w:rsid w:val="002D452B"/>
    <w:rsid w:val="002D495D"/>
    <w:rsid w:val="002D49B0"/>
    <w:rsid w:val="002D5129"/>
    <w:rsid w:val="002D51CA"/>
    <w:rsid w:val="002D7B8E"/>
    <w:rsid w:val="002D7E1B"/>
    <w:rsid w:val="002E0345"/>
    <w:rsid w:val="002E0CAB"/>
    <w:rsid w:val="002E1584"/>
    <w:rsid w:val="002E15A1"/>
    <w:rsid w:val="002E1E0D"/>
    <w:rsid w:val="002E2196"/>
    <w:rsid w:val="002E25C0"/>
    <w:rsid w:val="002E2857"/>
    <w:rsid w:val="002E2C7A"/>
    <w:rsid w:val="002E30B3"/>
    <w:rsid w:val="002E3905"/>
    <w:rsid w:val="002E44EB"/>
    <w:rsid w:val="002E4557"/>
    <w:rsid w:val="002E475D"/>
    <w:rsid w:val="002E4C2A"/>
    <w:rsid w:val="002E5E55"/>
    <w:rsid w:val="002E6895"/>
    <w:rsid w:val="002E6959"/>
    <w:rsid w:val="002F0443"/>
    <w:rsid w:val="002F1149"/>
    <w:rsid w:val="002F1509"/>
    <w:rsid w:val="002F17EF"/>
    <w:rsid w:val="002F1810"/>
    <w:rsid w:val="002F1A2F"/>
    <w:rsid w:val="002F21BF"/>
    <w:rsid w:val="002F21C0"/>
    <w:rsid w:val="002F2CCE"/>
    <w:rsid w:val="002F34F7"/>
    <w:rsid w:val="002F3FCD"/>
    <w:rsid w:val="002F427A"/>
    <w:rsid w:val="002F43BB"/>
    <w:rsid w:val="002F44E0"/>
    <w:rsid w:val="002F4607"/>
    <w:rsid w:val="002F5090"/>
    <w:rsid w:val="002F54EF"/>
    <w:rsid w:val="002F58AE"/>
    <w:rsid w:val="002F6535"/>
    <w:rsid w:val="002F6B25"/>
    <w:rsid w:val="002F7582"/>
    <w:rsid w:val="002F7B2C"/>
    <w:rsid w:val="00300095"/>
    <w:rsid w:val="00300784"/>
    <w:rsid w:val="00300AA2"/>
    <w:rsid w:val="00300CD6"/>
    <w:rsid w:val="00301015"/>
    <w:rsid w:val="0030174B"/>
    <w:rsid w:val="00301A34"/>
    <w:rsid w:val="00301A8E"/>
    <w:rsid w:val="00301E0A"/>
    <w:rsid w:val="0030259F"/>
    <w:rsid w:val="003028DC"/>
    <w:rsid w:val="00302903"/>
    <w:rsid w:val="00302BE2"/>
    <w:rsid w:val="00302E0B"/>
    <w:rsid w:val="00303163"/>
    <w:rsid w:val="00303420"/>
    <w:rsid w:val="00303455"/>
    <w:rsid w:val="00303730"/>
    <w:rsid w:val="003038CA"/>
    <w:rsid w:val="00303E0C"/>
    <w:rsid w:val="003045D9"/>
    <w:rsid w:val="003046AF"/>
    <w:rsid w:val="0030499D"/>
    <w:rsid w:val="00304B38"/>
    <w:rsid w:val="00304D63"/>
    <w:rsid w:val="0030504A"/>
    <w:rsid w:val="003051EC"/>
    <w:rsid w:val="00305647"/>
    <w:rsid w:val="00305A4A"/>
    <w:rsid w:val="00305D2F"/>
    <w:rsid w:val="0030612C"/>
    <w:rsid w:val="00306671"/>
    <w:rsid w:val="00306B47"/>
    <w:rsid w:val="00306D8C"/>
    <w:rsid w:val="00306DD1"/>
    <w:rsid w:val="00307769"/>
    <w:rsid w:val="0030779E"/>
    <w:rsid w:val="00307E09"/>
    <w:rsid w:val="00307EBF"/>
    <w:rsid w:val="00311125"/>
    <w:rsid w:val="003117A1"/>
    <w:rsid w:val="00312381"/>
    <w:rsid w:val="00312B00"/>
    <w:rsid w:val="00312E2A"/>
    <w:rsid w:val="003138AC"/>
    <w:rsid w:val="00313A37"/>
    <w:rsid w:val="00313F87"/>
    <w:rsid w:val="00314928"/>
    <w:rsid w:val="00314937"/>
    <w:rsid w:val="00314CE7"/>
    <w:rsid w:val="0031636A"/>
    <w:rsid w:val="003168F2"/>
    <w:rsid w:val="00316C3E"/>
    <w:rsid w:val="00317852"/>
    <w:rsid w:val="00320052"/>
    <w:rsid w:val="0032048D"/>
    <w:rsid w:val="003206B2"/>
    <w:rsid w:val="00320F2F"/>
    <w:rsid w:val="00321097"/>
    <w:rsid w:val="0032148C"/>
    <w:rsid w:val="0032170D"/>
    <w:rsid w:val="00321FE1"/>
    <w:rsid w:val="00322137"/>
    <w:rsid w:val="00322644"/>
    <w:rsid w:val="00323577"/>
    <w:rsid w:val="003236EE"/>
    <w:rsid w:val="00325A50"/>
    <w:rsid w:val="00325D13"/>
    <w:rsid w:val="00326383"/>
    <w:rsid w:val="00326DD1"/>
    <w:rsid w:val="003276A2"/>
    <w:rsid w:val="00327744"/>
    <w:rsid w:val="00330342"/>
    <w:rsid w:val="00330664"/>
    <w:rsid w:val="00330E2A"/>
    <w:rsid w:val="003315BC"/>
    <w:rsid w:val="00331B47"/>
    <w:rsid w:val="00331D51"/>
    <w:rsid w:val="00332112"/>
    <w:rsid w:val="003329B8"/>
    <w:rsid w:val="003335CC"/>
    <w:rsid w:val="00333714"/>
    <w:rsid w:val="0033381C"/>
    <w:rsid w:val="00333AF3"/>
    <w:rsid w:val="00334193"/>
    <w:rsid w:val="00334330"/>
    <w:rsid w:val="0033450C"/>
    <w:rsid w:val="0033470B"/>
    <w:rsid w:val="003351CD"/>
    <w:rsid w:val="00335C54"/>
    <w:rsid w:val="00335F54"/>
    <w:rsid w:val="00336170"/>
    <w:rsid w:val="00336524"/>
    <w:rsid w:val="00336BD0"/>
    <w:rsid w:val="00336C2F"/>
    <w:rsid w:val="00341356"/>
    <w:rsid w:val="003415F4"/>
    <w:rsid w:val="00341751"/>
    <w:rsid w:val="003417D6"/>
    <w:rsid w:val="00342226"/>
    <w:rsid w:val="003427F5"/>
    <w:rsid w:val="00343331"/>
    <w:rsid w:val="0034384E"/>
    <w:rsid w:val="00343882"/>
    <w:rsid w:val="00343F97"/>
    <w:rsid w:val="00344422"/>
    <w:rsid w:val="00344647"/>
    <w:rsid w:val="00344D0D"/>
    <w:rsid w:val="00345A37"/>
    <w:rsid w:val="00345B46"/>
    <w:rsid w:val="00345E99"/>
    <w:rsid w:val="00346960"/>
    <w:rsid w:val="00346A7E"/>
    <w:rsid w:val="0034731F"/>
    <w:rsid w:val="00347527"/>
    <w:rsid w:val="00347770"/>
    <w:rsid w:val="003478D5"/>
    <w:rsid w:val="00347CA4"/>
    <w:rsid w:val="00350B00"/>
    <w:rsid w:val="00351279"/>
    <w:rsid w:val="00351713"/>
    <w:rsid w:val="00352561"/>
    <w:rsid w:val="00352612"/>
    <w:rsid w:val="00352AD0"/>
    <w:rsid w:val="00352FB0"/>
    <w:rsid w:val="00353790"/>
    <w:rsid w:val="00353A64"/>
    <w:rsid w:val="00353B72"/>
    <w:rsid w:val="003544B3"/>
    <w:rsid w:val="0035494D"/>
    <w:rsid w:val="00354DBF"/>
    <w:rsid w:val="00355654"/>
    <w:rsid w:val="0035664B"/>
    <w:rsid w:val="00357291"/>
    <w:rsid w:val="0035791F"/>
    <w:rsid w:val="00357ABD"/>
    <w:rsid w:val="00357B55"/>
    <w:rsid w:val="00357C61"/>
    <w:rsid w:val="00357E84"/>
    <w:rsid w:val="00360549"/>
    <w:rsid w:val="003607B4"/>
    <w:rsid w:val="0036159E"/>
    <w:rsid w:val="003615D7"/>
    <w:rsid w:val="00361B67"/>
    <w:rsid w:val="003627A5"/>
    <w:rsid w:val="0036283B"/>
    <w:rsid w:val="00362EC8"/>
    <w:rsid w:val="00363044"/>
    <w:rsid w:val="003631E2"/>
    <w:rsid w:val="003632E8"/>
    <w:rsid w:val="00363980"/>
    <w:rsid w:val="00363A4C"/>
    <w:rsid w:val="00363ED2"/>
    <w:rsid w:val="003643FC"/>
    <w:rsid w:val="00364474"/>
    <w:rsid w:val="00364E6C"/>
    <w:rsid w:val="003650EB"/>
    <w:rsid w:val="003657C4"/>
    <w:rsid w:val="00365B44"/>
    <w:rsid w:val="00365F7B"/>
    <w:rsid w:val="0036669D"/>
    <w:rsid w:val="00367A95"/>
    <w:rsid w:val="00367D95"/>
    <w:rsid w:val="0037033E"/>
    <w:rsid w:val="00370CAB"/>
    <w:rsid w:val="00370DF2"/>
    <w:rsid w:val="00370FDC"/>
    <w:rsid w:val="00371286"/>
    <w:rsid w:val="00371454"/>
    <w:rsid w:val="00372F96"/>
    <w:rsid w:val="0037332D"/>
    <w:rsid w:val="003735D1"/>
    <w:rsid w:val="00373669"/>
    <w:rsid w:val="00373724"/>
    <w:rsid w:val="003737AA"/>
    <w:rsid w:val="003739BD"/>
    <w:rsid w:val="00373B31"/>
    <w:rsid w:val="00373BF4"/>
    <w:rsid w:val="0037446D"/>
    <w:rsid w:val="0037456E"/>
    <w:rsid w:val="003747F8"/>
    <w:rsid w:val="00374C6C"/>
    <w:rsid w:val="00374EB5"/>
    <w:rsid w:val="003752A5"/>
    <w:rsid w:val="00375A22"/>
    <w:rsid w:val="00375E60"/>
    <w:rsid w:val="00376788"/>
    <w:rsid w:val="00376AB1"/>
    <w:rsid w:val="00377801"/>
    <w:rsid w:val="00377E42"/>
    <w:rsid w:val="003800E8"/>
    <w:rsid w:val="0038020F"/>
    <w:rsid w:val="0038049C"/>
    <w:rsid w:val="0038068C"/>
    <w:rsid w:val="003807E2"/>
    <w:rsid w:val="00380A75"/>
    <w:rsid w:val="00380F09"/>
    <w:rsid w:val="003820D6"/>
    <w:rsid w:val="003827C0"/>
    <w:rsid w:val="00382E74"/>
    <w:rsid w:val="00383141"/>
    <w:rsid w:val="00383824"/>
    <w:rsid w:val="00383A3D"/>
    <w:rsid w:val="00384ADC"/>
    <w:rsid w:val="00384BE7"/>
    <w:rsid w:val="003851A6"/>
    <w:rsid w:val="003855BF"/>
    <w:rsid w:val="003874D5"/>
    <w:rsid w:val="00387637"/>
    <w:rsid w:val="003878AB"/>
    <w:rsid w:val="003878BB"/>
    <w:rsid w:val="00387B62"/>
    <w:rsid w:val="00387F27"/>
    <w:rsid w:val="00390D28"/>
    <w:rsid w:val="0039161E"/>
    <w:rsid w:val="003922DA"/>
    <w:rsid w:val="0039235F"/>
    <w:rsid w:val="00392505"/>
    <w:rsid w:val="003925E4"/>
    <w:rsid w:val="00392D08"/>
    <w:rsid w:val="00392D43"/>
    <w:rsid w:val="00392DE9"/>
    <w:rsid w:val="00393171"/>
    <w:rsid w:val="00393496"/>
    <w:rsid w:val="00394C42"/>
    <w:rsid w:val="003951D2"/>
    <w:rsid w:val="00395E01"/>
    <w:rsid w:val="00396086"/>
    <w:rsid w:val="003965CF"/>
    <w:rsid w:val="00396B2D"/>
    <w:rsid w:val="00396E62"/>
    <w:rsid w:val="00396F40"/>
    <w:rsid w:val="00397330"/>
    <w:rsid w:val="003976A7"/>
    <w:rsid w:val="00397AD5"/>
    <w:rsid w:val="00397D65"/>
    <w:rsid w:val="003A0124"/>
    <w:rsid w:val="003A01EC"/>
    <w:rsid w:val="003A0B98"/>
    <w:rsid w:val="003A0CCF"/>
    <w:rsid w:val="003A126D"/>
    <w:rsid w:val="003A13E9"/>
    <w:rsid w:val="003A18BB"/>
    <w:rsid w:val="003A1BFB"/>
    <w:rsid w:val="003A1DF8"/>
    <w:rsid w:val="003A27BF"/>
    <w:rsid w:val="003A2968"/>
    <w:rsid w:val="003A2E86"/>
    <w:rsid w:val="003A308A"/>
    <w:rsid w:val="003A3DA0"/>
    <w:rsid w:val="003A41D0"/>
    <w:rsid w:val="003A4E10"/>
    <w:rsid w:val="003A4F67"/>
    <w:rsid w:val="003A550F"/>
    <w:rsid w:val="003A5626"/>
    <w:rsid w:val="003A5CC8"/>
    <w:rsid w:val="003A6043"/>
    <w:rsid w:val="003A6369"/>
    <w:rsid w:val="003A66B8"/>
    <w:rsid w:val="003A6713"/>
    <w:rsid w:val="003A6F06"/>
    <w:rsid w:val="003A72A0"/>
    <w:rsid w:val="003A73AC"/>
    <w:rsid w:val="003B02B4"/>
    <w:rsid w:val="003B0F5D"/>
    <w:rsid w:val="003B0F8C"/>
    <w:rsid w:val="003B138E"/>
    <w:rsid w:val="003B1A5B"/>
    <w:rsid w:val="003B230B"/>
    <w:rsid w:val="003B2987"/>
    <w:rsid w:val="003B2AC7"/>
    <w:rsid w:val="003B2B5D"/>
    <w:rsid w:val="003B2DFB"/>
    <w:rsid w:val="003B3391"/>
    <w:rsid w:val="003B3BF0"/>
    <w:rsid w:val="003B4078"/>
    <w:rsid w:val="003B4545"/>
    <w:rsid w:val="003B4614"/>
    <w:rsid w:val="003B46AF"/>
    <w:rsid w:val="003B5403"/>
    <w:rsid w:val="003B5BBB"/>
    <w:rsid w:val="003B5BE7"/>
    <w:rsid w:val="003B628C"/>
    <w:rsid w:val="003B6AEF"/>
    <w:rsid w:val="003B6EF7"/>
    <w:rsid w:val="003B770D"/>
    <w:rsid w:val="003B7B73"/>
    <w:rsid w:val="003B7E1E"/>
    <w:rsid w:val="003C0269"/>
    <w:rsid w:val="003C03A4"/>
    <w:rsid w:val="003C1B40"/>
    <w:rsid w:val="003C21D2"/>
    <w:rsid w:val="003C260E"/>
    <w:rsid w:val="003C2619"/>
    <w:rsid w:val="003C27DA"/>
    <w:rsid w:val="003C2F20"/>
    <w:rsid w:val="003C3037"/>
    <w:rsid w:val="003C343F"/>
    <w:rsid w:val="003C4499"/>
    <w:rsid w:val="003C4507"/>
    <w:rsid w:val="003C4BA2"/>
    <w:rsid w:val="003C4F3C"/>
    <w:rsid w:val="003C5033"/>
    <w:rsid w:val="003C51C1"/>
    <w:rsid w:val="003C5DA7"/>
    <w:rsid w:val="003C7216"/>
    <w:rsid w:val="003C7A3A"/>
    <w:rsid w:val="003D02D5"/>
    <w:rsid w:val="003D0653"/>
    <w:rsid w:val="003D0790"/>
    <w:rsid w:val="003D1345"/>
    <w:rsid w:val="003D1387"/>
    <w:rsid w:val="003D16BB"/>
    <w:rsid w:val="003D172A"/>
    <w:rsid w:val="003D1BD4"/>
    <w:rsid w:val="003D20C2"/>
    <w:rsid w:val="003D22D5"/>
    <w:rsid w:val="003D2BF4"/>
    <w:rsid w:val="003D340C"/>
    <w:rsid w:val="003D3883"/>
    <w:rsid w:val="003D3D3C"/>
    <w:rsid w:val="003D3E34"/>
    <w:rsid w:val="003D434B"/>
    <w:rsid w:val="003D5AE4"/>
    <w:rsid w:val="003D68DA"/>
    <w:rsid w:val="003D7B7B"/>
    <w:rsid w:val="003E0280"/>
    <w:rsid w:val="003E0362"/>
    <w:rsid w:val="003E04BC"/>
    <w:rsid w:val="003E08A8"/>
    <w:rsid w:val="003E0F27"/>
    <w:rsid w:val="003E1C77"/>
    <w:rsid w:val="003E2D6B"/>
    <w:rsid w:val="003E33E7"/>
    <w:rsid w:val="003E3711"/>
    <w:rsid w:val="003E39FC"/>
    <w:rsid w:val="003E4150"/>
    <w:rsid w:val="003E41CF"/>
    <w:rsid w:val="003E4C3C"/>
    <w:rsid w:val="003E5934"/>
    <w:rsid w:val="003E5B47"/>
    <w:rsid w:val="003E5C6F"/>
    <w:rsid w:val="003E5E8F"/>
    <w:rsid w:val="003E6028"/>
    <w:rsid w:val="003E61F0"/>
    <w:rsid w:val="003E61FC"/>
    <w:rsid w:val="003E6497"/>
    <w:rsid w:val="003E67B3"/>
    <w:rsid w:val="003E7730"/>
    <w:rsid w:val="003F03BD"/>
    <w:rsid w:val="003F05B3"/>
    <w:rsid w:val="003F0A94"/>
    <w:rsid w:val="003F0E99"/>
    <w:rsid w:val="003F1784"/>
    <w:rsid w:val="003F1FBF"/>
    <w:rsid w:val="003F223D"/>
    <w:rsid w:val="003F2785"/>
    <w:rsid w:val="003F3357"/>
    <w:rsid w:val="003F3A50"/>
    <w:rsid w:val="003F3A55"/>
    <w:rsid w:val="003F477E"/>
    <w:rsid w:val="003F4AE5"/>
    <w:rsid w:val="003F4DCE"/>
    <w:rsid w:val="003F4E88"/>
    <w:rsid w:val="003F5226"/>
    <w:rsid w:val="003F54F0"/>
    <w:rsid w:val="003F5613"/>
    <w:rsid w:val="003F5B6D"/>
    <w:rsid w:val="003F5D87"/>
    <w:rsid w:val="003F615B"/>
    <w:rsid w:val="003F636F"/>
    <w:rsid w:val="003F69F3"/>
    <w:rsid w:val="003F6B21"/>
    <w:rsid w:val="003F7B14"/>
    <w:rsid w:val="00400725"/>
    <w:rsid w:val="004007B3"/>
    <w:rsid w:val="00400BE3"/>
    <w:rsid w:val="0040159A"/>
    <w:rsid w:val="004019E1"/>
    <w:rsid w:val="00401A91"/>
    <w:rsid w:val="00401ADB"/>
    <w:rsid w:val="00401D3D"/>
    <w:rsid w:val="00402290"/>
    <w:rsid w:val="004024D1"/>
    <w:rsid w:val="00403692"/>
    <w:rsid w:val="004038F9"/>
    <w:rsid w:val="00403C8C"/>
    <w:rsid w:val="00403DBA"/>
    <w:rsid w:val="004045EC"/>
    <w:rsid w:val="0040579C"/>
    <w:rsid w:val="0040585C"/>
    <w:rsid w:val="00405C7F"/>
    <w:rsid w:val="00405E8C"/>
    <w:rsid w:val="00406521"/>
    <w:rsid w:val="0040658C"/>
    <w:rsid w:val="00406A6B"/>
    <w:rsid w:val="00406AE3"/>
    <w:rsid w:val="004100A0"/>
    <w:rsid w:val="00410A52"/>
    <w:rsid w:val="00410A8E"/>
    <w:rsid w:val="00410EF2"/>
    <w:rsid w:val="00411029"/>
    <w:rsid w:val="0041174E"/>
    <w:rsid w:val="0041231B"/>
    <w:rsid w:val="0041234D"/>
    <w:rsid w:val="0041285B"/>
    <w:rsid w:val="004130E6"/>
    <w:rsid w:val="00413E46"/>
    <w:rsid w:val="00413FF5"/>
    <w:rsid w:val="004141C4"/>
    <w:rsid w:val="00414278"/>
    <w:rsid w:val="00415D21"/>
    <w:rsid w:val="004160E4"/>
    <w:rsid w:val="00417D18"/>
    <w:rsid w:val="004201F6"/>
    <w:rsid w:val="00420F6B"/>
    <w:rsid w:val="0042145D"/>
    <w:rsid w:val="0042147E"/>
    <w:rsid w:val="004215B5"/>
    <w:rsid w:val="0042177E"/>
    <w:rsid w:val="00421DFA"/>
    <w:rsid w:val="004223FF"/>
    <w:rsid w:val="00422D23"/>
    <w:rsid w:val="00423804"/>
    <w:rsid w:val="00424210"/>
    <w:rsid w:val="0042481A"/>
    <w:rsid w:val="004249B1"/>
    <w:rsid w:val="00424EF4"/>
    <w:rsid w:val="00425267"/>
    <w:rsid w:val="004254BB"/>
    <w:rsid w:val="00425E00"/>
    <w:rsid w:val="0042609E"/>
    <w:rsid w:val="00426CB8"/>
    <w:rsid w:val="00427F73"/>
    <w:rsid w:val="00427F98"/>
    <w:rsid w:val="0043019C"/>
    <w:rsid w:val="004306E8"/>
    <w:rsid w:val="00431591"/>
    <w:rsid w:val="00431E7D"/>
    <w:rsid w:val="00432496"/>
    <w:rsid w:val="0043271F"/>
    <w:rsid w:val="00433078"/>
    <w:rsid w:val="004334D0"/>
    <w:rsid w:val="00433C55"/>
    <w:rsid w:val="0043444D"/>
    <w:rsid w:val="0043482C"/>
    <w:rsid w:val="00434B08"/>
    <w:rsid w:val="00435187"/>
    <w:rsid w:val="004357DB"/>
    <w:rsid w:val="00435D49"/>
    <w:rsid w:val="00436903"/>
    <w:rsid w:val="004372CF"/>
    <w:rsid w:val="004378AC"/>
    <w:rsid w:val="00437DE0"/>
    <w:rsid w:val="004401E3"/>
    <w:rsid w:val="00440746"/>
    <w:rsid w:val="00442309"/>
    <w:rsid w:val="00442B4E"/>
    <w:rsid w:val="004431CB"/>
    <w:rsid w:val="0044373F"/>
    <w:rsid w:val="00443F50"/>
    <w:rsid w:val="00443F9F"/>
    <w:rsid w:val="00444463"/>
    <w:rsid w:val="00444812"/>
    <w:rsid w:val="00444A2D"/>
    <w:rsid w:val="0044658F"/>
    <w:rsid w:val="004469C4"/>
    <w:rsid w:val="00446E7D"/>
    <w:rsid w:val="004474BC"/>
    <w:rsid w:val="004475F5"/>
    <w:rsid w:val="004477BB"/>
    <w:rsid w:val="00447F48"/>
    <w:rsid w:val="00450097"/>
    <w:rsid w:val="004502D3"/>
    <w:rsid w:val="0045061C"/>
    <w:rsid w:val="004506E3"/>
    <w:rsid w:val="00450BFF"/>
    <w:rsid w:val="00451214"/>
    <w:rsid w:val="00451446"/>
    <w:rsid w:val="00451540"/>
    <w:rsid w:val="00452393"/>
    <w:rsid w:val="004529CF"/>
    <w:rsid w:val="0045303F"/>
    <w:rsid w:val="00453157"/>
    <w:rsid w:val="00453238"/>
    <w:rsid w:val="00453B5C"/>
    <w:rsid w:val="00455275"/>
    <w:rsid w:val="00455337"/>
    <w:rsid w:val="004558B8"/>
    <w:rsid w:val="00455CB5"/>
    <w:rsid w:val="0045732C"/>
    <w:rsid w:val="004575E6"/>
    <w:rsid w:val="0046004B"/>
    <w:rsid w:val="004606A5"/>
    <w:rsid w:val="00460821"/>
    <w:rsid w:val="00460CA0"/>
    <w:rsid w:val="004615F8"/>
    <w:rsid w:val="0046188E"/>
    <w:rsid w:val="00461C09"/>
    <w:rsid w:val="00462035"/>
    <w:rsid w:val="0046205B"/>
    <w:rsid w:val="00462714"/>
    <w:rsid w:val="0046273B"/>
    <w:rsid w:val="00463313"/>
    <w:rsid w:val="00464572"/>
    <w:rsid w:val="004649F7"/>
    <w:rsid w:val="00464A7F"/>
    <w:rsid w:val="00465A25"/>
    <w:rsid w:val="00465C66"/>
    <w:rsid w:val="00466379"/>
    <w:rsid w:val="00466CC2"/>
    <w:rsid w:val="00466DB7"/>
    <w:rsid w:val="00466F8D"/>
    <w:rsid w:val="0046737E"/>
    <w:rsid w:val="00467C85"/>
    <w:rsid w:val="00467D49"/>
    <w:rsid w:val="00467EBF"/>
    <w:rsid w:val="00470767"/>
    <w:rsid w:val="00470D22"/>
    <w:rsid w:val="00471159"/>
    <w:rsid w:val="00471675"/>
    <w:rsid w:val="004717E7"/>
    <w:rsid w:val="0047188D"/>
    <w:rsid w:val="00471E87"/>
    <w:rsid w:val="00472524"/>
    <w:rsid w:val="00472891"/>
    <w:rsid w:val="00472BE0"/>
    <w:rsid w:val="004737F9"/>
    <w:rsid w:val="004737FA"/>
    <w:rsid w:val="00474500"/>
    <w:rsid w:val="004751F9"/>
    <w:rsid w:val="004755D5"/>
    <w:rsid w:val="004756EF"/>
    <w:rsid w:val="0047587B"/>
    <w:rsid w:val="00475E2A"/>
    <w:rsid w:val="0047655A"/>
    <w:rsid w:val="00476C9C"/>
    <w:rsid w:val="0048213F"/>
    <w:rsid w:val="004833B7"/>
    <w:rsid w:val="004833FE"/>
    <w:rsid w:val="0048349E"/>
    <w:rsid w:val="00483E17"/>
    <w:rsid w:val="004843C9"/>
    <w:rsid w:val="004847FF"/>
    <w:rsid w:val="004853D2"/>
    <w:rsid w:val="0048569D"/>
    <w:rsid w:val="00485ED3"/>
    <w:rsid w:val="0048607F"/>
    <w:rsid w:val="00486EFC"/>
    <w:rsid w:val="0048706E"/>
    <w:rsid w:val="004872CF"/>
    <w:rsid w:val="00487B9D"/>
    <w:rsid w:val="0049020E"/>
    <w:rsid w:val="0049038E"/>
    <w:rsid w:val="0049124D"/>
    <w:rsid w:val="004917D9"/>
    <w:rsid w:val="00491CFB"/>
    <w:rsid w:val="00492069"/>
    <w:rsid w:val="00492E9C"/>
    <w:rsid w:val="00493788"/>
    <w:rsid w:val="00494284"/>
    <w:rsid w:val="004942C8"/>
    <w:rsid w:val="00494801"/>
    <w:rsid w:val="004952AA"/>
    <w:rsid w:val="0049578C"/>
    <w:rsid w:val="00495B71"/>
    <w:rsid w:val="00495E48"/>
    <w:rsid w:val="00495EAD"/>
    <w:rsid w:val="004967B3"/>
    <w:rsid w:val="004970D9"/>
    <w:rsid w:val="00497431"/>
    <w:rsid w:val="00497B8C"/>
    <w:rsid w:val="00497C25"/>
    <w:rsid w:val="00497DE3"/>
    <w:rsid w:val="004A0131"/>
    <w:rsid w:val="004A01ED"/>
    <w:rsid w:val="004A0D8D"/>
    <w:rsid w:val="004A10AF"/>
    <w:rsid w:val="004A135F"/>
    <w:rsid w:val="004A1877"/>
    <w:rsid w:val="004A1A07"/>
    <w:rsid w:val="004A1A3A"/>
    <w:rsid w:val="004A1F59"/>
    <w:rsid w:val="004A32D8"/>
    <w:rsid w:val="004A3D17"/>
    <w:rsid w:val="004A3F72"/>
    <w:rsid w:val="004A3FA1"/>
    <w:rsid w:val="004A422A"/>
    <w:rsid w:val="004A4BA8"/>
    <w:rsid w:val="004A5257"/>
    <w:rsid w:val="004A52FE"/>
    <w:rsid w:val="004A5488"/>
    <w:rsid w:val="004A5A77"/>
    <w:rsid w:val="004A5B60"/>
    <w:rsid w:val="004A7F43"/>
    <w:rsid w:val="004B0085"/>
    <w:rsid w:val="004B0B7B"/>
    <w:rsid w:val="004B0B8A"/>
    <w:rsid w:val="004B12B5"/>
    <w:rsid w:val="004B1644"/>
    <w:rsid w:val="004B19EC"/>
    <w:rsid w:val="004B2476"/>
    <w:rsid w:val="004B2CB9"/>
    <w:rsid w:val="004B2EB6"/>
    <w:rsid w:val="004B3450"/>
    <w:rsid w:val="004B3567"/>
    <w:rsid w:val="004B4013"/>
    <w:rsid w:val="004B4787"/>
    <w:rsid w:val="004B4BB0"/>
    <w:rsid w:val="004B5147"/>
    <w:rsid w:val="004B550B"/>
    <w:rsid w:val="004B558F"/>
    <w:rsid w:val="004B6C73"/>
    <w:rsid w:val="004B71BA"/>
    <w:rsid w:val="004B7353"/>
    <w:rsid w:val="004B7485"/>
    <w:rsid w:val="004B76AB"/>
    <w:rsid w:val="004C0750"/>
    <w:rsid w:val="004C0AFF"/>
    <w:rsid w:val="004C0D4D"/>
    <w:rsid w:val="004C15CC"/>
    <w:rsid w:val="004C1804"/>
    <w:rsid w:val="004C1AEB"/>
    <w:rsid w:val="004C20C2"/>
    <w:rsid w:val="004C2BFD"/>
    <w:rsid w:val="004C2DF5"/>
    <w:rsid w:val="004C2EEA"/>
    <w:rsid w:val="004C3CB6"/>
    <w:rsid w:val="004C4A90"/>
    <w:rsid w:val="004C540A"/>
    <w:rsid w:val="004C5997"/>
    <w:rsid w:val="004C64B1"/>
    <w:rsid w:val="004C68B0"/>
    <w:rsid w:val="004C76A6"/>
    <w:rsid w:val="004C794C"/>
    <w:rsid w:val="004C7B97"/>
    <w:rsid w:val="004D0290"/>
    <w:rsid w:val="004D0415"/>
    <w:rsid w:val="004D0416"/>
    <w:rsid w:val="004D16A0"/>
    <w:rsid w:val="004D1CBF"/>
    <w:rsid w:val="004D1D77"/>
    <w:rsid w:val="004D214A"/>
    <w:rsid w:val="004D2385"/>
    <w:rsid w:val="004D29D0"/>
    <w:rsid w:val="004D2A3A"/>
    <w:rsid w:val="004D35DA"/>
    <w:rsid w:val="004D3973"/>
    <w:rsid w:val="004D4132"/>
    <w:rsid w:val="004D443F"/>
    <w:rsid w:val="004D4C08"/>
    <w:rsid w:val="004D4C4F"/>
    <w:rsid w:val="004D54D1"/>
    <w:rsid w:val="004D5718"/>
    <w:rsid w:val="004D5A27"/>
    <w:rsid w:val="004D5B0E"/>
    <w:rsid w:val="004D5D5D"/>
    <w:rsid w:val="004D5D99"/>
    <w:rsid w:val="004D67A5"/>
    <w:rsid w:val="004D6D64"/>
    <w:rsid w:val="004D71B0"/>
    <w:rsid w:val="004D71ED"/>
    <w:rsid w:val="004D7B30"/>
    <w:rsid w:val="004D7C71"/>
    <w:rsid w:val="004D7D13"/>
    <w:rsid w:val="004E0253"/>
    <w:rsid w:val="004E027B"/>
    <w:rsid w:val="004E0F36"/>
    <w:rsid w:val="004E1769"/>
    <w:rsid w:val="004E1AC3"/>
    <w:rsid w:val="004E214C"/>
    <w:rsid w:val="004E22EE"/>
    <w:rsid w:val="004E231E"/>
    <w:rsid w:val="004E23B2"/>
    <w:rsid w:val="004E30D0"/>
    <w:rsid w:val="004E366A"/>
    <w:rsid w:val="004E3A77"/>
    <w:rsid w:val="004E4583"/>
    <w:rsid w:val="004E47A5"/>
    <w:rsid w:val="004E5D8E"/>
    <w:rsid w:val="004E609F"/>
    <w:rsid w:val="004E6680"/>
    <w:rsid w:val="004E7B55"/>
    <w:rsid w:val="004F1257"/>
    <w:rsid w:val="004F2065"/>
    <w:rsid w:val="004F2BD7"/>
    <w:rsid w:val="004F2E42"/>
    <w:rsid w:val="004F39D9"/>
    <w:rsid w:val="004F3AB2"/>
    <w:rsid w:val="004F51DD"/>
    <w:rsid w:val="004F5D07"/>
    <w:rsid w:val="004F5DFC"/>
    <w:rsid w:val="004F6355"/>
    <w:rsid w:val="004F6BCB"/>
    <w:rsid w:val="004F6E66"/>
    <w:rsid w:val="004F7256"/>
    <w:rsid w:val="004F7C66"/>
    <w:rsid w:val="004F7F7F"/>
    <w:rsid w:val="00500397"/>
    <w:rsid w:val="005003F2"/>
    <w:rsid w:val="00500D47"/>
    <w:rsid w:val="00501335"/>
    <w:rsid w:val="00501815"/>
    <w:rsid w:val="005024B5"/>
    <w:rsid w:val="00502AE7"/>
    <w:rsid w:val="00502FD2"/>
    <w:rsid w:val="005030A5"/>
    <w:rsid w:val="005031B6"/>
    <w:rsid w:val="00504266"/>
    <w:rsid w:val="00504AC8"/>
    <w:rsid w:val="00505E13"/>
    <w:rsid w:val="005060D0"/>
    <w:rsid w:val="0050650A"/>
    <w:rsid w:val="00506530"/>
    <w:rsid w:val="00506C7E"/>
    <w:rsid w:val="0050756D"/>
    <w:rsid w:val="005076EA"/>
    <w:rsid w:val="00510319"/>
    <w:rsid w:val="0051077F"/>
    <w:rsid w:val="00510860"/>
    <w:rsid w:val="0051096B"/>
    <w:rsid w:val="00512472"/>
    <w:rsid w:val="0051293A"/>
    <w:rsid w:val="00512E68"/>
    <w:rsid w:val="00513247"/>
    <w:rsid w:val="0051365E"/>
    <w:rsid w:val="00513936"/>
    <w:rsid w:val="00514AD1"/>
    <w:rsid w:val="00515441"/>
    <w:rsid w:val="005161FB"/>
    <w:rsid w:val="00517319"/>
    <w:rsid w:val="005179BE"/>
    <w:rsid w:val="00517C4E"/>
    <w:rsid w:val="00520B3E"/>
    <w:rsid w:val="00520CF1"/>
    <w:rsid w:val="00520F90"/>
    <w:rsid w:val="005217D0"/>
    <w:rsid w:val="005220A9"/>
    <w:rsid w:val="00522C3D"/>
    <w:rsid w:val="00522E95"/>
    <w:rsid w:val="005230BE"/>
    <w:rsid w:val="005230EB"/>
    <w:rsid w:val="0052352C"/>
    <w:rsid w:val="0052386F"/>
    <w:rsid w:val="005240C7"/>
    <w:rsid w:val="005240F5"/>
    <w:rsid w:val="00524424"/>
    <w:rsid w:val="00524DC0"/>
    <w:rsid w:val="00525044"/>
    <w:rsid w:val="0052598A"/>
    <w:rsid w:val="00525B30"/>
    <w:rsid w:val="00525EF6"/>
    <w:rsid w:val="00526135"/>
    <w:rsid w:val="0052693B"/>
    <w:rsid w:val="005269E7"/>
    <w:rsid w:val="00526C9F"/>
    <w:rsid w:val="00526E88"/>
    <w:rsid w:val="005272F2"/>
    <w:rsid w:val="00527D86"/>
    <w:rsid w:val="005302CF"/>
    <w:rsid w:val="0053065B"/>
    <w:rsid w:val="00530832"/>
    <w:rsid w:val="00530B97"/>
    <w:rsid w:val="00531C7B"/>
    <w:rsid w:val="00531DBD"/>
    <w:rsid w:val="00532A69"/>
    <w:rsid w:val="00532C75"/>
    <w:rsid w:val="00532CA4"/>
    <w:rsid w:val="00533CA0"/>
    <w:rsid w:val="00533DC8"/>
    <w:rsid w:val="00533EB1"/>
    <w:rsid w:val="00533F9D"/>
    <w:rsid w:val="00534534"/>
    <w:rsid w:val="0053466F"/>
    <w:rsid w:val="005349EE"/>
    <w:rsid w:val="0053531F"/>
    <w:rsid w:val="005362AF"/>
    <w:rsid w:val="00536309"/>
    <w:rsid w:val="0053662B"/>
    <w:rsid w:val="00536A7D"/>
    <w:rsid w:val="00536F03"/>
    <w:rsid w:val="005372A9"/>
    <w:rsid w:val="005372F0"/>
    <w:rsid w:val="00537647"/>
    <w:rsid w:val="00537B6F"/>
    <w:rsid w:val="00537D62"/>
    <w:rsid w:val="00540AA0"/>
    <w:rsid w:val="005413C8"/>
    <w:rsid w:val="005416A2"/>
    <w:rsid w:val="00541733"/>
    <w:rsid w:val="00541805"/>
    <w:rsid w:val="00541EAE"/>
    <w:rsid w:val="00542556"/>
    <w:rsid w:val="005427E3"/>
    <w:rsid w:val="00542A1E"/>
    <w:rsid w:val="00542E62"/>
    <w:rsid w:val="00543C62"/>
    <w:rsid w:val="00544118"/>
    <w:rsid w:val="00544F5F"/>
    <w:rsid w:val="0054569D"/>
    <w:rsid w:val="00545E9F"/>
    <w:rsid w:val="00546462"/>
    <w:rsid w:val="00546662"/>
    <w:rsid w:val="00546BCC"/>
    <w:rsid w:val="00547808"/>
    <w:rsid w:val="0054798B"/>
    <w:rsid w:val="00547CFA"/>
    <w:rsid w:val="0055012F"/>
    <w:rsid w:val="0055049B"/>
    <w:rsid w:val="00550728"/>
    <w:rsid w:val="00550783"/>
    <w:rsid w:val="00550AF0"/>
    <w:rsid w:val="005515DF"/>
    <w:rsid w:val="00551DB7"/>
    <w:rsid w:val="00551EF6"/>
    <w:rsid w:val="00552CA6"/>
    <w:rsid w:val="00552CED"/>
    <w:rsid w:val="00553ECB"/>
    <w:rsid w:val="005540A6"/>
    <w:rsid w:val="0055436B"/>
    <w:rsid w:val="0055465E"/>
    <w:rsid w:val="00555899"/>
    <w:rsid w:val="00555C24"/>
    <w:rsid w:val="00557072"/>
    <w:rsid w:val="00557233"/>
    <w:rsid w:val="00560213"/>
    <w:rsid w:val="005603AF"/>
    <w:rsid w:val="0056060C"/>
    <w:rsid w:val="00561A73"/>
    <w:rsid w:val="00561FD5"/>
    <w:rsid w:val="005625AD"/>
    <w:rsid w:val="00562C1E"/>
    <w:rsid w:val="0056345F"/>
    <w:rsid w:val="00563834"/>
    <w:rsid w:val="00564104"/>
    <w:rsid w:val="00564147"/>
    <w:rsid w:val="00564771"/>
    <w:rsid w:val="005648D4"/>
    <w:rsid w:val="005649A0"/>
    <w:rsid w:val="00564C8D"/>
    <w:rsid w:val="00565015"/>
    <w:rsid w:val="00565864"/>
    <w:rsid w:val="005658A1"/>
    <w:rsid w:val="00566296"/>
    <w:rsid w:val="005662C4"/>
    <w:rsid w:val="00566405"/>
    <w:rsid w:val="00566C26"/>
    <w:rsid w:val="005672B0"/>
    <w:rsid w:val="0057053E"/>
    <w:rsid w:val="00570CB4"/>
    <w:rsid w:val="00570D3E"/>
    <w:rsid w:val="0057159A"/>
    <w:rsid w:val="005718AA"/>
    <w:rsid w:val="00571A97"/>
    <w:rsid w:val="00571D7D"/>
    <w:rsid w:val="005725BD"/>
    <w:rsid w:val="0057268D"/>
    <w:rsid w:val="005726A4"/>
    <w:rsid w:val="00572848"/>
    <w:rsid w:val="00572C40"/>
    <w:rsid w:val="0057323E"/>
    <w:rsid w:val="00573A56"/>
    <w:rsid w:val="00573C58"/>
    <w:rsid w:val="00573D68"/>
    <w:rsid w:val="00574117"/>
    <w:rsid w:val="0057451E"/>
    <w:rsid w:val="00574AF5"/>
    <w:rsid w:val="00574EF0"/>
    <w:rsid w:val="00575036"/>
    <w:rsid w:val="00575D48"/>
    <w:rsid w:val="00576157"/>
    <w:rsid w:val="00576273"/>
    <w:rsid w:val="00576379"/>
    <w:rsid w:val="00576476"/>
    <w:rsid w:val="00576564"/>
    <w:rsid w:val="00576D67"/>
    <w:rsid w:val="00576FA3"/>
    <w:rsid w:val="00577273"/>
    <w:rsid w:val="00577C29"/>
    <w:rsid w:val="00577D7F"/>
    <w:rsid w:val="00577EA7"/>
    <w:rsid w:val="00577F31"/>
    <w:rsid w:val="005805FD"/>
    <w:rsid w:val="00580D43"/>
    <w:rsid w:val="00581A39"/>
    <w:rsid w:val="00581EE3"/>
    <w:rsid w:val="00581EE8"/>
    <w:rsid w:val="00581FDF"/>
    <w:rsid w:val="005822F6"/>
    <w:rsid w:val="005823C8"/>
    <w:rsid w:val="00582414"/>
    <w:rsid w:val="00582A00"/>
    <w:rsid w:val="00582FCD"/>
    <w:rsid w:val="0058369C"/>
    <w:rsid w:val="00583C5A"/>
    <w:rsid w:val="00584669"/>
    <w:rsid w:val="00584909"/>
    <w:rsid w:val="00584CA5"/>
    <w:rsid w:val="00585254"/>
    <w:rsid w:val="005856EA"/>
    <w:rsid w:val="00585A3C"/>
    <w:rsid w:val="00585A42"/>
    <w:rsid w:val="00585A87"/>
    <w:rsid w:val="00585BB6"/>
    <w:rsid w:val="0058707D"/>
    <w:rsid w:val="0058781F"/>
    <w:rsid w:val="00587F0B"/>
    <w:rsid w:val="0059000F"/>
    <w:rsid w:val="005905EF"/>
    <w:rsid w:val="005907B8"/>
    <w:rsid w:val="00590936"/>
    <w:rsid w:val="005915D9"/>
    <w:rsid w:val="00591735"/>
    <w:rsid w:val="00591EAC"/>
    <w:rsid w:val="00593197"/>
    <w:rsid w:val="005939A5"/>
    <w:rsid w:val="0059407D"/>
    <w:rsid w:val="0059444F"/>
    <w:rsid w:val="005945B2"/>
    <w:rsid w:val="00594695"/>
    <w:rsid w:val="00594B83"/>
    <w:rsid w:val="00594BCC"/>
    <w:rsid w:val="00595A88"/>
    <w:rsid w:val="00595CB2"/>
    <w:rsid w:val="0059616A"/>
    <w:rsid w:val="00596A58"/>
    <w:rsid w:val="00596F34"/>
    <w:rsid w:val="005978D9"/>
    <w:rsid w:val="00597CE1"/>
    <w:rsid w:val="005A00AB"/>
    <w:rsid w:val="005A09B7"/>
    <w:rsid w:val="005A1124"/>
    <w:rsid w:val="005A143A"/>
    <w:rsid w:val="005A1AC5"/>
    <w:rsid w:val="005A1D47"/>
    <w:rsid w:val="005A1E9E"/>
    <w:rsid w:val="005A2077"/>
    <w:rsid w:val="005A2A3B"/>
    <w:rsid w:val="005A2A90"/>
    <w:rsid w:val="005A2BAB"/>
    <w:rsid w:val="005A32F5"/>
    <w:rsid w:val="005A3BC9"/>
    <w:rsid w:val="005A407F"/>
    <w:rsid w:val="005A4483"/>
    <w:rsid w:val="005A4949"/>
    <w:rsid w:val="005A4C8F"/>
    <w:rsid w:val="005A50CD"/>
    <w:rsid w:val="005A662C"/>
    <w:rsid w:val="005A66DA"/>
    <w:rsid w:val="005A67EB"/>
    <w:rsid w:val="005A6B93"/>
    <w:rsid w:val="005A7069"/>
    <w:rsid w:val="005A7AB8"/>
    <w:rsid w:val="005A7C7D"/>
    <w:rsid w:val="005B0C7C"/>
    <w:rsid w:val="005B104B"/>
    <w:rsid w:val="005B148D"/>
    <w:rsid w:val="005B1604"/>
    <w:rsid w:val="005B179E"/>
    <w:rsid w:val="005B1D21"/>
    <w:rsid w:val="005B2137"/>
    <w:rsid w:val="005B28DA"/>
    <w:rsid w:val="005B2C58"/>
    <w:rsid w:val="005B366C"/>
    <w:rsid w:val="005B39C7"/>
    <w:rsid w:val="005B3B0A"/>
    <w:rsid w:val="005B3C4D"/>
    <w:rsid w:val="005B406C"/>
    <w:rsid w:val="005B43DB"/>
    <w:rsid w:val="005B4FC8"/>
    <w:rsid w:val="005B6801"/>
    <w:rsid w:val="005B68EE"/>
    <w:rsid w:val="005B6B60"/>
    <w:rsid w:val="005B78D3"/>
    <w:rsid w:val="005B78E1"/>
    <w:rsid w:val="005B7901"/>
    <w:rsid w:val="005C0664"/>
    <w:rsid w:val="005C11C7"/>
    <w:rsid w:val="005C1F10"/>
    <w:rsid w:val="005C24A5"/>
    <w:rsid w:val="005C26DA"/>
    <w:rsid w:val="005C3875"/>
    <w:rsid w:val="005C4AC8"/>
    <w:rsid w:val="005C4E05"/>
    <w:rsid w:val="005C59E8"/>
    <w:rsid w:val="005C5C7A"/>
    <w:rsid w:val="005C6550"/>
    <w:rsid w:val="005C6653"/>
    <w:rsid w:val="005C665B"/>
    <w:rsid w:val="005C670A"/>
    <w:rsid w:val="005C6921"/>
    <w:rsid w:val="005C74D1"/>
    <w:rsid w:val="005D08B3"/>
    <w:rsid w:val="005D08F9"/>
    <w:rsid w:val="005D1203"/>
    <w:rsid w:val="005D237A"/>
    <w:rsid w:val="005D24F4"/>
    <w:rsid w:val="005D27AA"/>
    <w:rsid w:val="005D30EE"/>
    <w:rsid w:val="005D3464"/>
    <w:rsid w:val="005D3B66"/>
    <w:rsid w:val="005D42DF"/>
    <w:rsid w:val="005D4426"/>
    <w:rsid w:val="005D459F"/>
    <w:rsid w:val="005D59E9"/>
    <w:rsid w:val="005D5C90"/>
    <w:rsid w:val="005D6797"/>
    <w:rsid w:val="005D6860"/>
    <w:rsid w:val="005D73F3"/>
    <w:rsid w:val="005D7DEC"/>
    <w:rsid w:val="005E0463"/>
    <w:rsid w:val="005E0B25"/>
    <w:rsid w:val="005E181D"/>
    <w:rsid w:val="005E2238"/>
    <w:rsid w:val="005E2246"/>
    <w:rsid w:val="005E25F1"/>
    <w:rsid w:val="005E2FD6"/>
    <w:rsid w:val="005E3255"/>
    <w:rsid w:val="005E3347"/>
    <w:rsid w:val="005E3362"/>
    <w:rsid w:val="005E37DC"/>
    <w:rsid w:val="005E3B5B"/>
    <w:rsid w:val="005E4314"/>
    <w:rsid w:val="005E48F7"/>
    <w:rsid w:val="005E4BB0"/>
    <w:rsid w:val="005E4DDC"/>
    <w:rsid w:val="005E5204"/>
    <w:rsid w:val="005E5220"/>
    <w:rsid w:val="005E534F"/>
    <w:rsid w:val="005E557E"/>
    <w:rsid w:val="005E5809"/>
    <w:rsid w:val="005E5893"/>
    <w:rsid w:val="005E60D9"/>
    <w:rsid w:val="005E664E"/>
    <w:rsid w:val="005E6E67"/>
    <w:rsid w:val="005E72B2"/>
    <w:rsid w:val="005E7667"/>
    <w:rsid w:val="005F00B6"/>
    <w:rsid w:val="005F037E"/>
    <w:rsid w:val="005F079A"/>
    <w:rsid w:val="005F0FC2"/>
    <w:rsid w:val="005F18D3"/>
    <w:rsid w:val="005F1955"/>
    <w:rsid w:val="005F21EB"/>
    <w:rsid w:val="005F2AE5"/>
    <w:rsid w:val="005F38B4"/>
    <w:rsid w:val="005F4167"/>
    <w:rsid w:val="005F53DC"/>
    <w:rsid w:val="005F6974"/>
    <w:rsid w:val="005F7D33"/>
    <w:rsid w:val="006002D6"/>
    <w:rsid w:val="00600364"/>
    <w:rsid w:val="00600A38"/>
    <w:rsid w:val="00600CDD"/>
    <w:rsid w:val="00601759"/>
    <w:rsid w:val="00602214"/>
    <w:rsid w:val="00602738"/>
    <w:rsid w:val="00603B5A"/>
    <w:rsid w:val="00604231"/>
    <w:rsid w:val="00606004"/>
    <w:rsid w:val="006061EC"/>
    <w:rsid w:val="006064FC"/>
    <w:rsid w:val="00606A89"/>
    <w:rsid w:val="00606DF9"/>
    <w:rsid w:val="00606F24"/>
    <w:rsid w:val="00607093"/>
    <w:rsid w:val="00607146"/>
    <w:rsid w:val="00607730"/>
    <w:rsid w:val="00607854"/>
    <w:rsid w:val="00610DE1"/>
    <w:rsid w:val="0061124D"/>
    <w:rsid w:val="00611DB7"/>
    <w:rsid w:val="00612208"/>
    <w:rsid w:val="00612293"/>
    <w:rsid w:val="00612298"/>
    <w:rsid w:val="00612836"/>
    <w:rsid w:val="00612DEB"/>
    <w:rsid w:val="00612E0B"/>
    <w:rsid w:val="00612EF8"/>
    <w:rsid w:val="00612F7F"/>
    <w:rsid w:val="00613C71"/>
    <w:rsid w:val="006147E4"/>
    <w:rsid w:val="00614937"/>
    <w:rsid w:val="0061563F"/>
    <w:rsid w:val="00615930"/>
    <w:rsid w:val="00615A3E"/>
    <w:rsid w:val="00615B3E"/>
    <w:rsid w:val="00616054"/>
    <w:rsid w:val="00616BDB"/>
    <w:rsid w:val="00616C9A"/>
    <w:rsid w:val="00617364"/>
    <w:rsid w:val="006174FA"/>
    <w:rsid w:val="0061759F"/>
    <w:rsid w:val="006209DD"/>
    <w:rsid w:val="00620ABD"/>
    <w:rsid w:val="00620E39"/>
    <w:rsid w:val="00621048"/>
    <w:rsid w:val="006216B4"/>
    <w:rsid w:val="00621A19"/>
    <w:rsid w:val="006220D1"/>
    <w:rsid w:val="00622536"/>
    <w:rsid w:val="006225AB"/>
    <w:rsid w:val="00622C91"/>
    <w:rsid w:val="006231B5"/>
    <w:rsid w:val="0062373A"/>
    <w:rsid w:val="00623DAF"/>
    <w:rsid w:val="00624672"/>
    <w:rsid w:val="00624D7C"/>
    <w:rsid w:val="00624E4D"/>
    <w:rsid w:val="006254BA"/>
    <w:rsid w:val="00625B4E"/>
    <w:rsid w:val="00625BCE"/>
    <w:rsid w:val="00625EAB"/>
    <w:rsid w:val="0062632C"/>
    <w:rsid w:val="006264D3"/>
    <w:rsid w:val="00626DD9"/>
    <w:rsid w:val="00627179"/>
    <w:rsid w:val="0062742D"/>
    <w:rsid w:val="00627847"/>
    <w:rsid w:val="00627B1D"/>
    <w:rsid w:val="00630ED2"/>
    <w:rsid w:val="006314ED"/>
    <w:rsid w:val="006318A6"/>
    <w:rsid w:val="006322B5"/>
    <w:rsid w:val="00632B47"/>
    <w:rsid w:val="00632E74"/>
    <w:rsid w:val="006338C3"/>
    <w:rsid w:val="00633983"/>
    <w:rsid w:val="00633BBD"/>
    <w:rsid w:val="006343AC"/>
    <w:rsid w:val="00634768"/>
    <w:rsid w:val="006357B6"/>
    <w:rsid w:val="00635C53"/>
    <w:rsid w:val="00636051"/>
    <w:rsid w:val="006361F9"/>
    <w:rsid w:val="00636900"/>
    <w:rsid w:val="00636F37"/>
    <w:rsid w:val="00637AE2"/>
    <w:rsid w:val="00637B60"/>
    <w:rsid w:val="00637B6F"/>
    <w:rsid w:val="00637D53"/>
    <w:rsid w:val="00640382"/>
    <w:rsid w:val="00640436"/>
    <w:rsid w:val="00640B5C"/>
    <w:rsid w:val="00641269"/>
    <w:rsid w:val="006412F6"/>
    <w:rsid w:val="00641AC2"/>
    <w:rsid w:val="00641CE7"/>
    <w:rsid w:val="00641EB4"/>
    <w:rsid w:val="00641FDE"/>
    <w:rsid w:val="006423D2"/>
    <w:rsid w:val="00642883"/>
    <w:rsid w:val="00643190"/>
    <w:rsid w:val="006435B7"/>
    <w:rsid w:val="0064368A"/>
    <w:rsid w:val="00644D56"/>
    <w:rsid w:val="00644D5D"/>
    <w:rsid w:val="006459C7"/>
    <w:rsid w:val="00647104"/>
    <w:rsid w:val="00647C07"/>
    <w:rsid w:val="00650BAA"/>
    <w:rsid w:val="00650C00"/>
    <w:rsid w:val="006517B8"/>
    <w:rsid w:val="00651959"/>
    <w:rsid w:val="00651A40"/>
    <w:rsid w:val="00651ECD"/>
    <w:rsid w:val="00651FD0"/>
    <w:rsid w:val="00652953"/>
    <w:rsid w:val="00652D9C"/>
    <w:rsid w:val="0065362A"/>
    <w:rsid w:val="006536AF"/>
    <w:rsid w:val="0065404E"/>
    <w:rsid w:val="0065417A"/>
    <w:rsid w:val="00654D48"/>
    <w:rsid w:val="006555C1"/>
    <w:rsid w:val="00655877"/>
    <w:rsid w:val="00656BA8"/>
    <w:rsid w:val="00657805"/>
    <w:rsid w:val="00657808"/>
    <w:rsid w:val="00657C98"/>
    <w:rsid w:val="00660802"/>
    <w:rsid w:val="00660C03"/>
    <w:rsid w:val="0066122F"/>
    <w:rsid w:val="00661B80"/>
    <w:rsid w:val="006623A5"/>
    <w:rsid w:val="0066243C"/>
    <w:rsid w:val="0066297C"/>
    <w:rsid w:val="00662EA1"/>
    <w:rsid w:val="00662F03"/>
    <w:rsid w:val="006636CD"/>
    <w:rsid w:val="00663ABE"/>
    <w:rsid w:val="00663C58"/>
    <w:rsid w:val="006641F6"/>
    <w:rsid w:val="00664718"/>
    <w:rsid w:val="0066623D"/>
    <w:rsid w:val="00666A9E"/>
    <w:rsid w:val="00666B9C"/>
    <w:rsid w:val="00666C33"/>
    <w:rsid w:val="006671C0"/>
    <w:rsid w:val="00667F12"/>
    <w:rsid w:val="00667F16"/>
    <w:rsid w:val="0067034F"/>
    <w:rsid w:val="00670416"/>
    <w:rsid w:val="00670EA6"/>
    <w:rsid w:val="00671250"/>
    <w:rsid w:val="00671A57"/>
    <w:rsid w:val="00672780"/>
    <w:rsid w:val="00672E86"/>
    <w:rsid w:val="006731E6"/>
    <w:rsid w:val="00673395"/>
    <w:rsid w:val="00673478"/>
    <w:rsid w:val="0067393B"/>
    <w:rsid w:val="00673C52"/>
    <w:rsid w:val="00674573"/>
    <w:rsid w:val="00674A30"/>
    <w:rsid w:val="00674B19"/>
    <w:rsid w:val="00674D33"/>
    <w:rsid w:val="006752C2"/>
    <w:rsid w:val="006756C8"/>
    <w:rsid w:val="006758A4"/>
    <w:rsid w:val="00675B05"/>
    <w:rsid w:val="0067649C"/>
    <w:rsid w:val="006769FA"/>
    <w:rsid w:val="00676CC2"/>
    <w:rsid w:val="0067740D"/>
    <w:rsid w:val="0068007E"/>
    <w:rsid w:val="00680233"/>
    <w:rsid w:val="0068062D"/>
    <w:rsid w:val="00680769"/>
    <w:rsid w:val="00681A7E"/>
    <w:rsid w:val="00682708"/>
    <w:rsid w:val="0068284C"/>
    <w:rsid w:val="00682CB0"/>
    <w:rsid w:val="00683628"/>
    <w:rsid w:val="00683C5B"/>
    <w:rsid w:val="00684270"/>
    <w:rsid w:val="00684D33"/>
    <w:rsid w:val="00685B8C"/>
    <w:rsid w:val="00685E7A"/>
    <w:rsid w:val="0068608E"/>
    <w:rsid w:val="00686276"/>
    <w:rsid w:val="00686427"/>
    <w:rsid w:val="006868DA"/>
    <w:rsid w:val="00686AC7"/>
    <w:rsid w:val="006873D6"/>
    <w:rsid w:val="0068740E"/>
    <w:rsid w:val="00687D04"/>
    <w:rsid w:val="00687DDC"/>
    <w:rsid w:val="0069083B"/>
    <w:rsid w:val="0069117F"/>
    <w:rsid w:val="00691216"/>
    <w:rsid w:val="0069153E"/>
    <w:rsid w:val="006919A3"/>
    <w:rsid w:val="00691A21"/>
    <w:rsid w:val="00691CAE"/>
    <w:rsid w:val="00691D6D"/>
    <w:rsid w:val="006920A4"/>
    <w:rsid w:val="00692370"/>
    <w:rsid w:val="0069266C"/>
    <w:rsid w:val="006927FF"/>
    <w:rsid w:val="00692DA2"/>
    <w:rsid w:val="006935CC"/>
    <w:rsid w:val="0069477B"/>
    <w:rsid w:val="0069489A"/>
    <w:rsid w:val="00694E15"/>
    <w:rsid w:val="00695FA1"/>
    <w:rsid w:val="00696100"/>
    <w:rsid w:val="0069647C"/>
    <w:rsid w:val="0069672B"/>
    <w:rsid w:val="00696E2D"/>
    <w:rsid w:val="006976A8"/>
    <w:rsid w:val="006A0773"/>
    <w:rsid w:val="006A1112"/>
    <w:rsid w:val="006A1549"/>
    <w:rsid w:val="006A16FD"/>
    <w:rsid w:val="006A17E4"/>
    <w:rsid w:val="006A1B4A"/>
    <w:rsid w:val="006A1B99"/>
    <w:rsid w:val="006A25EB"/>
    <w:rsid w:val="006A2812"/>
    <w:rsid w:val="006A3085"/>
    <w:rsid w:val="006A30CD"/>
    <w:rsid w:val="006A337A"/>
    <w:rsid w:val="006A346C"/>
    <w:rsid w:val="006A34E6"/>
    <w:rsid w:val="006A3523"/>
    <w:rsid w:val="006A3E11"/>
    <w:rsid w:val="006A3EE0"/>
    <w:rsid w:val="006A439E"/>
    <w:rsid w:val="006A43C6"/>
    <w:rsid w:val="006A5D16"/>
    <w:rsid w:val="006A66E5"/>
    <w:rsid w:val="006A6DAD"/>
    <w:rsid w:val="006A7B56"/>
    <w:rsid w:val="006A7E95"/>
    <w:rsid w:val="006B0E85"/>
    <w:rsid w:val="006B18CB"/>
    <w:rsid w:val="006B1B4B"/>
    <w:rsid w:val="006B2073"/>
    <w:rsid w:val="006B26B6"/>
    <w:rsid w:val="006B2A7D"/>
    <w:rsid w:val="006B3727"/>
    <w:rsid w:val="006B4648"/>
    <w:rsid w:val="006B560A"/>
    <w:rsid w:val="006B5F9B"/>
    <w:rsid w:val="006B610B"/>
    <w:rsid w:val="006B680A"/>
    <w:rsid w:val="006B689C"/>
    <w:rsid w:val="006B6C47"/>
    <w:rsid w:val="006B7CA5"/>
    <w:rsid w:val="006C0405"/>
    <w:rsid w:val="006C0778"/>
    <w:rsid w:val="006C1AB1"/>
    <w:rsid w:val="006C2BD3"/>
    <w:rsid w:val="006C2CE9"/>
    <w:rsid w:val="006C2D6A"/>
    <w:rsid w:val="006C3663"/>
    <w:rsid w:val="006C4D22"/>
    <w:rsid w:val="006C4E67"/>
    <w:rsid w:val="006C6493"/>
    <w:rsid w:val="006C6ADF"/>
    <w:rsid w:val="006C6B18"/>
    <w:rsid w:val="006C6D02"/>
    <w:rsid w:val="006C6F4B"/>
    <w:rsid w:val="006C71A3"/>
    <w:rsid w:val="006C741C"/>
    <w:rsid w:val="006C7B20"/>
    <w:rsid w:val="006C7E56"/>
    <w:rsid w:val="006C7F30"/>
    <w:rsid w:val="006D0208"/>
    <w:rsid w:val="006D0722"/>
    <w:rsid w:val="006D0BF5"/>
    <w:rsid w:val="006D2177"/>
    <w:rsid w:val="006D264A"/>
    <w:rsid w:val="006D306C"/>
    <w:rsid w:val="006D30FE"/>
    <w:rsid w:val="006D31E6"/>
    <w:rsid w:val="006D3609"/>
    <w:rsid w:val="006D40AD"/>
    <w:rsid w:val="006D562E"/>
    <w:rsid w:val="006D5AC9"/>
    <w:rsid w:val="006D5D54"/>
    <w:rsid w:val="006D5E8E"/>
    <w:rsid w:val="006D627C"/>
    <w:rsid w:val="006D633D"/>
    <w:rsid w:val="006D6A64"/>
    <w:rsid w:val="006D6AB5"/>
    <w:rsid w:val="006D6F65"/>
    <w:rsid w:val="006D7885"/>
    <w:rsid w:val="006E03E9"/>
    <w:rsid w:val="006E09D2"/>
    <w:rsid w:val="006E1205"/>
    <w:rsid w:val="006E125B"/>
    <w:rsid w:val="006E1CF4"/>
    <w:rsid w:val="006E2238"/>
    <w:rsid w:val="006E3020"/>
    <w:rsid w:val="006E364F"/>
    <w:rsid w:val="006E3821"/>
    <w:rsid w:val="006E3CAE"/>
    <w:rsid w:val="006E3FEB"/>
    <w:rsid w:val="006E4834"/>
    <w:rsid w:val="006E4E3C"/>
    <w:rsid w:val="006E546D"/>
    <w:rsid w:val="006E5970"/>
    <w:rsid w:val="006E6708"/>
    <w:rsid w:val="006E6741"/>
    <w:rsid w:val="006E739D"/>
    <w:rsid w:val="006F0946"/>
    <w:rsid w:val="006F0ABE"/>
    <w:rsid w:val="006F0DD1"/>
    <w:rsid w:val="006F10C4"/>
    <w:rsid w:val="006F13F9"/>
    <w:rsid w:val="006F20B4"/>
    <w:rsid w:val="006F2458"/>
    <w:rsid w:val="006F31BC"/>
    <w:rsid w:val="006F35DB"/>
    <w:rsid w:val="006F4012"/>
    <w:rsid w:val="006F479C"/>
    <w:rsid w:val="006F4EA7"/>
    <w:rsid w:val="006F5115"/>
    <w:rsid w:val="006F5A14"/>
    <w:rsid w:val="006F5BEA"/>
    <w:rsid w:val="006F6A34"/>
    <w:rsid w:val="006F6D00"/>
    <w:rsid w:val="007004DC"/>
    <w:rsid w:val="0070055C"/>
    <w:rsid w:val="007013C8"/>
    <w:rsid w:val="00701664"/>
    <w:rsid w:val="00701DBF"/>
    <w:rsid w:val="00701E6A"/>
    <w:rsid w:val="007024A2"/>
    <w:rsid w:val="007025E6"/>
    <w:rsid w:val="007028F6"/>
    <w:rsid w:val="00702982"/>
    <w:rsid w:val="00702E2E"/>
    <w:rsid w:val="0070375B"/>
    <w:rsid w:val="007039E5"/>
    <w:rsid w:val="00703C45"/>
    <w:rsid w:val="00703DF1"/>
    <w:rsid w:val="007040C6"/>
    <w:rsid w:val="0070550F"/>
    <w:rsid w:val="00705750"/>
    <w:rsid w:val="00705830"/>
    <w:rsid w:val="00705F71"/>
    <w:rsid w:val="007062AA"/>
    <w:rsid w:val="007064FE"/>
    <w:rsid w:val="00706699"/>
    <w:rsid w:val="00706F06"/>
    <w:rsid w:val="007101C2"/>
    <w:rsid w:val="00710247"/>
    <w:rsid w:val="00710944"/>
    <w:rsid w:val="00711DD9"/>
    <w:rsid w:val="00712045"/>
    <w:rsid w:val="00712EA0"/>
    <w:rsid w:val="00713785"/>
    <w:rsid w:val="0071471F"/>
    <w:rsid w:val="00714D41"/>
    <w:rsid w:val="00714E09"/>
    <w:rsid w:val="00715104"/>
    <w:rsid w:val="00715826"/>
    <w:rsid w:val="00715D86"/>
    <w:rsid w:val="00716073"/>
    <w:rsid w:val="0071639E"/>
    <w:rsid w:val="00716A20"/>
    <w:rsid w:val="00716CED"/>
    <w:rsid w:val="007174AA"/>
    <w:rsid w:val="00717725"/>
    <w:rsid w:val="00717DBB"/>
    <w:rsid w:val="007206FA"/>
    <w:rsid w:val="0072325C"/>
    <w:rsid w:val="007238AC"/>
    <w:rsid w:val="00724493"/>
    <w:rsid w:val="00725068"/>
    <w:rsid w:val="00725194"/>
    <w:rsid w:val="007261A3"/>
    <w:rsid w:val="0072652F"/>
    <w:rsid w:val="00726BC3"/>
    <w:rsid w:val="00726BF7"/>
    <w:rsid w:val="00726D7B"/>
    <w:rsid w:val="00727185"/>
    <w:rsid w:val="007305F0"/>
    <w:rsid w:val="0073111C"/>
    <w:rsid w:val="0073121C"/>
    <w:rsid w:val="0073169E"/>
    <w:rsid w:val="007319B2"/>
    <w:rsid w:val="00731C3E"/>
    <w:rsid w:val="007323FE"/>
    <w:rsid w:val="0073284B"/>
    <w:rsid w:val="00732AF7"/>
    <w:rsid w:val="007335B8"/>
    <w:rsid w:val="00733905"/>
    <w:rsid w:val="00733BA4"/>
    <w:rsid w:val="0073465B"/>
    <w:rsid w:val="00734BEC"/>
    <w:rsid w:val="00735ADA"/>
    <w:rsid w:val="00735C45"/>
    <w:rsid w:val="00736DF9"/>
    <w:rsid w:val="0073720A"/>
    <w:rsid w:val="007372CD"/>
    <w:rsid w:val="00737E00"/>
    <w:rsid w:val="00740202"/>
    <w:rsid w:val="00740405"/>
    <w:rsid w:val="007404CE"/>
    <w:rsid w:val="0074089B"/>
    <w:rsid w:val="00740DCE"/>
    <w:rsid w:val="00742A43"/>
    <w:rsid w:val="00742DBA"/>
    <w:rsid w:val="00742EF8"/>
    <w:rsid w:val="00742F9B"/>
    <w:rsid w:val="0074326F"/>
    <w:rsid w:val="007432FD"/>
    <w:rsid w:val="00744837"/>
    <w:rsid w:val="0074524A"/>
    <w:rsid w:val="00746BF3"/>
    <w:rsid w:val="00746C2C"/>
    <w:rsid w:val="00750050"/>
    <w:rsid w:val="0075088F"/>
    <w:rsid w:val="0075214A"/>
    <w:rsid w:val="00752C64"/>
    <w:rsid w:val="00753140"/>
    <w:rsid w:val="0075320C"/>
    <w:rsid w:val="007537CC"/>
    <w:rsid w:val="00753C72"/>
    <w:rsid w:val="00753F4B"/>
    <w:rsid w:val="0075401E"/>
    <w:rsid w:val="00754247"/>
    <w:rsid w:val="00754DDB"/>
    <w:rsid w:val="00754E16"/>
    <w:rsid w:val="00755BEF"/>
    <w:rsid w:val="00755EDD"/>
    <w:rsid w:val="00756A2A"/>
    <w:rsid w:val="00756BE7"/>
    <w:rsid w:val="0075742B"/>
    <w:rsid w:val="00757B61"/>
    <w:rsid w:val="00757BB2"/>
    <w:rsid w:val="00757C6E"/>
    <w:rsid w:val="007600C6"/>
    <w:rsid w:val="007607E6"/>
    <w:rsid w:val="00760B98"/>
    <w:rsid w:val="007616D4"/>
    <w:rsid w:val="007620E4"/>
    <w:rsid w:val="007623D6"/>
    <w:rsid w:val="00763556"/>
    <w:rsid w:val="00763582"/>
    <w:rsid w:val="00763855"/>
    <w:rsid w:val="00763893"/>
    <w:rsid w:val="00763974"/>
    <w:rsid w:val="00764272"/>
    <w:rsid w:val="0076495C"/>
    <w:rsid w:val="00764D5A"/>
    <w:rsid w:val="00764E5F"/>
    <w:rsid w:val="0076542C"/>
    <w:rsid w:val="007661BB"/>
    <w:rsid w:val="007661EF"/>
    <w:rsid w:val="00766B44"/>
    <w:rsid w:val="0076708D"/>
    <w:rsid w:val="0076769B"/>
    <w:rsid w:val="00770805"/>
    <w:rsid w:val="00770EFA"/>
    <w:rsid w:val="00771025"/>
    <w:rsid w:val="0077148F"/>
    <w:rsid w:val="00771FBF"/>
    <w:rsid w:val="0077253C"/>
    <w:rsid w:val="00772D25"/>
    <w:rsid w:val="00772F66"/>
    <w:rsid w:val="00772FD8"/>
    <w:rsid w:val="007739F2"/>
    <w:rsid w:val="00773C5B"/>
    <w:rsid w:val="00773DB8"/>
    <w:rsid w:val="00773E20"/>
    <w:rsid w:val="0077433D"/>
    <w:rsid w:val="007743BF"/>
    <w:rsid w:val="00774531"/>
    <w:rsid w:val="00775165"/>
    <w:rsid w:val="00775DB3"/>
    <w:rsid w:val="00776104"/>
    <w:rsid w:val="0077617F"/>
    <w:rsid w:val="00776A1E"/>
    <w:rsid w:val="007770F5"/>
    <w:rsid w:val="007771DF"/>
    <w:rsid w:val="007772E0"/>
    <w:rsid w:val="0077767E"/>
    <w:rsid w:val="007778EC"/>
    <w:rsid w:val="00780F53"/>
    <w:rsid w:val="00782978"/>
    <w:rsid w:val="00782BA0"/>
    <w:rsid w:val="00782EED"/>
    <w:rsid w:val="00783653"/>
    <w:rsid w:val="00784265"/>
    <w:rsid w:val="007846BA"/>
    <w:rsid w:val="007847FD"/>
    <w:rsid w:val="00785765"/>
    <w:rsid w:val="00785E96"/>
    <w:rsid w:val="00786081"/>
    <w:rsid w:val="007862F0"/>
    <w:rsid w:val="00786A3E"/>
    <w:rsid w:val="00786DEE"/>
    <w:rsid w:val="00787EA8"/>
    <w:rsid w:val="00790474"/>
    <w:rsid w:val="00790F97"/>
    <w:rsid w:val="0079131A"/>
    <w:rsid w:val="007918D2"/>
    <w:rsid w:val="007928E2"/>
    <w:rsid w:val="00792F99"/>
    <w:rsid w:val="00793BD8"/>
    <w:rsid w:val="007942AD"/>
    <w:rsid w:val="0079473E"/>
    <w:rsid w:val="00794880"/>
    <w:rsid w:val="00794B15"/>
    <w:rsid w:val="00794CF0"/>
    <w:rsid w:val="00794F5D"/>
    <w:rsid w:val="00795278"/>
    <w:rsid w:val="007954FB"/>
    <w:rsid w:val="0079553C"/>
    <w:rsid w:val="007957BF"/>
    <w:rsid w:val="0079592C"/>
    <w:rsid w:val="00796AAB"/>
    <w:rsid w:val="007974E3"/>
    <w:rsid w:val="007A01C7"/>
    <w:rsid w:val="007A0487"/>
    <w:rsid w:val="007A0C0E"/>
    <w:rsid w:val="007A119E"/>
    <w:rsid w:val="007A189C"/>
    <w:rsid w:val="007A21B6"/>
    <w:rsid w:val="007A287F"/>
    <w:rsid w:val="007A2A85"/>
    <w:rsid w:val="007A3217"/>
    <w:rsid w:val="007A33A2"/>
    <w:rsid w:val="007A3A15"/>
    <w:rsid w:val="007A4B4D"/>
    <w:rsid w:val="007A529D"/>
    <w:rsid w:val="007A5854"/>
    <w:rsid w:val="007A6068"/>
    <w:rsid w:val="007A64BA"/>
    <w:rsid w:val="007A67CF"/>
    <w:rsid w:val="007A70CC"/>
    <w:rsid w:val="007A70F1"/>
    <w:rsid w:val="007A76B4"/>
    <w:rsid w:val="007A7A75"/>
    <w:rsid w:val="007A7C07"/>
    <w:rsid w:val="007A7DAB"/>
    <w:rsid w:val="007A7E54"/>
    <w:rsid w:val="007A7E57"/>
    <w:rsid w:val="007A7ECD"/>
    <w:rsid w:val="007B022D"/>
    <w:rsid w:val="007B026D"/>
    <w:rsid w:val="007B11BE"/>
    <w:rsid w:val="007B1482"/>
    <w:rsid w:val="007B1534"/>
    <w:rsid w:val="007B16AF"/>
    <w:rsid w:val="007B1DC4"/>
    <w:rsid w:val="007B1EBA"/>
    <w:rsid w:val="007B270A"/>
    <w:rsid w:val="007B2F79"/>
    <w:rsid w:val="007B30C8"/>
    <w:rsid w:val="007B31B0"/>
    <w:rsid w:val="007B399E"/>
    <w:rsid w:val="007B3FA7"/>
    <w:rsid w:val="007B490F"/>
    <w:rsid w:val="007B4A1F"/>
    <w:rsid w:val="007B51C1"/>
    <w:rsid w:val="007B5327"/>
    <w:rsid w:val="007B5DFC"/>
    <w:rsid w:val="007B5EFB"/>
    <w:rsid w:val="007B65AC"/>
    <w:rsid w:val="007B65BD"/>
    <w:rsid w:val="007B678A"/>
    <w:rsid w:val="007B698E"/>
    <w:rsid w:val="007B6B46"/>
    <w:rsid w:val="007B6C58"/>
    <w:rsid w:val="007B6CE9"/>
    <w:rsid w:val="007B6D41"/>
    <w:rsid w:val="007B7A77"/>
    <w:rsid w:val="007B7C6B"/>
    <w:rsid w:val="007C0E14"/>
    <w:rsid w:val="007C0F32"/>
    <w:rsid w:val="007C112D"/>
    <w:rsid w:val="007C119E"/>
    <w:rsid w:val="007C13D5"/>
    <w:rsid w:val="007C13EA"/>
    <w:rsid w:val="007C2714"/>
    <w:rsid w:val="007C28C3"/>
    <w:rsid w:val="007C28D6"/>
    <w:rsid w:val="007C298B"/>
    <w:rsid w:val="007C2F8F"/>
    <w:rsid w:val="007C3867"/>
    <w:rsid w:val="007C38C0"/>
    <w:rsid w:val="007C3BA6"/>
    <w:rsid w:val="007C40E6"/>
    <w:rsid w:val="007C41AE"/>
    <w:rsid w:val="007C4A2E"/>
    <w:rsid w:val="007C4B32"/>
    <w:rsid w:val="007C4EA9"/>
    <w:rsid w:val="007C6280"/>
    <w:rsid w:val="007C629A"/>
    <w:rsid w:val="007C65F5"/>
    <w:rsid w:val="007C6922"/>
    <w:rsid w:val="007C6BA9"/>
    <w:rsid w:val="007C796F"/>
    <w:rsid w:val="007C7AB6"/>
    <w:rsid w:val="007D00D4"/>
    <w:rsid w:val="007D0170"/>
    <w:rsid w:val="007D0818"/>
    <w:rsid w:val="007D0C40"/>
    <w:rsid w:val="007D0F3C"/>
    <w:rsid w:val="007D1133"/>
    <w:rsid w:val="007D1798"/>
    <w:rsid w:val="007D1929"/>
    <w:rsid w:val="007D20A3"/>
    <w:rsid w:val="007D2241"/>
    <w:rsid w:val="007D2726"/>
    <w:rsid w:val="007D2C89"/>
    <w:rsid w:val="007D2DC2"/>
    <w:rsid w:val="007D4786"/>
    <w:rsid w:val="007D4F34"/>
    <w:rsid w:val="007D51D0"/>
    <w:rsid w:val="007D54B1"/>
    <w:rsid w:val="007D5EFF"/>
    <w:rsid w:val="007D653D"/>
    <w:rsid w:val="007D697D"/>
    <w:rsid w:val="007D6B12"/>
    <w:rsid w:val="007D6F71"/>
    <w:rsid w:val="007D75EB"/>
    <w:rsid w:val="007E0048"/>
    <w:rsid w:val="007E0216"/>
    <w:rsid w:val="007E1F95"/>
    <w:rsid w:val="007E258D"/>
    <w:rsid w:val="007E265F"/>
    <w:rsid w:val="007E2EE1"/>
    <w:rsid w:val="007E3015"/>
    <w:rsid w:val="007E3595"/>
    <w:rsid w:val="007E433D"/>
    <w:rsid w:val="007E4CE3"/>
    <w:rsid w:val="007E4DBE"/>
    <w:rsid w:val="007E4E7A"/>
    <w:rsid w:val="007E54D9"/>
    <w:rsid w:val="007E56EF"/>
    <w:rsid w:val="007E728A"/>
    <w:rsid w:val="007E7422"/>
    <w:rsid w:val="007E7DFC"/>
    <w:rsid w:val="007F0E30"/>
    <w:rsid w:val="007F1F5A"/>
    <w:rsid w:val="007F2C9B"/>
    <w:rsid w:val="007F2DB6"/>
    <w:rsid w:val="007F35F1"/>
    <w:rsid w:val="007F37E3"/>
    <w:rsid w:val="007F64CF"/>
    <w:rsid w:val="007F70AB"/>
    <w:rsid w:val="007F7DA2"/>
    <w:rsid w:val="008000F4"/>
    <w:rsid w:val="008004C9"/>
    <w:rsid w:val="0080063E"/>
    <w:rsid w:val="00800704"/>
    <w:rsid w:val="00800857"/>
    <w:rsid w:val="0080128D"/>
    <w:rsid w:val="00802266"/>
    <w:rsid w:val="0080267F"/>
    <w:rsid w:val="00802C4D"/>
    <w:rsid w:val="00802E80"/>
    <w:rsid w:val="00802EAC"/>
    <w:rsid w:val="00803029"/>
    <w:rsid w:val="0080321D"/>
    <w:rsid w:val="008033EB"/>
    <w:rsid w:val="008038DD"/>
    <w:rsid w:val="0080451B"/>
    <w:rsid w:val="00804A7C"/>
    <w:rsid w:val="0080512A"/>
    <w:rsid w:val="008059BB"/>
    <w:rsid w:val="00805E56"/>
    <w:rsid w:val="008064E3"/>
    <w:rsid w:val="00806C24"/>
    <w:rsid w:val="00807200"/>
    <w:rsid w:val="00807689"/>
    <w:rsid w:val="008076F4"/>
    <w:rsid w:val="00807711"/>
    <w:rsid w:val="008077C6"/>
    <w:rsid w:val="00811504"/>
    <w:rsid w:val="008115E0"/>
    <w:rsid w:val="008117B6"/>
    <w:rsid w:val="00811C43"/>
    <w:rsid w:val="00811F3B"/>
    <w:rsid w:val="0081203A"/>
    <w:rsid w:val="008128DF"/>
    <w:rsid w:val="00813B92"/>
    <w:rsid w:val="0081408F"/>
    <w:rsid w:val="00814648"/>
    <w:rsid w:val="00814859"/>
    <w:rsid w:val="00814EA9"/>
    <w:rsid w:val="00815532"/>
    <w:rsid w:val="0081599F"/>
    <w:rsid w:val="00817515"/>
    <w:rsid w:val="008177BF"/>
    <w:rsid w:val="00817B96"/>
    <w:rsid w:val="00817D90"/>
    <w:rsid w:val="00820E4B"/>
    <w:rsid w:val="008211AA"/>
    <w:rsid w:val="00821496"/>
    <w:rsid w:val="008218EE"/>
    <w:rsid w:val="00821E1D"/>
    <w:rsid w:val="00821F8E"/>
    <w:rsid w:val="00822BBD"/>
    <w:rsid w:val="00823184"/>
    <w:rsid w:val="00823731"/>
    <w:rsid w:val="00823970"/>
    <w:rsid w:val="00823AB3"/>
    <w:rsid w:val="008244B3"/>
    <w:rsid w:val="008245B4"/>
    <w:rsid w:val="00824AAB"/>
    <w:rsid w:val="00824B35"/>
    <w:rsid w:val="00824FC9"/>
    <w:rsid w:val="00825EF3"/>
    <w:rsid w:val="008269ED"/>
    <w:rsid w:val="00827386"/>
    <w:rsid w:val="00827C44"/>
    <w:rsid w:val="008308C3"/>
    <w:rsid w:val="00831247"/>
    <w:rsid w:val="00831AC7"/>
    <w:rsid w:val="00831E80"/>
    <w:rsid w:val="00832078"/>
    <w:rsid w:val="008321D5"/>
    <w:rsid w:val="00832577"/>
    <w:rsid w:val="00832A75"/>
    <w:rsid w:val="00832D3D"/>
    <w:rsid w:val="00833C87"/>
    <w:rsid w:val="0083402A"/>
    <w:rsid w:val="008340FA"/>
    <w:rsid w:val="008343EC"/>
    <w:rsid w:val="008344C7"/>
    <w:rsid w:val="00836338"/>
    <w:rsid w:val="008368B4"/>
    <w:rsid w:val="0083724E"/>
    <w:rsid w:val="00837320"/>
    <w:rsid w:val="0083765F"/>
    <w:rsid w:val="008378C5"/>
    <w:rsid w:val="00837950"/>
    <w:rsid w:val="00837AA4"/>
    <w:rsid w:val="00840431"/>
    <w:rsid w:val="008407A8"/>
    <w:rsid w:val="008408E3"/>
    <w:rsid w:val="00840B43"/>
    <w:rsid w:val="00840E32"/>
    <w:rsid w:val="008419DD"/>
    <w:rsid w:val="00841A89"/>
    <w:rsid w:val="00843108"/>
    <w:rsid w:val="008437C3"/>
    <w:rsid w:val="0084483C"/>
    <w:rsid w:val="008449D1"/>
    <w:rsid w:val="00844C0C"/>
    <w:rsid w:val="00844C5A"/>
    <w:rsid w:val="00846FCB"/>
    <w:rsid w:val="00847908"/>
    <w:rsid w:val="00847B7D"/>
    <w:rsid w:val="00847EFA"/>
    <w:rsid w:val="0085064C"/>
    <w:rsid w:val="00850A18"/>
    <w:rsid w:val="00852674"/>
    <w:rsid w:val="008526A2"/>
    <w:rsid w:val="00852F0E"/>
    <w:rsid w:val="00853070"/>
    <w:rsid w:val="008537DA"/>
    <w:rsid w:val="00854997"/>
    <w:rsid w:val="0085572C"/>
    <w:rsid w:val="00855A69"/>
    <w:rsid w:val="00855CEE"/>
    <w:rsid w:val="00855D22"/>
    <w:rsid w:val="00855E24"/>
    <w:rsid w:val="0085689B"/>
    <w:rsid w:val="00856AAE"/>
    <w:rsid w:val="00856EA3"/>
    <w:rsid w:val="00856F2C"/>
    <w:rsid w:val="0085701A"/>
    <w:rsid w:val="008572CC"/>
    <w:rsid w:val="008573C7"/>
    <w:rsid w:val="00857A75"/>
    <w:rsid w:val="0086046C"/>
    <w:rsid w:val="00861012"/>
    <w:rsid w:val="00861201"/>
    <w:rsid w:val="008617E0"/>
    <w:rsid w:val="00861C61"/>
    <w:rsid w:val="008621E6"/>
    <w:rsid w:val="008628E6"/>
    <w:rsid w:val="00863D30"/>
    <w:rsid w:val="008641AB"/>
    <w:rsid w:val="00864372"/>
    <w:rsid w:val="00864BB5"/>
    <w:rsid w:val="00864C73"/>
    <w:rsid w:val="00864FCF"/>
    <w:rsid w:val="0086610B"/>
    <w:rsid w:val="0086656F"/>
    <w:rsid w:val="00867856"/>
    <w:rsid w:val="00867E63"/>
    <w:rsid w:val="00870B77"/>
    <w:rsid w:val="00870D1F"/>
    <w:rsid w:val="008714C5"/>
    <w:rsid w:val="008715D0"/>
    <w:rsid w:val="00872590"/>
    <w:rsid w:val="008729E2"/>
    <w:rsid w:val="00872DD6"/>
    <w:rsid w:val="008732BE"/>
    <w:rsid w:val="00873986"/>
    <w:rsid w:val="00873F0A"/>
    <w:rsid w:val="00873FF0"/>
    <w:rsid w:val="0087400E"/>
    <w:rsid w:val="008742D6"/>
    <w:rsid w:val="0087448F"/>
    <w:rsid w:val="0087452B"/>
    <w:rsid w:val="00874B41"/>
    <w:rsid w:val="00874D90"/>
    <w:rsid w:val="00874F19"/>
    <w:rsid w:val="00875106"/>
    <w:rsid w:val="00875414"/>
    <w:rsid w:val="00875B8D"/>
    <w:rsid w:val="008760CF"/>
    <w:rsid w:val="0087747B"/>
    <w:rsid w:val="008775C5"/>
    <w:rsid w:val="008776D5"/>
    <w:rsid w:val="008779FC"/>
    <w:rsid w:val="00877DCB"/>
    <w:rsid w:val="00881210"/>
    <w:rsid w:val="008816FE"/>
    <w:rsid w:val="00881ABA"/>
    <w:rsid w:val="00881BB8"/>
    <w:rsid w:val="00881BCA"/>
    <w:rsid w:val="00881C45"/>
    <w:rsid w:val="00881D82"/>
    <w:rsid w:val="00881DD8"/>
    <w:rsid w:val="00882036"/>
    <w:rsid w:val="0088214A"/>
    <w:rsid w:val="00882187"/>
    <w:rsid w:val="00882752"/>
    <w:rsid w:val="00883574"/>
    <w:rsid w:val="0088360C"/>
    <w:rsid w:val="008836D0"/>
    <w:rsid w:val="00883911"/>
    <w:rsid w:val="008843C1"/>
    <w:rsid w:val="00884C35"/>
    <w:rsid w:val="00886EF5"/>
    <w:rsid w:val="00887D2E"/>
    <w:rsid w:val="00887DAE"/>
    <w:rsid w:val="008908DD"/>
    <w:rsid w:val="00890BBF"/>
    <w:rsid w:val="0089145F"/>
    <w:rsid w:val="0089153B"/>
    <w:rsid w:val="00891602"/>
    <w:rsid w:val="0089177F"/>
    <w:rsid w:val="00891D94"/>
    <w:rsid w:val="00891E91"/>
    <w:rsid w:val="008927EB"/>
    <w:rsid w:val="00892983"/>
    <w:rsid w:val="00893801"/>
    <w:rsid w:val="00893802"/>
    <w:rsid w:val="00893A56"/>
    <w:rsid w:val="00893CAD"/>
    <w:rsid w:val="00893E2B"/>
    <w:rsid w:val="0089420E"/>
    <w:rsid w:val="008947C0"/>
    <w:rsid w:val="00894DC3"/>
    <w:rsid w:val="00895360"/>
    <w:rsid w:val="00895AA0"/>
    <w:rsid w:val="00895CBC"/>
    <w:rsid w:val="008966D0"/>
    <w:rsid w:val="00896A0A"/>
    <w:rsid w:val="008974F5"/>
    <w:rsid w:val="008A0856"/>
    <w:rsid w:val="008A08A3"/>
    <w:rsid w:val="008A0E50"/>
    <w:rsid w:val="008A0F95"/>
    <w:rsid w:val="008A1AEB"/>
    <w:rsid w:val="008A29BA"/>
    <w:rsid w:val="008A2F18"/>
    <w:rsid w:val="008A30EC"/>
    <w:rsid w:val="008A32AA"/>
    <w:rsid w:val="008A3483"/>
    <w:rsid w:val="008A3629"/>
    <w:rsid w:val="008A3945"/>
    <w:rsid w:val="008A3A9D"/>
    <w:rsid w:val="008A47AC"/>
    <w:rsid w:val="008A48A1"/>
    <w:rsid w:val="008A4CE9"/>
    <w:rsid w:val="008A566A"/>
    <w:rsid w:val="008A5B8B"/>
    <w:rsid w:val="008A5F72"/>
    <w:rsid w:val="008A7079"/>
    <w:rsid w:val="008A7C12"/>
    <w:rsid w:val="008B012D"/>
    <w:rsid w:val="008B0A93"/>
    <w:rsid w:val="008B0F9E"/>
    <w:rsid w:val="008B178A"/>
    <w:rsid w:val="008B1ACD"/>
    <w:rsid w:val="008B1AD9"/>
    <w:rsid w:val="008B34B7"/>
    <w:rsid w:val="008B354D"/>
    <w:rsid w:val="008B3979"/>
    <w:rsid w:val="008B459A"/>
    <w:rsid w:val="008B4E4A"/>
    <w:rsid w:val="008B4F59"/>
    <w:rsid w:val="008B504A"/>
    <w:rsid w:val="008B52AC"/>
    <w:rsid w:val="008B69E9"/>
    <w:rsid w:val="008B715B"/>
    <w:rsid w:val="008B7507"/>
    <w:rsid w:val="008B79D6"/>
    <w:rsid w:val="008B7A93"/>
    <w:rsid w:val="008B7D06"/>
    <w:rsid w:val="008C0AD2"/>
    <w:rsid w:val="008C0DBA"/>
    <w:rsid w:val="008C1237"/>
    <w:rsid w:val="008C1652"/>
    <w:rsid w:val="008C189B"/>
    <w:rsid w:val="008C1F66"/>
    <w:rsid w:val="008C32D5"/>
    <w:rsid w:val="008C3CA0"/>
    <w:rsid w:val="008C4212"/>
    <w:rsid w:val="008C49F1"/>
    <w:rsid w:val="008C4E2A"/>
    <w:rsid w:val="008C642D"/>
    <w:rsid w:val="008C73B4"/>
    <w:rsid w:val="008D00BF"/>
    <w:rsid w:val="008D04C7"/>
    <w:rsid w:val="008D1024"/>
    <w:rsid w:val="008D13D7"/>
    <w:rsid w:val="008D1B15"/>
    <w:rsid w:val="008D1BEC"/>
    <w:rsid w:val="008D1C29"/>
    <w:rsid w:val="008D1C40"/>
    <w:rsid w:val="008D2708"/>
    <w:rsid w:val="008D2E2B"/>
    <w:rsid w:val="008D3257"/>
    <w:rsid w:val="008D361D"/>
    <w:rsid w:val="008D3A4C"/>
    <w:rsid w:val="008D4028"/>
    <w:rsid w:val="008D4571"/>
    <w:rsid w:val="008D4EEC"/>
    <w:rsid w:val="008D61AB"/>
    <w:rsid w:val="008D6602"/>
    <w:rsid w:val="008D660E"/>
    <w:rsid w:val="008D6688"/>
    <w:rsid w:val="008D6751"/>
    <w:rsid w:val="008D6AD1"/>
    <w:rsid w:val="008D6DEF"/>
    <w:rsid w:val="008D7BE3"/>
    <w:rsid w:val="008D7EE3"/>
    <w:rsid w:val="008E007A"/>
    <w:rsid w:val="008E029D"/>
    <w:rsid w:val="008E0376"/>
    <w:rsid w:val="008E0874"/>
    <w:rsid w:val="008E09A7"/>
    <w:rsid w:val="008E0CD0"/>
    <w:rsid w:val="008E0D5A"/>
    <w:rsid w:val="008E0DE7"/>
    <w:rsid w:val="008E100A"/>
    <w:rsid w:val="008E1A46"/>
    <w:rsid w:val="008E1C7E"/>
    <w:rsid w:val="008E1E9D"/>
    <w:rsid w:val="008E3276"/>
    <w:rsid w:val="008E36AF"/>
    <w:rsid w:val="008E40D8"/>
    <w:rsid w:val="008E418D"/>
    <w:rsid w:val="008E4824"/>
    <w:rsid w:val="008E4B49"/>
    <w:rsid w:val="008E4DB3"/>
    <w:rsid w:val="008E6294"/>
    <w:rsid w:val="008E639A"/>
    <w:rsid w:val="008E69B1"/>
    <w:rsid w:val="008E6B1C"/>
    <w:rsid w:val="008E7391"/>
    <w:rsid w:val="008E74B8"/>
    <w:rsid w:val="008E7697"/>
    <w:rsid w:val="008E79F8"/>
    <w:rsid w:val="008E7BB4"/>
    <w:rsid w:val="008F04DA"/>
    <w:rsid w:val="008F0A3D"/>
    <w:rsid w:val="008F122D"/>
    <w:rsid w:val="008F12C2"/>
    <w:rsid w:val="008F1571"/>
    <w:rsid w:val="008F1BE5"/>
    <w:rsid w:val="008F2971"/>
    <w:rsid w:val="008F2F63"/>
    <w:rsid w:val="008F2FD8"/>
    <w:rsid w:val="008F3091"/>
    <w:rsid w:val="008F381D"/>
    <w:rsid w:val="008F3C95"/>
    <w:rsid w:val="008F48A9"/>
    <w:rsid w:val="008F4F34"/>
    <w:rsid w:val="008F525D"/>
    <w:rsid w:val="008F53D6"/>
    <w:rsid w:val="008F5AFD"/>
    <w:rsid w:val="008F631D"/>
    <w:rsid w:val="008F68AF"/>
    <w:rsid w:val="008F6995"/>
    <w:rsid w:val="009001DD"/>
    <w:rsid w:val="00900726"/>
    <w:rsid w:val="00900799"/>
    <w:rsid w:val="0090110E"/>
    <w:rsid w:val="0090113A"/>
    <w:rsid w:val="009028B0"/>
    <w:rsid w:val="0090319E"/>
    <w:rsid w:val="0090330A"/>
    <w:rsid w:val="00903865"/>
    <w:rsid w:val="00903FBB"/>
    <w:rsid w:val="0090452E"/>
    <w:rsid w:val="00904B9F"/>
    <w:rsid w:val="00905676"/>
    <w:rsid w:val="00906481"/>
    <w:rsid w:val="00906536"/>
    <w:rsid w:val="00906D09"/>
    <w:rsid w:val="0090737D"/>
    <w:rsid w:val="0090768F"/>
    <w:rsid w:val="009077AD"/>
    <w:rsid w:val="00907B67"/>
    <w:rsid w:val="009101F9"/>
    <w:rsid w:val="0091029E"/>
    <w:rsid w:val="00910E71"/>
    <w:rsid w:val="00910F65"/>
    <w:rsid w:val="0091162E"/>
    <w:rsid w:val="00912030"/>
    <w:rsid w:val="009120D3"/>
    <w:rsid w:val="00912239"/>
    <w:rsid w:val="00912340"/>
    <w:rsid w:val="0091341E"/>
    <w:rsid w:val="00913819"/>
    <w:rsid w:val="00913919"/>
    <w:rsid w:val="00913EA5"/>
    <w:rsid w:val="00914704"/>
    <w:rsid w:val="00915548"/>
    <w:rsid w:val="00915760"/>
    <w:rsid w:val="00915B56"/>
    <w:rsid w:val="00915D62"/>
    <w:rsid w:val="00915E08"/>
    <w:rsid w:val="009177FC"/>
    <w:rsid w:val="00917932"/>
    <w:rsid w:val="00917D5E"/>
    <w:rsid w:val="00917EF1"/>
    <w:rsid w:val="00920120"/>
    <w:rsid w:val="00921079"/>
    <w:rsid w:val="00921194"/>
    <w:rsid w:val="0092128D"/>
    <w:rsid w:val="00921FEB"/>
    <w:rsid w:val="00922245"/>
    <w:rsid w:val="0092290D"/>
    <w:rsid w:val="00922B86"/>
    <w:rsid w:val="00923259"/>
    <w:rsid w:val="009236D2"/>
    <w:rsid w:val="0092373C"/>
    <w:rsid w:val="009239B8"/>
    <w:rsid w:val="00923F2C"/>
    <w:rsid w:val="00924D32"/>
    <w:rsid w:val="009255B3"/>
    <w:rsid w:val="00925FBA"/>
    <w:rsid w:val="009266C1"/>
    <w:rsid w:val="00926715"/>
    <w:rsid w:val="00927C64"/>
    <w:rsid w:val="00927DAF"/>
    <w:rsid w:val="00931526"/>
    <w:rsid w:val="00931572"/>
    <w:rsid w:val="00932412"/>
    <w:rsid w:val="009324BA"/>
    <w:rsid w:val="009326C8"/>
    <w:rsid w:val="00932E1D"/>
    <w:rsid w:val="009332F3"/>
    <w:rsid w:val="00933ABB"/>
    <w:rsid w:val="00934321"/>
    <w:rsid w:val="009345A9"/>
    <w:rsid w:val="00934FA0"/>
    <w:rsid w:val="00935FA0"/>
    <w:rsid w:val="009362B5"/>
    <w:rsid w:val="00936431"/>
    <w:rsid w:val="009373B1"/>
    <w:rsid w:val="00937764"/>
    <w:rsid w:val="00937D70"/>
    <w:rsid w:val="00937D95"/>
    <w:rsid w:val="0094011F"/>
    <w:rsid w:val="00940260"/>
    <w:rsid w:val="0094050D"/>
    <w:rsid w:val="0094119E"/>
    <w:rsid w:val="009418F6"/>
    <w:rsid w:val="00941C40"/>
    <w:rsid w:val="00941EE5"/>
    <w:rsid w:val="00942FD2"/>
    <w:rsid w:val="0094307C"/>
    <w:rsid w:val="009432A0"/>
    <w:rsid w:val="0094449D"/>
    <w:rsid w:val="0094453B"/>
    <w:rsid w:val="009445CD"/>
    <w:rsid w:val="00944912"/>
    <w:rsid w:val="0094494F"/>
    <w:rsid w:val="00945784"/>
    <w:rsid w:val="009463CC"/>
    <w:rsid w:val="009467E2"/>
    <w:rsid w:val="00946D3E"/>
    <w:rsid w:val="00946E00"/>
    <w:rsid w:val="00946FCF"/>
    <w:rsid w:val="00947406"/>
    <w:rsid w:val="009477AF"/>
    <w:rsid w:val="009503CD"/>
    <w:rsid w:val="00950ECB"/>
    <w:rsid w:val="00951476"/>
    <w:rsid w:val="0095185D"/>
    <w:rsid w:val="00951F31"/>
    <w:rsid w:val="00952087"/>
    <w:rsid w:val="009527FB"/>
    <w:rsid w:val="00952A23"/>
    <w:rsid w:val="00952A8A"/>
    <w:rsid w:val="00952D97"/>
    <w:rsid w:val="00953034"/>
    <w:rsid w:val="0095307A"/>
    <w:rsid w:val="00953747"/>
    <w:rsid w:val="0095490A"/>
    <w:rsid w:val="00954999"/>
    <w:rsid w:val="00954DA5"/>
    <w:rsid w:val="0095569D"/>
    <w:rsid w:val="0095620B"/>
    <w:rsid w:val="009569A0"/>
    <w:rsid w:val="00956C3F"/>
    <w:rsid w:val="009602E8"/>
    <w:rsid w:val="00961B52"/>
    <w:rsid w:val="00961BB0"/>
    <w:rsid w:val="00961E47"/>
    <w:rsid w:val="00961EA2"/>
    <w:rsid w:val="00962015"/>
    <w:rsid w:val="00962222"/>
    <w:rsid w:val="00962B54"/>
    <w:rsid w:val="00963B65"/>
    <w:rsid w:val="0096437D"/>
    <w:rsid w:val="00964B3D"/>
    <w:rsid w:val="00965232"/>
    <w:rsid w:val="00965AC6"/>
    <w:rsid w:val="00965B28"/>
    <w:rsid w:val="009661A7"/>
    <w:rsid w:val="009664F1"/>
    <w:rsid w:val="00966685"/>
    <w:rsid w:val="009668A2"/>
    <w:rsid w:val="00966FD5"/>
    <w:rsid w:val="009702FC"/>
    <w:rsid w:val="0097072F"/>
    <w:rsid w:val="00971657"/>
    <w:rsid w:val="00971709"/>
    <w:rsid w:val="00973644"/>
    <w:rsid w:val="00973BC1"/>
    <w:rsid w:val="00974241"/>
    <w:rsid w:val="00974278"/>
    <w:rsid w:val="00975F39"/>
    <w:rsid w:val="00976DD3"/>
    <w:rsid w:val="00976E21"/>
    <w:rsid w:val="009771F5"/>
    <w:rsid w:val="0097742B"/>
    <w:rsid w:val="00977705"/>
    <w:rsid w:val="00980AD2"/>
    <w:rsid w:val="00981584"/>
    <w:rsid w:val="009819D1"/>
    <w:rsid w:val="00982864"/>
    <w:rsid w:val="0098368D"/>
    <w:rsid w:val="00983C50"/>
    <w:rsid w:val="00984A31"/>
    <w:rsid w:val="00984C64"/>
    <w:rsid w:val="009850EE"/>
    <w:rsid w:val="009858A1"/>
    <w:rsid w:val="009864A0"/>
    <w:rsid w:val="009865D7"/>
    <w:rsid w:val="00986B6F"/>
    <w:rsid w:val="00987269"/>
    <w:rsid w:val="00987810"/>
    <w:rsid w:val="00990059"/>
    <w:rsid w:val="00990ADD"/>
    <w:rsid w:val="00990C94"/>
    <w:rsid w:val="00990CE1"/>
    <w:rsid w:val="00991595"/>
    <w:rsid w:val="00991633"/>
    <w:rsid w:val="00991789"/>
    <w:rsid w:val="009928CC"/>
    <w:rsid w:val="00992B18"/>
    <w:rsid w:val="00992D92"/>
    <w:rsid w:val="0099357D"/>
    <w:rsid w:val="009939C9"/>
    <w:rsid w:val="009943C6"/>
    <w:rsid w:val="00995B28"/>
    <w:rsid w:val="00996A71"/>
    <w:rsid w:val="00996AA4"/>
    <w:rsid w:val="00996BC3"/>
    <w:rsid w:val="00996DC6"/>
    <w:rsid w:val="00997151"/>
    <w:rsid w:val="0099741D"/>
    <w:rsid w:val="009A0112"/>
    <w:rsid w:val="009A0491"/>
    <w:rsid w:val="009A058F"/>
    <w:rsid w:val="009A1EEC"/>
    <w:rsid w:val="009A200E"/>
    <w:rsid w:val="009A20B9"/>
    <w:rsid w:val="009A2135"/>
    <w:rsid w:val="009A2719"/>
    <w:rsid w:val="009A5366"/>
    <w:rsid w:val="009A5CD5"/>
    <w:rsid w:val="009A5E94"/>
    <w:rsid w:val="009A5ED8"/>
    <w:rsid w:val="009A76B4"/>
    <w:rsid w:val="009A7FCB"/>
    <w:rsid w:val="009B01D8"/>
    <w:rsid w:val="009B038A"/>
    <w:rsid w:val="009B0CC7"/>
    <w:rsid w:val="009B0EFA"/>
    <w:rsid w:val="009B1998"/>
    <w:rsid w:val="009B1EFB"/>
    <w:rsid w:val="009B26C6"/>
    <w:rsid w:val="009B27FC"/>
    <w:rsid w:val="009B394F"/>
    <w:rsid w:val="009B39D6"/>
    <w:rsid w:val="009B4516"/>
    <w:rsid w:val="009B4BF7"/>
    <w:rsid w:val="009B58F6"/>
    <w:rsid w:val="009B612D"/>
    <w:rsid w:val="009B616A"/>
    <w:rsid w:val="009B650E"/>
    <w:rsid w:val="009B6741"/>
    <w:rsid w:val="009B738A"/>
    <w:rsid w:val="009B75DC"/>
    <w:rsid w:val="009B7669"/>
    <w:rsid w:val="009B7825"/>
    <w:rsid w:val="009B7952"/>
    <w:rsid w:val="009B7CE6"/>
    <w:rsid w:val="009B7E7D"/>
    <w:rsid w:val="009C00C6"/>
    <w:rsid w:val="009C077C"/>
    <w:rsid w:val="009C07EC"/>
    <w:rsid w:val="009C0D1A"/>
    <w:rsid w:val="009C1BAB"/>
    <w:rsid w:val="009C1CAF"/>
    <w:rsid w:val="009C2087"/>
    <w:rsid w:val="009C21D1"/>
    <w:rsid w:val="009C2560"/>
    <w:rsid w:val="009C2710"/>
    <w:rsid w:val="009C382F"/>
    <w:rsid w:val="009C433D"/>
    <w:rsid w:val="009C44E8"/>
    <w:rsid w:val="009C4D4E"/>
    <w:rsid w:val="009C4F26"/>
    <w:rsid w:val="009C5312"/>
    <w:rsid w:val="009C5521"/>
    <w:rsid w:val="009C5E0A"/>
    <w:rsid w:val="009C63C4"/>
    <w:rsid w:val="009C6A76"/>
    <w:rsid w:val="009C6B00"/>
    <w:rsid w:val="009C7651"/>
    <w:rsid w:val="009C7B08"/>
    <w:rsid w:val="009C7C34"/>
    <w:rsid w:val="009C7D7D"/>
    <w:rsid w:val="009D0260"/>
    <w:rsid w:val="009D1201"/>
    <w:rsid w:val="009D156C"/>
    <w:rsid w:val="009D15BD"/>
    <w:rsid w:val="009D1AE0"/>
    <w:rsid w:val="009D2358"/>
    <w:rsid w:val="009D2C67"/>
    <w:rsid w:val="009D2CE7"/>
    <w:rsid w:val="009D2DEA"/>
    <w:rsid w:val="009D347F"/>
    <w:rsid w:val="009D5481"/>
    <w:rsid w:val="009D595F"/>
    <w:rsid w:val="009D59C4"/>
    <w:rsid w:val="009D5FB4"/>
    <w:rsid w:val="009D7B45"/>
    <w:rsid w:val="009D7EEA"/>
    <w:rsid w:val="009E0919"/>
    <w:rsid w:val="009E092B"/>
    <w:rsid w:val="009E0A31"/>
    <w:rsid w:val="009E0AD0"/>
    <w:rsid w:val="009E0CE5"/>
    <w:rsid w:val="009E1432"/>
    <w:rsid w:val="009E2436"/>
    <w:rsid w:val="009E248A"/>
    <w:rsid w:val="009E2F8C"/>
    <w:rsid w:val="009E3164"/>
    <w:rsid w:val="009E36EA"/>
    <w:rsid w:val="009E464B"/>
    <w:rsid w:val="009E4B09"/>
    <w:rsid w:val="009E4C59"/>
    <w:rsid w:val="009E4F92"/>
    <w:rsid w:val="009E5068"/>
    <w:rsid w:val="009E529D"/>
    <w:rsid w:val="009E567F"/>
    <w:rsid w:val="009E5A6A"/>
    <w:rsid w:val="009E5DB7"/>
    <w:rsid w:val="009E5F68"/>
    <w:rsid w:val="009E63D1"/>
    <w:rsid w:val="009E6A33"/>
    <w:rsid w:val="009E6E47"/>
    <w:rsid w:val="009E70EA"/>
    <w:rsid w:val="009E7667"/>
    <w:rsid w:val="009E776E"/>
    <w:rsid w:val="009E7970"/>
    <w:rsid w:val="009E7BEB"/>
    <w:rsid w:val="009E7ECE"/>
    <w:rsid w:val="009F088A"/>
    <w:rsid w:val="009F0996"/>
    <w:rsid w:val="009F0D87"/>
    <w:rsid w:val="009F1526"/>
    <w:rsid w:val="009F1B3A"/>
    <w:rsid w:val="009F2360"/>
    <w:rsid w:val="009F3244"/>
    <w:rsid w:val="009F36EA"/>
    <w:rsid w:val="009F3FCC"/>
    <w:rsid w:val="009F4234"/>
    <w:rsid w:val="009F43B8"/>
    <w:rsid w:val="009F4C67"/>
    <w:rsid w:val="009F4FBF"/>
    <w:rsid w:val="009F502F"/>
    <w:rsid w:val="009F504C"/>
    <w:rsid w:val="009F5117"/>
    <w:rsid w:val="009F6DFE"/>
    <w:rsid w:val="009F6F05"/>
    <w:rsid w:val="009F72A3"/>
    <w:rsid w:val="009F7F79"/>
    <w:rsid w:val="00A00AD1"/>
    <w:rsid w:val="00A0220B"/>
    <w:rsid w:val="00A02657"/>
    <w:rsid w:val="00A02684"/>
    <w:rsid w:val="00A02AF3"/>
    <w:rsid w:val="00A0334C"/>
    <w:rsid w:val="00A03701"/>
    <w:rsid w:val="00A037CB"/>
    <w:rsid w:val="00A03D53"/>
    <w:rsid w:val="00A04266"/>
    <w:rsid w:val="00A04424"/>
    <w:rsid w:val="00A04694"/>
    <w:rsid w:val="00A04BF4"/>
    <w:rsid w:val="00A0645C"/>
    <w:rsid w:val="00A06A5A"/>
    <w:rsid w:val="00A06E6A"/>
    <w:rsid w:val="00A072DC"/>
    <w:rsid w:val="00A074FF"/>
    <w:rsid w:val="00A0763F"/>
    <w:rsid w:val="00A07BAD"/>
    <w:rsid w:val="00A07F2A"/>
    <w:rsid w:val="00A108A0"/>
    <w:rsid w:val="00A10EA3"/>
    <w:rsid w:val="00A122CE"/>
    <w:rsid w:val="00A125A0"/>
    <w:rsid w:val="00A1299E"/>
    <w:rsid w:val="00A12EDA"/>
    <w:rsid w:val="00A136EE"/>
    <w:rsid w:val="00A13A2D"/>
    <w:rsid w:val="00A13C58"/>
    <w:rsid w:val="00A143B3"/>
    <w:rsid w:val="00A14704"/>
    <w:rsid w:val="00A14A81"/>
    <w:rsid w:val="00A14F35"/>
    <w:rsid w:val="00A1524E"/>
    <w:rsid w:val="00A15A07"/>
    <w:rsid w:val="00A164A7"/>
    <w:rsid w:val="00A173D8"/>
    <w:rsid w:val="00A17423"/>
    <w:rsid w:val="00A17784"/>
    <w:rsid w:val="00A17EDA"/>
    <w:rsid w:val="00A2065B"/>
    <w:rsid w:val="00A219FA"/>
    <w:rsid w:val="00A21AE8"/>
    <w:rsid w:val="00A222E5"/>
    <w:rsid w:val="00A22448"/>
    <w:rsid w:val="00A232C2"/>
    <w:rsid w:val="00A23A22"/>
    <w:rsid w:val="00A23B12"/>
    <w:rsid w:val="00A23C74"/>
    <w:rsid w:val="00A244CF"/>
    <w:rsid w:val="00A248E7"/>
    <w:rsid w:val="00A251A0"/>
    <w:rsid w:val="00A25A46"/>
    <w:rsid w:val="00A262FB"/>
    <w:rsid w:val="00A268A0"/>
    <w:rsid w:val="00A26C22"/>
    <w:rsid w:val="00A27023"/>
    <w:rsid w:val="00A279F2"/>
    <w:rsid w:val="00A27F66"/>
    <w:rsid w:val="00A3053A"/>
    <w:rsid w:val="00A30B9F"/>
    <w:rsid w:val="00A31466"/>
    <w:rsid w:val="00A31CF9"/>
    <w:rsid w:val="00A3215A"/>
    <w:rsid w:val="00A32214"/>
    <w:rsid w:val="00A32277"/>
    <w:rsid w:val="00A322CD"/>
    <w:rsid w:val="00A32749"/>
    <w:rsid w:val="00A32AFE"/>
    <w:rsid w:val="00A32B7A"/>
    <w:rsid w:val="00A330C9"/>
    <w:rsid w:val="00A335C6"/>
    <w:rsid w:val="00A3384D"/>
    <w:rsid w:val="00A33C59"/>
    <w:rsid w:val="00A344A2"/>
    <w:rsid w:val="00A34A8D"/>
    <w:rsid w:val="00A34C22"/>
    <w:rsid w:val="00A3546B"/>
    <w:rsid w:val="00A35D49"/>
    <w:rsid w:val="00A360EE"/>
    <w:rsid w:val="00A37065"/>
    <w:rsid w:val="00A372D7"/>
    <w:rsid w:val="00A372EA"/>
    <w:rsid w:val="00A40C1A"/>
    <w:rsid w:val="00A40D96"/>
    <w:rsid w:val="00A40F8B"/>
    <w:rsid w:val="00A414E7"/>
    <w:rsid w:val="00A41657"/>
    <w:rsid w:val="00A41687"/>
    <w:rsid w:val="00A418C4"/>
    <w:rsid w:val="00A41C40"/>
    <w:rsid w:val="00A41D77"/>
    <w:rsid w:val="00A425CD"/>
    <w:rsid w:val="00A42A1D"/>
    <w:rsid w:val="00A44997"/>
    <w:rsid w:val="00A449C3"/>
    <w:rsid w:val="00A45334"/>
    <w:rsid w:val="00A453EB"/>
    <w:rsid w:val="00A45436"/>
    <w:rsid w:val="00A458A2"/>
    <w:rsid w:val="00A47662"/>
    <w:rsid w:val="00A4778F"/>
    <w:rsid w:val="00A47AF0"/>
    <w:rsid w:val="00A47ED9"/>
    <w:rsid w:val="00A5025B"/>
    <w:rsid w:val="00A50799"/>
    <w:rsid w:val="00A50AA9"/>
    <w:rsid w:val="00A52127"/>
    <w:rsid w:val="00A521A6"/>
    <w:rsid w:val="00A52321"/>
    <w:rsid w:val="00A524B5"/>
    <w:rsid w:val="00A5255F"/>
    <w:rsid w:val="00A538A2"/>
    <w:rsid w:val="00A53AE3"/>
    <w:rsid w:val="00A545D2"/>
    <w:rsid w:val="00A547BA"/>
    <w:rsid w:val="00A548F1"/>
    <w:rsid w:val="00A549D5"/>
    <w:rsid w:val="00A549F2"/>
    <w:rsid w:val="00A551D8"/>
    <w:rsid w:val="00A552E9"/>
    <w:rsid w:val="00A55832"/>
    <w:rsid w:val="00A55B6B"/>
    <w:rsid w:val="00A55BD2"/>
    <w:rsid w:val="00A55F1D"/>
    <w:rsid w:val="00A56142"/>
    <w:rsid w:val="00A56A48"/>
    <w:rsid w:val="00A56D85"/>
    <w:rsid w:val="00A56F93"/>
    <w:rsid w:val="00A57A98"/>
    <w:rsid w:val="00A6034B"/>
    <w:rsid w:val="00A60579"/>
    <w:rsid w:val="00A60BCC"/>
    <w:rsid w:val="00A60F28"/>
    <w:rsid w:val="00A61116"/>
    <w:rsid w:val="00A6120F"/>
    <w:rsid w:val="00A61632"/>
    <w:rsid w:val="00A61794"/>
    <w:rsid w:val="00A61AC3"/>
    <w:rsid w:val="00A62307"/>
    <w:rsid w:val="00A623EA"/>
    <w:rsid w:val="00A62486"/>
    <w:rsid w:val="00A6284D"/>
    <w:rsid w:val="00A62B29"/>
    <w:rsid w:val="00A62B2C"/>
    <w:rsid w:val="00A63048"/>
    <w:rsid w:val="00A6304D"/>
    <w:rsid w:val="00A645D0"/>
    <w:rsid w:val="00A64B90"/>
    <w:rsid w:val="00A64C8A"/>
    <w:rsid w:val="00A65010"/>
    <w:rsid w:val="00A65981"/>
    <w:rsid w:val="00A65AEF"/>
    <w:rsid w:val="00A65D4F"/>
    <w:rsid w:val="00A65E09"/>
    <w:rsid w:val="00A6661B"/>
    <w:rsid w:val="00A6687D"/>
    <w:rsid w:val="00A7004E"/>
    <w:rsid w:val="00A70636"/>
    <w:rsid w:val="00A706F6"/>
    <w:rsid w:val="00A7174E"/>
    <w:rsid w:val="00A7226D"/>
    <w:rsid w:val="00A725BD"/>
    <w:rsid w:val="00A72A64"/>
    <w:rsid w:val="00A72B75"/>
    <w:rsid w:val="00A73279"/>
    <w:rsid w:val="00A738FB"/>
    <w:rsid w:val="00A73992"/>
    <w:rsid w:val="00A7471B"/>
    <w:rsid w:val="00A74FF6"/>
    <w:rsid w:val="00A75E31"/>
    <w:rsid w:val="00A76349"/>
    <w:rsid w:val="00A763DB"/>
    <w:rsid w:val="00A76A1B"/>
    <w:rsid w:val="00A76C9A"/>
    <w:rsid w:val="00A7726B"/>
    <w:rsid w:val="00A77348"/>
    <w:rsid w:val="00A77574"/>
    <w:rsid w:val="00A77E29"/>
    <w:rsid w:val="00A801EE"/>
    <w:rsid w:val="00A80659"/>
    <w:rsid w:val="00A8195A"/>
    <w:rsid w:val="00A81AA9"/>
    <w:rsid w:val="00A81D2B"/>
    <w:rsid w:val="00A81E61"/>
    <w:rsid w:val="00A8315E"/>
    <w:rsid w:val="00A83403"/>
    <w:rsid w:val="00A8342B"/>
    <w:rsid w:val="00A836EC"/>
    <w:rsid w:val="00A841E8"/>
    <w:rsid w:val="00A84AC4"/>
    <w:rsid w:val="00A84F42"/>
    <w:rsid w:val="00A85BF1"/>
    <w:rsid w:val="00A85BFC"/>
    <w:rsid w:val="00A85C31"/>
    <w:rsid w:val="00A85EEB"/>
    <w:rsid w:val="00A864BA"/>
    <w:rsid w:val="00A86605"/>
    <w:rsid w:val="00A86A12"/>
    <w:rsid w:val="00A873FD"/>
    <w:rsid w:val="00A87696"/>
    <w:rsid w:val="00A87BA1"/>
    <w:rsid w:val="00A87CD9"/>
    <w:rsid w:val="00A87D99"/>
    <w:rsid w:val="00A90074"/>
    <w:rsid w:val="00A9036F"/>
    <w:rsid w:val="00A9058C"/>
    <w:rsid w:val="00A90718"/>
    <w:rsid w:val="00A912B3"/>
    <w:rsid w:val="00A912E0"/>
    <w:rsid w:val="00A91F2A"/>
    <w:rsid w:val="00A929AD"/>
    <w:rsid w:val="00A93256"/>
    <w:rsid w:val="00A93D67"/>
    <w:rsid w:val="00A94259"/>
    <w:rsid w:val="00A942CB"/>
    <w:rsid w:val="00A94F8C"/>
    <w:rsid w:val="00A96B7E"/>
    <w:rsid w:val="00A9712F"/>
    <w:rsid w:val="00A971A0"/>
    <w:rsid w:val="00A97844"/>
    <w:rsid w:val="00A97D76"/>
    <w:rsid w:val="00A97EB6"/>
    <w:rsid w:val="00A97ED1"/>
    <w:rsid w:val="00AA03F3"/>
    <w:rsid w:val="00AA067B"/>
    <w:rsid w:val="00AA1D59"/>
    <w:rsid w:val="00AA1E27"/>
    <w:rsid w:val="00AA1E38"/>
    <w:rsid w:val="00AA1F78"/>
    <w:rsid w:val="00AA2446"/>
    <w:rsid w:val="00AA2674"/>
    <w:rsid w:val="00AA2D22"/>
    <w:rsid w:val="00AA2DEB"/>
    <w:rsid w:val="00AA3CB1"/>
    <w:rsid w:val="00AA4AE2"/>
    <w:rsid w:val="00AA5885"/>
    <w:rsid w:val="00AA5C35"/>
    <w:rsid w:val="00AA6184"/>
    <w:rsid w:val="00AA77D9"/>
    <w:rsid w:val="00AA7874"/>
    <w:rsid w:val="00AB00A0"/>
    <w:rsid w:val="00AB0C9A"/>
    <w:rsid w:val="00AB0EBF"/>
    <w:rsid w:val="00AB11D1"/>
    <w:rsid w:val="00AB1314"/>
    <w:rsid w:val="00AB1463"/>
    <w:rsid w:val="00AB148B"/>
    <w:rsid w:val="00AB1C27"/>
    <w:rsid w:val="00AB1CDD"/>
    <w:rsid w:val="00AB4C37"/>
    <w:rsid w:val="00AB5889"/>
    <w:rsid w:val="00AB5AE0"/>
    <w:rsid w:val="00AB5FA9"/>
    <w:rsid w:val="00AB605A"/>
    <w:rsid w:val="00AB62B6"/>
    <w:rsid w:val="00AB6412"/>
    <w:rsid w:val="00AB66C8"/>
    <w:rsid w:val="00AB678F"/>
    <w:rsid w:val="00AB7046"/>
    <w:rsid w:val="00AB74D0"/>
    <w:rsid w:val="00AB77E5"/>
    <w:rsid w:val="00AB7B6F"/>
    <w:rsid w:val="00AB7E80"/>
    <w:rsid w:val="00AC0FFA"/>
    <w:rsid w:val="00AC1001"/>
    <w:rsid w:val="00AC15F5"/>
    <w:rsid w:val="00AC1C66"/>
    <w:rsid w:val="00AC1F30"/>
    <w:rsid w:val="00AC2DC7"/>
    <w:rsid w:val="00AC3189"/>
    <w:rsid w:val="00AC3A44"/>
    <w:rsid w:val="00AC4527"/>
    <w:rsid w:val="00AC4CD6"/>
    <w:rsid w:val="00AC4CEF"/>
    <w:rsid w:val="00AC5EDB"/>
    <w:rsid w:val="00AC67ED"/>
    <w:rsid w:val="00AC6E1C"/>
    <w:rsid w:val="00AC7172"/>
    <w:rsid w:val="00AC7459"/>
    <w:rsid w:val="00AC77A6"/>
    <w:rsid w:val="00AD0E1E"/>
    <w:rsid w:val="00AD1329"/>
    <w:rsid w:val="00AD1488"/>
    <w:rsid w:val="00AD15C7"/>
    <w:rsid w:val="00AD170C"/>
    <w:rsid w:val="00AD1B28"/>
    <w:rsid w:val="00AD1DA2"/>
    <w:rsid w:val="00AD1F98"/>
    <w:rsid w:val="00AD2049"/>
    <w:rsid w:val="00AD2375"/>
    <w:rsid w:val="00AD26BB"/>
    <w:rsid w:val="00AD3E6A"/>
    <w:rsid w:val="00AD457F"/>
    <w:rsid w:val="00AD4B91"/>
    <w:rsid w:val="00AD4DFB"/>
    <w:rsid w:val="00AD511E"/>
    <w:rsid w:val="00AD5B34"/>
    <w:rsid w:val="00AD65E1"/>
    <w:rsid w:val="00AD6BD4"/>
    <w:rsid w:val="00AD762E"/>
    <w:rsid w:val="00AD7680"/>
    <w:rsid w:val="00AD7AE5"/>
    <w:rsid w:val="00AE025B"/>
    <w:rsid w:val="00AE0469"/>
    <w:rsid w:val="00AE046E"/>
    <w:rsid w:val="00AE0EEE"/>
    <w:rsid w:val="00AE131A"/>
    <w:rsid w:val="00AE1557"/>
    <w:rsid w:val="00AE1F57"/>
    <w:rsid w:val="00AE2CE0"/>
    <w:rsid w:val="00AE2E2A"/>
    <w:rsid w:val="00AE3421"/>
    <w:rsid w:val="00AE3BA4"/>
    <w:rsid w:val="00AE4145"/>
    <w:rsid w:val="00AE435A"/>
    <w:rsid w:val="00AE4683"/>
    <w:rsid w:val="00AE48F5"/>
    <w:rsid w:val="00AE4BA9"/>
    <w:rsid w:val="00AE5146"/>
    <w:rsid w:val="00AE5976"/>
    <w:rsid w:val="00AE5A91"/>
    <w:rsid w:val="00AE5C16"/>
    <w:rsid w:val="00AE66B1"/>
    <w:rsid w:val="00AE66BA"/>
    <w:rsid w:val="00AE6A49"/>
    <w:rsid w:val="00AE6D4B"/>
    <w:rsid w:val="00AE724E"/>
    <w:rsid w:val="00AE7A75"/>
    <w:rsid w:val="00AF0368"/>
    <w:rsid w:val="00AF1990"/>
    <w:rsid w:val="00AF24D2"/>
    <w:rsid w:val="00AF2526"/>
    <w:rsid w:val="00AF2991"/>
    <w:rsid w:val="00AF2B48"/>
    <w:rsid w:val="00AF2BB5"/>
    <w:rsid w:val="00AF2BE8"/>
    <w:rsid w:val="00AF3118"/>
    <w:rsid w:val="00AF348E"/>
    <w:rsid w:val="00AF3D36"/>
    <w:rsid w:val="00AF45AA"/>
    <w:rsid w:val="00AF4FD8"/>
    <w:rsid w:val="00AF506A"/>
    <w:rsid w:val="00AF5325"/>
    <w:rsid w:val="00AF5A30"/>
    <w:rsid w:val="00AF5A76"/>
    <w:rsid w:val="00AF66BF"/>
    <w:rsid w:val="00AF6DF7"/>
    <w:rsid w:val="00AF75E7"/>
    <w:rsid w:val="00AF7D01"/>
    <w:rsid w:val="00B00886"/>
    <w:rsid w:val="00B00ABC"/>
    <w:rsid w:val="00B01464"/>
    <w:rsid w:val="00B023AD"/>
    <w:rsid w:val="00B030C1"/>
    <w:rsid w:val="00B0310E"/>
    <w:rsid w:val="00B03144"/>
    <w:rsid w:val="00B032F4"/>
    <w:rsid w:val="00B034B5"/>
    <w:rsid w:val="00B046EA"/>
    <w:rsid w:val="00B04C87"/>
    <w:rsid w:val="00B04EDF"/>
    <w:rsid w:val="00B0690C"/>
    <w:rsid w:val="00B06C64"/>
    <w:rsid w:val="00B06E95"/>
    <w:rsid w:val="00B07488"/>
    <w:rsid w:val="00B0785E"/>
    <w:rsid w:val="00B079F8"/>
    <w:rsid w:val="00B07FBF"/>
    <w:rsid w:val="00B103B6"/>
    <w:rsid w:val="00B10C68"/>
    <w:rsid w:val="00B114B4"/>
    <w:rsid w:val="00B1195C"/>
    <w:rsid w:val="00B1264F"/>
    <w:rsid w:val="00B12F50"/>
    <w:rsid w:val="00B12F88"/>
    <w:rsid w:val="00B13451"/>
    <w:rsid w:val="00B1385C"/>
    <w:rsid w:val="00B13FFA"/>
    <w:rsid w:val="00B142E9"/>
    <w:rsid w:val="00B147A6"/>
    <w:rsid w:val="00B14D85"/>
    <w:rsid w:val="00B14E38"/>
    <w:rsid w:val="00B155E6"/>
    <w:rsid w:val="00B1561B"/>
    <w:rsid w:val="00B157BF"/>
    <w:rsid w:val="00B15932"/>
    <w:rsid w:val="00B15B3C"/>
    <w:rsid w:val="00B15F0D"/>
    <w:rsid w:val="00B1609A"/>
    <w:rsid w:val="00B166D1"/>
    <w:rsid w:val="00B16944"/>
    <w:rsid w:val="00B17154"/>
    <w:rsid w:val="00B1748D"/>
    <w:rsid w:val="00B1764C"/>
    <w:rsid w:val="00B201F9"/>
    <w:rsid w:val="00B20600"/>
    <w:rsid w:val="00B20A4D"/>
    <w:rsid w:val="00B20E4D"/>
    <w:rsid w:val="00B2124B"/>
    <w:rsid w:val="00B2146A"/>
    <w:rsid w:val="00B21664"/>
    <w:rsid w:val="00B216F7"/>
    <w:rsid w:val="00B220BF"/>
    <w:rsid w:val="00B220EE"/>
    <w:rsid w:val="00B22DEF"/>
    <w:rsid w:val="00B2331A"/>
    <w:rsid w:val="00B23871"/>
    <w:rsid w:val="00B23919"/>
    <w:rsid w:val="00B23A6C"/>
    <w:rsid w:val="00B23A83"/>
    <w:rsid w:val="00B23B21"/>
    <w:rsid w:val="00B23E14"/>
    <w:rsid w:val="00B2407C"/>
    <w:rsid w:val="00B25214"/>
    <w:rsid w:val="00B25ABE"/>
    <w:rsid w:val="00B2683E"/>
    <w:rsid w:val="00B26BED"/>
    <w:rsid w:val="00B26CEB"/>
    <w:rsid w:val="00B27198"/>
    <w:rsid w:val="00B2746A"/>
    <w:rsid w:val="00B27FAD"/>
    <w:rsid w:val="00B3000A"/>
    <w:rsid w:val="00B30A71"/>
    <w:rsid w:val="00B30FA5"/>
    <w:rsid w:val="00B31096"/>
    <w:rsid w:val="00B312F2"/>
    <w:rsid w:val="00B31665"/>
    <w:rsid w:val="00B31E7C"/>
    <w:rsid w:val="00B32917"/>
    <w:rsid w:val="00B32A18"/>
    <w:rsid w:val="00B32FFB"/>
    <w:rsid w:val="00B348FB"/>
    <w:rsid w:val="00B34DA6"/>
    <w:rsid w:val="00B36FC9"/>
    <w:rsid w:val="00B3736B"/>
    <w:rsid w:val="00B37B95"/>
    <w:rsid w:val="00B37C39"/>
    <w:rsid w:val="00B37E6C"/>
    <w:rsid w:val="00B4000C"/>
    <w:rsid w:val="00B40102"/>
    <w:rsid w:val="00B4031C"/>
    <w:rsid w:val="00B40D48"/>
    <w:rsid w:val="00B419B5"/>
    <w:rsid w:val="00B42767"/>
    <w:rsid w:val="00B42DB3"/>
    <w:rsid w:val="00B430CC"/>
    <w:rsid w:val="00B43C20"/>
    <w:rsid w:val="00B441B1"/>
    <w:rsid w:val="00B446AB"/>
    <w:rsid w:val="00B44702"/>
    <w:rsid w:val="00B44939"/>
    <w:rsid w:val="00B45B2C"/>
    <w:rsid w:val="00B45CFB"/>
    <w:rsid w:val="00B4687A"/>
    <w:rsid w:val="00B46949"/>
    <w:rsid w:val="00B46B8C"/>
    <w:rsid w:val="00B46FC9"/>
    <w:rsid w:val="00B47001"/>
    <w:rsid w:val="00B47493"/>
    <w:rsid w:val="00B475BE"/>
    <w:rsid w:val="00B477FE"/>
    <w:rsid w:val="00B47D92"/>
    <w:rsid w:val="00B504C7"/>
    <w:rsid w:val="00B505BF"/>
    <w:rsid w:val="00B529F7"/>
    <w:rsid w:val="00B5316A"/>
    <w:rsid w:val="00B5332A"/>
    <w:rsid w:val="00B54024"/>
    <w:rsid w:val="00B557C4"/>
    <w:rsid w:val="00B55B3B"/>
    <w:rsid w:val="00B56924"/>
    <w:rsid w:val="00B571EE"/>
    <w:rsid w:val="00B57B10"/>
    <w:rsid w:val="00B57ED0"/>
    <w:rsid w:val="00B6052C"/>
    <w:rsid w:val="00B60B0C"/>
    <w:rsid w:val="00B6168B"/>
    <w:rsid w:val="00B6197E"/>
    <w:rsid w:val="00B61D2C"/>
    <w:rsid w:val="00B61E7E"/>
    <w:rsid w:val="00B62400"/>
    <w:rsid w:val="00B624F3"/>
    <w:rsid w:val="00B626D7"/>
    <w:rsid w:val="00B62CF7"/>
    <w:rsid w:val="00B62F0F"/>
    <w:rsid w:val="00B6330F"/>
    <w:rsid w:val="00B63410"/>
    <w:rsid w:val="00B63BC8"/>
    <w:rsid w:val="00B63C0E"/>
    <w:rsid w:val="00B6411B"/>
    <w:rsid w:val="00B6447E"/>
    <w:rsid w:val="00B64B70"/>
    <w:rsid w:val="00B64BC6"/>
    <w:rsid w:val="00B674D4"/>
    <w:rsid w:val="00B7057D"/>
    <w:rsid w:val="00B709E3"/>
    <w:rsid w:val="00B70A27"/>
    <w:rsid w:val="00B70E47"/>
    <w:rsid w:val="00B7187A"/>
    <w:rsid w:val="00B71AF1"/>
    <w:rsid w:val="00B71DBA"/>
    <w:rsid w:val="00B7212E"/>
    <w:rsid w:val="00B72689"/>
    <w:rsid w:val="00B72B23"/>
    <w:rsid w:val="00B7375A"/>
    <w:rsid w:val="00B73E92"/>
    <w:rsid w:val="00B74069"/>
    <w:rsid w:val="00B74093"/>
    <w:rsid w:val="00B74337"/>
    <w:rsid w:val="00B74C36"/>
    <w:rsid w:val="00B74D38"/>
    <w:rsid w:val="00B74EA1"/>
    <w:rsid w:val="00B74EBD"/>
    <w:rsid w:val="00B75AEC"/>
    <w:rsid w:val="00B75DDB"/>
    <w:rsid w:val="00B764DB"/>
    <w:rsid w:val="00B76ABF"/>
    <w:rsid w:val="00B76C6E"/>
    <w:rsid w:val="00B7773E"/>
    <w:rsid w:val="00B778A7"/>
    <w:rsid w:val="00B77E18"/>
    <w:rsid w:val="00B8106A"/>
    <w:rsid w:val="00B810E6"/>
    <w:rsid w:val="00B811D3"/>
    <w:rsid w:val="00B81B37"/>
    <w:rsid w:val="00B82002"/>
    <w:rsid w:val="00B824DA"/>
    <w:rsid w:val="00B8265B"/>
    <w:rsid w:val="00B82F34"/>
    <w:rsid w:val="00B82F7F"/>
    <w:rsid w:val="00B8392F"/>
    <w:rsid w:val="00B83B21"/>
    <w:rsid w:val="00B844F2"/>
    <w:rsid w:val="00B84569"/>
    <w:rsid w:val="00B84ACE"/>
    <w:rsid w:val="00B84D37"/>
    <w:rsid w:val="00B8509C"/>
    <w:rsid w:val="00B85828"/>
    <w:rsid w:val="00B869ED"/>
    <w:rsid w:val="00B86E42"/>
    <w:rsid w:val="00B87DB6"/>
    <w:rsid w:val="00B90D71"/>
    <w:rsid w:val="00B91485"/>
    <w:rsid w:val="00B917D1"/>
    <w:rsid w:val="00B92121"/>
    <w:rsid w:val="00B92319"/>
    <w:rsid w:val="00B925BF"/>
    <w:rsid w:val="00B92641"/>
    <w:rsid w:val="00B92A27"/>
    <w:rsid w:val="00B9372A"/>
    <w:rsid w:val="00B9376D"/>
    <w:rsid w:val="00B93C6B"/>
    <w:rsid w:val="00B940AB"/>
    <w:rsid w:val="00B94554"/>
    <w:rsid w:val="00B9501F"/>
    <w:rsid w:val="00B950F1"/>
    <w:rsid w:val="00B952F6"/>
    <w:rsid w:val="00B953DF"/>
    <w:rsid w:val="00B957FD"/>
    <w:rsid w:val="00B96AF5"/>
    <w:rsid w:val="00B96FC6"/>
    <w:rsid w:val="00B974AE"/>
    <w:rsid w:val="00B97FE4"/>
    <w:rsid w:val="00BA030D"/>
    <w:rsid w:val="00BA0FC7"/>
    <w:rsid w:val="00BA1157"/>
    <w:rsid w:val="00BA142D"/>
    <w:rsid w:val="00BA2218"/>
    <w:rsid w:val="00BA2C06"/>
    <w:rsid w:val="00BA2F0D"/>
    <w:rsid w:val="00BA3EB1"/>
    <w:rsid w:val="00BA485C"/>
    <w:rsid w:val="00BA49E9"/>
    <w:rsid w:val="00BA4AD6"/>
    <w:rsid w:val="00BA524D"/>
    <w:rsid w:val="00BA5749"/>
    <w:rsid w:val="00BA58DD"/>
    <w:rsid w:val="00BA5DA9"/>
    <w:rsid w:val="00BA60A0"/>
    <w:rsid w:val="00BA6252"/>
    <w:rsid w:val="00BA659A"/>
    <w:rsid w:val="00BA6C2E"/>
    <w:rsid w:val="00BA7D6B"/>
    <w:rsid w:val="00BA7F03"/>
    <w:rsid w:val="00BB033F"/>
    <w:rsid w:val="00BB0860"/>
    <w:rsid w:val="00BB122E"/>
    <w:rsid w:val="00BB1A6D"/>
    <w:rsid w:val="00BB2261"/>
    <w:rsid w:val="00BB2954"/>
    <w:rsid w:val="00BB2D46"/>
    <w:rsid w:val="00BB3309"/>
    <w:rsid w:val="00BB4768"/>
    <w:rsid w:val="00BB4EE1"/>
    <w:rsid w:val="00BB59E5"/>
    <w:rsid w:val="00BB5A28"/>
    <w:rsid w:val="00BB5DD9"/>
    <w:rsid w:val="00BB5E95"/>
    <w:rsid w:val="00BB6064"/>
    <w:rsid w:val="00BB6737"/>
    <w:rsid w:val="00BB69A3"/>
    <w:rsid w:val="00BB6FA6"/>
    <w:rsid w:val="00BB73D2"/>
    <w:rsid w:val="00BB75BB"/>
    <w:rsid w:val="00BC163D"/>
    <w:rsid w:val="00BC2346"/>
    <w:rsid w:val="00BC25A2"/>
    <w:rsid w:val="00BC2D7A"/>
    <w:rsid w:val="00BC3557"/>
    <w:rsid w:val="00BC3EC9"/>
    <w:rsid w:val="00BC3F4A"/>
    <w:rsid w:val="00BC426E"/>
    <w:rsid w:val="00BC4340"/>
    <w:rsid w:val="00BC4A45"/>
    <w:rsid w:val="00BC5351"/>
    <w:rsid w:val="00BC53EB"/>
    <w:rsid w:val="00BC584D"/>
    <w:rsid w:val="00BC590D"/>
    <w:rsid w:val="00BC5944"/>
    <w:rsid w:val="00BC5F76"/>
    <w:rsid w:val="00BC6402"/>
    <w:rsid w:val="00BC6491"/>
    <w:rsid w:val="00BC6C85"/>
    <w:rsid w:val="00BC7992"/>
    <w:rsid w:val="00BC7A95"/>
    <w:rsid w:val="00BD0064"/>
    <w:rsid w:val="00BD0236"/>
    <w:rsid w:val="00BD0B00"/>
    <w:rsid w:val="00BD16FB"/>
    <w:rsid w:val="00BD2EFB"/>
    <w:rsid w:val="00BD361B"/>
    <w:rsid w:val="00BD3A04"/>
    <w:rsid w:val="00BD3A7C"/>
    <w:rsid w:val="00BD4125"/>
    <w:rsid w:val="00BD44AD"/>
    <w:rsid w:val="00BD4BF0"/>
    <w:rsid w:val="00BD4DC1"/>
    <w:rsid w:val="00BD4FE9"/>
    <w:rsid w:val="00BD50D2"/>
    <w:rsid w:val="00BD67AC"/>
    <w:rsid w:val="00BD6B3C"/>
    <w:rsid w:val="00BD6F2C"/>
    <w:rsid w:val="00BD6FDB"/>
    <w:rsid w:val="00BD7430"/>
    <w:rsid w:val="00BD7626"/>
    <w:rsid w:val="00BD7AEB"/>
    <w:rsid w:val="00BD7C49"/>
    <w:rsid w:val="00BD7D6C"/>
    <w:rsid w:val="00BD7E95"/>
    <w:rsid w:val="00BE04A9"/>
    <w:rsid w:val="00BE0842"/>
    <w:rsid w:val="00BE0A68"/>
    <w:rsid w:val="00BE0B90"/>
    <w:rsid w:val="00BE0E47"/>
    <w:rsid w:val="00BE17B3"/>
    <w:rsid w:val="00BE1D89"/>
    <w:rsid w:val="00BE223C"/>
    <w:rsid w:val="00BE26E0"/>
    <w:rsid w:val="00BE2E2A"/>
    <w:rsid w:val="00BE331B"/>
    <w:rsid w:val="00BE3347"/>
    <w:rsid w:val="00BE3A5E"/>
    <w:rsid w:val="00BE3C8D"/>
    <w:rsid w:val="00BE4DE5"/>
    <w:rsid w:val="00BE62A3"/>
    <w:rsid w:val="00BE6873"/>
    <w:rsid w:val="00BE6B1F"/>
    <w:rsid w:val="00BE7235"/>
    <w:rsid w:val="00BE7303"/>
    <w:rsid w:val="00BE78B3"/>
    <w:rsid w:val="00BE7DF8"/>
    <w:rsid w:val="00BF0344"/>
    <w:rsid w:val="00BF0453"/>
    <w:rsid w:val="00BF093F"/>
    <w:rsid w:val="00BF0A3F"/>
    <w:rsid w:val="00BF0E7B"/>
    <w:rsid w:val="00BF0F47"/>
    <w:rsid w:val="00BF2A83"/>
    <w:rsid w:val="00BF3486"/>
    <w:rsid w:val="00BF3495"/>
    <w:rsid w:val="00BF3A90"/>
    <w:rsid w:val="00BF4253"/>
    <w:rsid w:val="00BF4318"/>
    <w:rsid w:val="00BF466E"/>
    <w:rsid w:val="00BF4768"/>
    <w:rsid w:val="00BF4A5C"/>
    <w:rsid w:val="00BF4DCA"/>
    <w:rsid w:val="00BF57B1"/>
    <w:rsid w:val="00BF5844"/>
    <w:rsid w:val="00BF5937"/>
    <w:rsid w:val="00BF66FA"/>
    <w:rsid w:val="00BF697C"/>
    <w:rsid w:val="00BF6998"/>
    <w:rsid w:val="00BF6AF5"/>
    <w:rsid w:val="00BF6BC6"/>
    <w:rsid w:val="00BF6D90"/>
    <w:rsid w:val="00BF6FCC"/>
    <w:rsid w:val="00BF7560"/>
    <w:rsid w:val="00BF7D74"/>
    <w:rsid w:val="00C0052E"/>
    <w:rsid w:val="00C0076F"/>
    <w:rsid w:val="00C00A5D"/>
    <w:rsid w:val="00C01807"/>
    <w:rsid w:val="00C01F4A"/>
    <w:rsid w:val="00C0255D"/>
    <w:rsid w:val="00C02AFA"/>
    <w:rsid w:val="00C02D4D"/>
    <w:rsid w:val="00C02E41"/>
    <w:rsid w:val="00C02E53"/>
    <w:rsid w:val="00C03630"/>
    <w:rsid w:val="00C0382F"/>
    <w:rsid w:val="00C03E99"/>
    <w:rsid w:val="00C04176"/>
    <w:rsid w:val="00C0420F"/>
    <w:rsid w:val="00C04C3E"/>
    <w:rsid w:val="00C0507B"/>
    <w:rsid w:val="00C05F32"/>
    <w:rsid w:val="00C0649A"/>
    <w:rsid w:val="00C078CC"/>
    <w:rsid w:val="00C10AED"/>
    <w:rsid w:val="00C113A9"/>
    <w:rsid w:val="00C114D5"/>
    <w:rsid w:val="00C11552"/>
    <w:rsid w:val="00C1322F"/>
    <w:rsid w:val="00C13345"/>
    <w:rsid w:val="00C135E9"/>
    <w:rsid w:val="00C137C2"/>
    <w:rsid w:val="00C139B0"/>
    <w:rsid w:val="00C13AA1"/>
    <w:rsid w:val="00C13FD3"/>
    <w:rsid w:val="00C147A9"/>
    <w:rsid w:val="00C14B2C"/>
    <w:rsid w:val="00C14C0A"/>
    <w:rsid w:val="00C14D87"/>
    <w:rsid w:val="00C15524"/>
    <w:rsid w:val="00C15EAA"/>
    <w:rsid w:val="00C16488"/>
    <w:rsid w:val="00C173C5"/>
    <w:rsid w:val="00C17938"/>
    <w:rsid w:val="00C20050"/>
    <w:rsid w:val="00C2197B"/>
    <w:rsid w:val="00C223CD"/>
    <w:rsid w:val="00C23224"/>
    <w:rsid w:val="00C2393B"/>
    <w:rsid w:val="00C23B1D"/>
    <w:rsid w:val="00C23B5A"/>
    <w:rsid w:val="00C23EBF"/>
    <w:rsid w:val="00C24BEA"/>
    <w:rsid w:val="00C24C03"/>
    <w:rsid w:val="00C2507B"/>
    <w:rsid w:val="00C2585D"/>
    <w:rsid w:val="00C25B2F"/>
    <w:rsid w:val="00C25B73"/>
    <w:rsid w:val="00C2600B"/>
    <w:rsid w:val="00C26067"/>
    <w:rsid w:val="00C26131"/>
    <w:rsid w:val="00C261C9"/>
    <w:rsid w:val="00C26BC0"/>
    <w:rsid w:val="00C26C27"/>
    <w:rsid w:val="00C26D10"/>
    <w:rsid w:val="00C274F9"/>
    <w:rsid w:val="00C275BE"/>
    <w:rsid w:val="00C27D57"/>
    <w:rsid w:val="00C27DF5"/>
    <w:rsid w:val="00C301A9"/>
    <w:rsid w:val="00C3076C"/>
    <w:rsid w:val="00C30968"/>
    <w:rsid w:val="00C31715"/>
    <w:rsid w:val="00C3189F"/>
    <w:rsid w:val="00C31E03"/>
    <w:rsid w:val="00C327D0"/>
    <w:rsid w:val="00C32A0E"/>
    <w:rsid w:val="00C32B2C"/>
    <w:rsid w:val="00C32BEA"/>
    <w:rsid w:val="00C32CC9"/>
    <w:rsid w:val="00C3321E"/>
    <w:rsid w:val="00C33259"/>
    <w:rsid w:val="00C335C9"/>
    <w:rsid w:val="00C33A35"/>
    <w:rsid w:val="00C33C24"/>
    <w:rsid w:val="00C33C2D"/>
    <w:rsid w:val="00C33CFF"/>
    <w:rsid w:val="00C33F28"/>
    <w:rsid w:val="00C342FF"/>
    <w:rsid w:val="00C34A4B"/>
    <w:rsid w:val="00C34F10"/>
    <w:rsid w:val="00C356D9"/>
    <w:rsid w:val="00C36087"/>
    <w:rsid w:val="00C3689D"/>
    <w:rsid w:val="00C36DA9"/>
    <w:rsid w:val="00C37CC6"/>
    <w:rsid w:val="00C4042D"/>
    <w:rsid w:val="00C40BA4"/>
    <w:rsid w:val="00C41020"/>
    <w:rsid w:val="00C41644"/>
    <w:rsid w:val="00C41689"/>
    <w:rsid w:val="00C41EAD"/>
    <w:rsid w:val="00C427B1"/>
    <w:rsid w:val="00C43604"/>
    <w:rsid w:val="00C438FA"/>
    <w:rsid w:val="00C4395B"/>
    <w:rsid w:val="00C43DEB"/>
    <w:rsid w:val="00C44341"/>
    <w:rsid w:val="00C4484E"/>
    <w:rsid w:val="00C45226"/>
    <w:rsid w:val="00C45609"/>
    <w:rsid w:val="00C45B77"/>
    <w:rsid w:val="00C45F65"/>
    <w:rsid w:val="00C464EF"/>
    <w:rsid w:val="00C47122"/>
    <w:rsid w:val="00C4733A"/>
    <w:rsid w:val="00C50EF9"/>
    <w:rsid w:val="00C51907"/>
    <w:rsid w:val="00C531BD"/>
    <w:rsid w:val="00C53784"/>
    <w:rsid w:val="00C54393"/>
    <w:rsid w:val="00C54BEB"/>
    <w:rsid w:val="00C551E6"/>
    <w:rsid w:val="00C55670"/>
    <w:rsid w:val="00C5625D"/>
    <w:rsid w:val="00C57667"/>
    <w:rsid w:val="00C57D76"/>
    <w:rsid w:val="00C57DBD"/>
    <w:rsid w:val="00C60E0A"/>
    <w:rsid w:val="00C6109F"/>
    <w:rsid w:val="00C62649"/>
    <w:rsid w:val="00C627DD"/>
    <w:rsid w:val="00C62D7D"/>
    <w:rsid w:val="00C62F01"/>
    <w:rsid w:val="00C63257"/>
    <w:rsid w:val="00C635C8"/>
    <w:rsid w:val="00C643AA"/>
    <w:rsid w:val="00C64DAD"/>
    <w:rsid w:val="00C65040"/>
    <w:rsid w:val="00C650F4"/>
    <w:rsid w:val="00C655FD"/>
    <w:rsid w:val="00C65A0D"/>
    <w:rsid w:val="00C65FD2"/>
    <w:rsid w:val="00C6651A"/>
    <w:rsid w:val="00C67473"/>
    <w:rsid w:val="00C6776B"/>
    <w:rsid w:val="00C67D21"/>
    <w:rsid w:val="00C67FB1"/>
    <w:rsid w:val="00C7010E"/>
    <w:rsid w:val="00C70876"/>
    <w:rsid w:val="00C709DA"/>
    <w:rsid w:val="00C70A3D"/>
    <w:rsid w:val="00C70B5B"/>
    <w:rsid w:val="00C71358"/>
    <w:rsid w:val="00C71360"/>
    <w:rsid w:val="00C7157F"/>
    <w:rsid w:val="00C71626"/>
    <w:rsid w:val="00C71BDC"/>
    <w:rsid w:val="00C71C7A"/>
    <w:rsid w:val="00C71D5C"/>
    <w:rsid w:val="00C72CC6"/>
    <w:rsid w:val="00C73497"/>
    <w:rsid w:val="00C73A13"/>
    <w:rsid w:val="00C73C2E"/>
    <w:rsid w:val="00C741D2"/>
    <w:rsid w:val="00C748AE"/>
    <w:rsid w:val="00C74D9D"/>
    <w:rsid w:val="00C75775"/>
    <w:rsid w:val="00C75C9A"/>
    <w:rsid w:val="00C763AC"/>
    <w:rsid w:val="00C767B3"/>
    <w:rsid w:val="00C77105"/>
    <w:rsid w:val="00C77294"/>
    <w:rsid w:val="00C7730C"/>
    <w:rsid w:val="00C81261"/>
    <w:rsid w:val="00C812C1"/>
    <w:rsid w:val="00C81526"/>
    <w:rsid w:val="00C8225F"/>
    <w:rsid w:val="00C82673"/>
    <w:rsid w:val="00C826D4"/>
    <w:rsid w:val="00C82F0B"/>
    <w:rsid w:val="00C8300C"/>
    <w:rsid w:val="00C83651"/>
    <w:rsid w:val="00C83A6A"/>
    <w:rsid w:val="00C83AA9"/>
    <w:rsid w:val="00C84C50"/>
    <w:rsid w:val="00C84D67"/>
    <w:rsid w:val="00C85078"/>
    <w:rsid w:val="00C851C8"/>
    <w:rsid w:val="00C85C24"/>
    <w:rsid w:val="00C868B7"/>
    <w:rsid w:val="00C87349"/>
    <w:rsid w:val="00C87EE6"/>
    <w:rsid w:val="00C906DC"/>
    <w:rsid w:val="00C90711"/>
    <w:rsid w:val="00C90A1C"/>
    <w:rsid w:val="00C90ACD"/>
    <w:rsid w:val="00C90E05"/>
    <w:rsid w:val="00C90E1D"/>
    <w:rsid w:val="00C910BF"/>
    <w:rsid w:val="00C914AF"/>
    <w:rsid w:val="00C915F5"/>
    <w:rsid w:val="00C91A62"/>
    <w:rsid w:val="00C91EFF"/>
    <w:rsid w:val="00C920A5"/>
    <w:rsid w:val="00C920FB"/>
    <w:rsid w:val="00C92238"/>
    <w:rsid w:val="00C92874"/>
    <w:rsid w:val="00C92BF3"/>
    <w:rsid w:val="00C93975"/>
    <w:rsid w:val="00C946DF"/>
    <w:rsid w:val="00C94737"/>
    <w:rsid w:val="00C949A1"/>
    <w:rsid w:val="00C94B22"/>
    <w:rsid w:val="00C94BCE"/>
    <w:rsid w:val="00C94C82"/>
    <w:rsid w:val="00C9507D"/>
    <w:rsid w:val="00C95663"/>
    <w:rsid w:val="00C95CF7"/>
    <w:rsid w:val="00C95ECC"/>
    <w:rsid w:val="00C96009"/>
    <w:rsid w:val="00CA060A"/>
    <w:rsid w:val="00CA0A60"/>
    <w:rsid w:val="00CA0B2A"/>
    <w:rsid w:val="00CA1477"/>
    <w:rsid w:val="00CA14A3"/>
    <w:rsid w:val="00CA23DB"/>
    <w:rsid w:val="00CA2627"/>
    <w:rsid w:val="00CA277A"/>
    <w:rsid w:val="00CA27D5"/>
    <w:rsid w:val="00CA31EB"/>
    <w:rsid w:val="00CA3390"/>
    <w:rsid w:val="00CA3C8F"/>
    <w:rsid w:val="00CA3F54"/>
    <w:rsid w:val="00CA46A1"/>
    <w:rsid w:val="00CA4AF6"/>
    <w:rsid w:val="00CA4F54"/>
    <w:rsid w:val="00CA59A9"/>
    <w:rsid w:val="00CA5BFB"/>
    <w:rsid w:val="00CA5D1C"/>
    <w:rsid w:val="00CA6006"/>
    <w:rsid w:val="00CA6549"/>
    <w:rsid w:val="00CA6A57"/>
    <w:rsid w:val="00CA6AD6"/>
    <w:rsid w:val="00CA6B0C"/>
    <w:rsid w:val="00CA6C6D"/>
    <w:rsid w:val="00CA786D"/>
    <w:rsid w:val="00CA78D4"/>
    <w:rsid w:val="00CA7947"/>
    <w:rsid w:val="00CA7B18"/>
    <w:rsid w:val="00CA7ECA"/>
    <w:rsid w:val="00CB00D5"/>
    <w:rsid w:val="00CB0C4A"/>
    <w:rsid w:val="00CB11E0"/>
    <w:rsid w:val="00CB1401"/>
    <w:rsid w:val="00CB1A22"/>
    <w:rsid w:val="00CB26B8"/>
    <w:rsid w:val="00CB3684"/>
    <w:rsid w:val="00CB38F7"/>
    <w:rsid w:val="00CB4299"/>
    <w:rsid w:val="00CB44B2"/>
    <w:rsid w:val="00CB4F26"/>
    <w:rsid w:val="00CB5075"/>
    <w:rsid w:val="00CB52EA"/>
    <w:rsid w:val="00CB56E0"/>
    <w:rsid w:val="00CB62A5"/>
    <w:rsid w:val="00CB69CE"/>
    <w:rsid w:val="00CB79BB"/>
    <w:rsid w:val="00CB7D1C"/>
    <w:rsid w:val="00CC03B0"/>
    <w:rsid w:val="00CC0491"/>
    <w:rsid w:val="00CC17CF"/>
    <w:rsid w:val="00CC283C"/>
    <w:rsid w:val="00CC2843"/>
    <w:rsid w:val="00CC39C4"/>
    <w:rsid w:val="00CC3E7E"/>
    <w:rsid w:val="00CC4001"/>
    <w:rsid w:val="00CC419A"/>
    <w:rsid w:val="00CC41AF"/>
    <w:rsid w:val="00CC44BE"/>
    <w:rsid w:val="00CC5B41"/>
    <w:rsid w:val="00CC6083"/>
    <w:rsid w:val="00CC652A"/>
    <w:rsid w:val="00CC68D5"/>
    <w:rsid w:val="00CC6B23"/>
    <w:rsid w:val="00CC7091"/>
    <w:rsid w:val="00CC716D"/>
    <w:rsid w:val="00CC7BB5"/>
    <w:rsid w:val="00CC7FB0"/>
    <w:rsid w:val="00CD0329"/>
    <w:rsid w:val="00CD0711"/>
    <w:rsid w:val="00CD0CDD"/>
    <w:rsid w:val="00CD0D59"/>
    <w:rsid w:val="00CD19EA"/>
    <w:rsid w:val="00CD1D77"/>
    <w:rsid w:val="00CD273B"/>
    <w:rsid w:val="00CD2956"/>
    <w:rsid w:val="00CD40FE"/>
    <w:rsid w:val="00CD4581"/>
    <w:rsid w:val="00CD52CB"/>
    <w:rsid w:val="00CD55D4"/>
    <w:rsid w:val="00CD59DA"/>
    <w:rsid w:val="00CD636D"/>
    <w:rsid w:val="00CD6DE0"/>
    <w:rsid w:val="00CD6E86"/>
    <w:rsid w:val="00CD7175"/>
    <w:rsid w:val="00CD7597"/>
    <w:rsid w:val="00CD7D3F"/>
    <w:rsid w:val="00CE08BF"/>
    <w:rsid w:val="00CE0A64"/>
    <w:rsid w:val="00CE10FE"/>
    <w:rsid w:val="00CE16D3"/>
    <w:rsid w:val="00CE16EC"/>
    <w:rsid w:val="00CE1E28"/>
    <w:rsid w:val="00CE2035"/>
    <w:rsid w:val="00CE2239"/>
    <w:rsid w:val="00CE2482"/>
    <w:rsid w:val="00CE26EB"/>
    <w:rsid w:val="00CE289F"/>
    <w:rsid w:val="00CE2D3F"/>
    <w:rsid w:val="00CE2DC7"/>
    <w:rsid w:val="00CE2DEA"/>
    <w:rsid w:val="00CE3A35"/>
    <w:rsid w:val="00CE3D60"/>
    <w:rsid w:val="00CE3E7C"/>
    <w:rsid w:val="00CE4C57"/>
    <w:rsid w:val="00CE4D01"/>
    <w:rsid w:val="00CE4ECA"/>
    <w:rsid w:val="00CE4F9E"/>
    <w:rsid w:val="00CE5927"/>
    <w:rsid w:val="00CE593F"/>
    <w:rsid w:val="00CE5982"/>
    <w:rsid w:val="00CE5FE0"/>
    <w:rsid w:val="00CE606B"/>
    <w:rsid w:val="00CE7344"/>
    <w:rsid w:val="00CE740A"/>
    <w:rsid w:val="00CE7A61"/>
    <w:rsid w:val="00CE7AA9"/>
    <w:rsid w:val="00CF0053"/>
    <w:rsid w:val="00CF0087"/>
    <w:rsid w:val="00CF0180"/>
    <w:rsid w:val="00CF0E8C"/>
    <w:rsid w:val="00CF1104"/>
    <w:rsid w:val="00CF17AD"/>
    <w:rsid w:val="00CF1E71"/>
    <w:rsid w:val="00CF1EF1"/>
    <w:rsid w:val="00CF1FC4"/>
    <w:rsid w:val="00CF2131"/>
    <w:rsid w:val="00CF21FC"/>
    <w:rsid w:val="00CF2245"/>
    <w:rsid w:val="00CF2882"/>
    <w:rsid w:val="00CF2BF0"/>
    <w:rsid w:val="00CF2DFB"/>
    <w:rsid w:val="00CF31B4"/>
    <w:rsid w:val="00CF3719"/>
    <w:rsid w:val="00CF3900"/>
    <w:rsid w:val="00CF3AA1"/>
    <w:rsid w:val="00CF3E3C"/>
    <w:rsid w:val="00CF4DAC"/>
    <w:rsid w:val="00CF6BC7"/>
    <w:rsid w:val="00D001D4"/>
    <w:rsid w:val="00D00566"/>
    <w:rsid w:val="00D00820"/>
    <w:rsid w:val="00D0127F"/>
    <w:rsid w:val="00D019B4"/>
    <w:rsid w:val="00D01F42"/>
    <w:rsid w:val="00D028C5"/>
    <w:rsid w:val="00D02A28"/>
    <w:rsid w:val="00D035EA"/>
    <w:rsid w:val="00D03996"/>
    <w:rsid w:val="00D0437E"/>
    <w:rsid w:val="00D044D2"/>
    <w:rsid w:val="00D04581"/>
    <w:rsid w:val="00D0508A"/>
    <w:rsid w:val="00D06065"/>
    <w:rsid w:val="00D060E7"/>
    <w:rsid w:val="00D06472"/>
    <w:rsid w:val="00D064D0"/>
    <w:rsid w:val="00D067D2"/>
    <w:rsid w:val="00D06F43"/>
    <w:rsid w:val="00D07AF1"/>
    <w:rsid w:val="00D101BD"/>
    <w:rsid w:val="00D1061B"/>
    <w:rsid w:val="00D10A09"/>
    <w:rsid w:val="00D10F47"/>
    <w:rsid w:val="00D11097"/>
    <w:rsid w:val="00D117B6"/>
    <w:rsid w:val="00D123D2"/>
    <w:rsid w:val="00D12815"/>
    <w:rsid w:val="00D12A61"/>
    <w:rsid w:val="00D12AAD"/>
    <w:rsid w:val="00D12B32"/>
    <w:rsid w:val="00D12FBD"/>
    <w:rsid w:val="00D13239"/>
    <w:rsid w:val="00D138AC"/>
    <w:rsid w:val="00D13E5C"/>
    <w:rsid w:val="00D13E7D"/>
    <w:rsid w:val="00D1410F"/>
    <w:rsid w:val="00D14248"/>
    <w:rsid w:val="00D1526B"/>
    <w:rsid w:val="00D153E3"/>
    <w:rsid w:val="00D159D1"/>
    <w:rsid w:val="00D15E75"/>
    <w:rsid w:val="00D15F13"/>
    <w:rsid w:val="00D16468"/>
    <w:rsid w:val="00D165AC"/>
    <w:rsid w:val="00D167BD"/>
    <w:rsid w:val="00D170A9"/>
    <w:rsid w:val="00D17FB0"/>
    <w:rsid w:val="00D17FD3"/>
    <w:rsid w:val="00D209E7"/>
    <w:rsid w:val="00D2102E"/>
    <w:rsid w:val="00D213D5"/>
    <w:rsid w:val="00D21463"/>
    <w:rsid w:val="00D21D08"/>
    <w:rsid w:val="00D22DB7"/>
    <w:rsid w:val="00D234D4"/>
    <w:rsid w:val="00D23F32"/>
    <w:rsid w:val="00D23F6F"/>
    <w:rsid w:val="00D24209"/>
    <w:rsid w:val="00D2460B"/>
    <w:rsid w:val="00D2466A"/>
    <w:rsid w:val="00D24C94"/>
    <w:rsid w:val="00D250D1"/>
    <w:rsid w:val="00D25644"/>
    <w:rsid w:val="00D260D3"/>
    <w:rsid w:val="00D268D2"/>
    <w:rsid w:val="00D27576"/>
    <w:rsid w:val="00D27B4B"/>
    <w:rsid w:val="00D27E0F"/>
    <w:rsid w:val="00D30656"/>
    <w:rsid w:val="00D30677"/>
    <w:rsid w:val="00D309E1"/>
    <w:rsid w:val="00D30E6F"/>
    <w:rsid w:val="00D310EE"/>
    <w:rsid w:val="00D315A9"/>
    <w:rsid w:val="00D31802"/>
    <w:rsid w:val="00D318A5"/>
    <w:rsid w:val="00D3195C"/>
    <w:rsid w:val="00D32209"/>
    <w:rsid w:val="00D33B9C"/>
    <w:rsid w:val="00D33D8F"/>
    <w:rsid w:val="00D35180"/>
    <w:rsid w:val="00D3587D"/>
    <w:rsid w:val="00D36043"/>
    <w:rsid w:val="00D36191"/>
    <w:rsid w:val="00D36347"/>
    <w:rsid w:val="00D36633"/>
    <w:rsid w:val="00D36EA4"/>
    <w:rsid w:val="00D37020"/>
    <w:rsid w:val="00D4046A"/>
    <w:rsid w:val="00D40927"/>
    <w:rsid w:val="00D411FF"/>
    <w:rsid w:val="00D41E7D"/>
    <w:rsid w:val="00D4230E"/>
    <w:rsid w:val="00D42A95"/>
    <w:rsid w:val="00D430BA"/>
    <w:rsid w:val="00D4334F"/>
    <w:rsid w:val="00D436F9"/>
    <w:rsid w:val="00D43B7F"/>
    <w:rsid w:val="00D43BAB"/>
    <w:rsid w:val="00D43C07"/>
    <w:rsid w:val="00D43F42"/>
    <w:rsid w:val="00D43F4D"/>
    <w:rsid w:val="00D4412F"/>
    <w:rsid w:val="00D44666"/>
    <w:rsid w:val="00D44713"/>
    <w:rsid w:val="00D44946"/>
    <w:rsid w:val="00D4528E"/>
    <w:rsid w:val="00D453BB"/>
    <w:rsid w:val="00D458F5"/>
    <w:rsid w:val="00D45D89"/>
    <w:rsid w:val="00D464E3"/>
    <w:rsid w:val="00D46804"/>
    <w:rsid w:val="00D47716"/>
    <w:rsid w:val="00D47CE5"/>
    <w:rsid w:val="00D501C9"/>
    <w:rsid w:val="00D50AE7"/>
    <w:rsid w:val="00D51A70"/>
    <w:rsid w:val="00D5226E"/>
    <w:rsid w:val="00D52432"/>
    <w:rsid w:val="00D52E04"/>
    <w:rsid w:val="00D52E47"/>
    <w:rsid w:val="00D5319B"/>
    <w:rsid w:val="00D5338B"/>
    <w:rsid w:val="00D53507"/>
    <w:rsid w:val="00D53B1F"/>
    <w:rsid w:val="00D54161"/>
    <w:rsid w:val="00D5494D"/>
    <w:rsid w:val="00D54FE1"/>
    <w:rsid w:val="00D55789"/>
    <w:rsid w:val="00D559D2"/>
    <w:rsid w:val="00D56E5C"/>
    <w:rsid w:val="00D572E2"/>
    <w:rsid w:val="00D576C1"/>
    <w:rsid w:val="00D57721"/>
    <w:rsid w:val="00D607B6"/>
    <w:rsid w:val="00D60946"/>
    <w:rsid w:val="00D61432"/>
    <w:rsid w:val="00D616B3"/>
    <w:rsid w:val="00D61C2C"/>
    <w:rsid w:val="00D639AB"/>
    <w:rsid w:val="00D64591"/>
    <w:rsid w:val="00D64DC9"/>
    <w:rsid w:val="00D64EC8"/>
    <w:rsid w:val="00D652B6"/>
    <w:rsid w:val="00D6559B"/>
    <w:rsid w:val="00D65DB4"/>
    <w:rsid w:val="00D65F1D"/>
    <w:rsid w:val="00D65FBB"/>
    <w:rsid w:val="00D66767"/>
    <w:rsid w:val="00D67C86"/>
    <w:rsid w:val="00D701FF"/>
    <w:rsid w:val="00D70D85"/>
    <w:rsid w:val="00D70E09"/>
    <w:rsid w:val="00D719FD"/>
    <w:rsid w:val="00D72E6F"/>
    <w:rsid w:val="00D741C5"/>
    <w:rsid w:val="00D7427A"/>
    <w:rsid w:val="00D7440C"/>
    <w:rsid w:val="00D74E9D"/>
    <w:rsid w:val="00D7544F"/>
    <w:rsid w:val="00D757A9"/>
    <w:rsid w:val="00D7630C"/>
    <w:rsid w:val="00D7710E"/>
    <w:rsid w:val="00D80212"/>
    <w:rsid w:val="00D80495"/>
    <w:rsid w:val="00D8049F"/>
    <w:rsid w:val="00D8056D"/>
    <w:rsid w:val="00D809A5"/>
    <w:rsid w:val="00D81139"/>
    <w:rsid w:val="00D81F93"/>
    <w:rsid w:val="00D8236D"/>
    <w:rsid w:val="00D831CB"/>
    <w:rsid w:val="00D83527"/>
    <w:rsid w:val="00D838C6"/>
    <w:rsid w:val="00D838F0"/>
    <w:rsid w:val="00D84707"/>
    <w:rsid w:val="00D8602C"/>
    <w:rsid w:val="00D860E2"/>
    <w:rsid w:val="00D86284"/>
    <w:rsid w:val="00D8668F"/>
    <w:rsid w:val="00D86F1E"/>
    <w:rsid w:val="00D87309"/>
    <w:rsid w:val="00D874AD"/>
    <w:rsid w:val="00D900B5"/>
    <w:rsid w:val="00D9038A"/>
    <w:rsid w:val="00D9041E"/>
    <w:rsid w:val="00D9074B"/>
    <w:rsid w:val="00D9089B"/>
    <w:rsid w:val="00D912DD"/>
    <w:rsid w:val="00D91731"/>
    <w:rsid w:val="00D91E8B"/>
    <w:rsid w:val="00D9210C"/>
    <w:rsid w:val="00D92424"/>
    <w:rsid w:val="00D92828"/>
    <w:rsid w:val="00D92E01"/>
    <w:rsid w:val="00D92E06"/>
    <w:rsid w:val="00D93277"/>
    <w:rsid w:val="00D93279"/>
    <w:rsid w:val="00D93E15"/>
    <w:rsid w:val="00D940F0"/>
    <w:rsid w:val="00D95E4E"/>
    <w:rsid w:val="00D95FDD"/>
    <w:rsid w:val="00D96084"/>
    <w:rsid w:val="00D96527"/>
    <w:rsid w:val="00D969C7"/>
    <w:rsid w:val="00D96A1B"/>
    <w:rsid w:val="00D96C34"/>
    <w:rsid w:val="00D97761"/>
    <w:rsid w:val="00DA0088"/>
    <w:rsid w:val="00DA0939"/>
    <w:rsid w:val="00DA0C12"/>
    <w:rsid w:val="00DA0E25"/>
    <w:rsid w:val="00DA1329"/>
    <w:rsid w:val="00DA13B9"/>
    <w:rsid w:val="00DA13CC"/>
    <w:rsid w:val="00DA150C"/>
    <w:rsid w:val="00DA1D39"/>
    <w:rsid w:val="00DA1D93"/>
    <w:rsid w:val="00DA2074"/>
    <w:rsid w:val="00DA2163"/>
    <w:rsid w:val="00DA2727"/>
    <w:rsid w:val="00DA2B0E"/>
    <w:rsid w:val="00DA2F39"/>
    <w:rsid w:val="00DA3B42"/>
    <w:rsid w:val="00DA4296"/>
    <w:rsid w:val="00DA49AA"/>
    <w:rsid w:val="00DA4E6F"/>
    <w:rsid w:val="00DA50E3"/>
    <w:rsid w:val="00DA5E6A"/>
    <w:rsid w:val="00DA5F1B"/>
    <w:rsid w:val="00DA661C"/>
    <w:rsid w:val="00DA6A89"/>
    <w:rsid w:val="00DA6E02"/>
    <w:rsid w:val="00DA7589"/>
    <w:rsid w:val="00DB0823"/>
    <w:rsid w:val="00DB1700"/>
    <w:rsid w:val="00DB267B"/>
    <w:rsid w:val="00DB2B4F"/>
    <w:rsid w:val="00DB2FA3"/>
    <w:rsid w:val="00DB3872"/>
    <w:rsid w:val="00DB507E"/>
    <w:rsid w:val="00DB51E7"/>
    <w:rsid w:val="00DB5E9E"/>
    <w:rsid w:val="00DB610E"/>
    <w:rsid w:val="00DB656B"/>
    <w:rsid w:val="00DB720D"/>
    <w:rsid w:val="00DB7AB8"/>
    <w:rsid w:val="00DC0729"/>
    <w:rsid w:val="00DC0C30"/>
    <w:rsid w:val="00DC13B5"/>
    <w:rsid w:val="00DC1D81"/>
    <w:rsid w:val="00DC2D8F"/>
    <w:rsid w:val="00DC4390"/>
    <w:rsid w:val="00DC4429"/>
    <w:rsid w:val="00DC4770"/>
    <w:rsid w:val="00DC4E8C"/>
    <w:rsid w:val="00DC50FC"/>
    <w:rsid w:val="00DC5D1E"/>
    <w:rsid w:val="00DC5E26"/>
    <w:rsid w:val="00DC62A2"/>
    <w:rsid w:val="00DC64A5"/>
    <w:rsid w:val="00DC66B2"/>
    <w:rsid w:val="00DC6702"/>
    <w:rsid w:val="00DC6BC8"/>
    <w:rsid w:val="00DC7014"/>
    <w:rsid w:val="00DC7EEB"/>
    <w:rsid w:val="00DD0034"/>
    <w:rsid w:val="00DD01F5"/>
    <w:rsid w:val="00DD0421"/>
    <w:rsid w:val="00DD13B0"/>
    <w:rsid w:val="00DD1AC1"/>
    <w:rsid w:val="00DD2579"/>
    <w:rsid w:val="00DD29EC"/>
    <w:rsid w:val="00DD2BC8"/>
    <w:rsid w:val="00DD2EA0"/>
    <w:rsid w:val="00DD33AE"/>
    <w:rsid w:val="00DD3901"/>
    <w:rsid w:val="00DD49B0"/>
    <w:rsid w:val="00DD4F24"/>
    <w:rsid w:val="00DD518E"/>
    <w:rsid w:val="00DD5191"/>
    <w:rsid w:val="00DD6663"/>
    <w:rsid w:val="00DD674E"/>
    <w:rsid w:val="00DD6780"/>
    <w:rsid w:val="00DD6AA5"/>
    <w:rsid w:val="00DD6FE0"/>
    <w:rsid w:val="00DD6FFD"/>
    <w:rsid w:val="00DE03E4"/>
    <w:rsid w:val="00DE06C6"/>
    <w:rsid w:val="00DE0D6A"/>
    <w:rsid w:val="00DE1448"/>
    <w:rsid w:val="00DE20DF"/>
    <w:rsid w:val="00DE2433"/>
    <w:rsid w:val="00DE29D8"/>
    <w:rsid w:val="00DE2F08"/>
    <w:rsid w:val="00DE34C6"/>
    <w:rsid w:val="00DE376A"/>
    <w:rsid w:val="00DE38BE"/>
    <w:rsid w:val="00DE3A48"/>
    <w:rsid w:val="00DE4B21"/>
    <w:rsid w:val="00DE4BC2"/>
    <w:rsid w:val="00DE4BFA"/>
    <w:rsid w:val="00DE4C30"/>
    <w:rsid w:val="00DE52D2"/>
    <w:rsid w:val="00DE536A"/>
    <w:rsid w:val="00DE5BE8"/>
    <w:rsid w:val="00DE5C09"/>
    <w:rsid w:val="00DE5FA9"/>
    <w:rsid w:val="00DE628A"/>
    <w:rsid w:val="00DE743C"/>
    <w:rsid w:val="00DE79DB"/>
    <w:rsid w:val="00DF011E"/>
    <w:rsid w:val="00DF020E"/>
    <w:rsid w:val="00DF0284"/>
    <w:rsid w:val="00DF06AC"/>
    <w:rsid w:val="00DF0C84"/>
    <w:rsid w:val="00DF12CB"/>
    <w:rsid w:val="00DF15B3"/>
    <w:rsid w:val="00DF1DC5"/>
    <w:rsid w:val="00DF249E"/>
    <w:rsid w:val="00DF2702"/>
    <w:rsid w:val="00DF2B12"/>
    <w:rsid w:val="00DF30A6"/>
    <w:rsid w:val="00DF35B8"/>
    <w:rsid w:val="00DF3AC1"/>
    <w:rsid w:val="00DF446D"/>
    <w:rsid w:val="00DF4563"/>
    <w:rsid w:val="00DF4616"/>
    <w:rsid w:val="00DF5A0A"/>
    <w:rsid w:val="00DF5D8B"/>
    <w:rsid w:val="00DF609C"/>
    <w:rsid w:val="00DF60DC"/>
    <w:rsid w:val="00DF6237"/>
    <w:rsid w:val="00DF6CFE"/>
    <w:rsid w:val="00DF7999"/>
    <w:rsid w:val="00DF7E15"/>
    <w:rsid w:val="00E0002A"/>
    <w:rsid w:val="00E004DC"/>
    <w:rsid w:val="00E0085A"/>
    <w:rsid w:val="00E008B3"/>
    <w:rsid w:val="00E0154F"/>
    <w:rsid w:val="00E01995"/>
    <w:rsid w:val="00E01DAB"/>
    <w:rsid w:val="00E02488"/>
    <w:rsid w:val="00E026AB"/>
    <w:rsid w:val="00E02AA7"/>
    <w:rsid w:val="00E02B5D"/>
    <w:rsid w:val="00E02BE4"/>
    <w:rsid w:val="00E034AE"/>
    <w:rsid w:val="00E03667"/>
    <w:rsid w:val="00E03E42"/>
    <w:rsid w:val="00E03F5F"/>
    <w:rsid w:val="00E04AA3"/>
    <w:rsid w:val="00E04AC4"/>
    <w:rsid w:val="00E05282"/>
    <w:rsid w:val="00E063F7"/>
    <w:rsid w:val="00E075A9"/>
    <w:rsid w:val="00E0799A"/>
    <w:rsid w:val="00E07DEA"/>
    <w:rsid w:val="00E10516"/>
    <w:rsid w:val="00E106DF"/>
    <w:rsid w:val="00E12585"/>
    <w:rsid w:val="00E12797"/>
    <w:rsid w:val="00E127D3"/>
    <w:rsid w:val="00E12B37"/>
    <w:rsid w:val="00E133F6"/>
    <w:rsid w:val="00E140E4"/>
    <w:rsid w:val="00E14825"/>
    <w:rsid w:val="00E15BF6"/>
    <w:rsid w:val="00E168ED"/>
    <w:rsid w:val="00E16DD5"/>
    <w:rsid w:val="00E206E0"/>
    <w:rsid w:val="00E20ADE"/>
    <w:rsid w:val="00E21E58"/>
    <w:rsid w:val="00E223D1"/>
    <w:rsid w:val="00E226A8"/>
    <w:rsid w:val="00E227F4"/>
    <w:rsid w:val="00E2294D"/>
    <w:rsid w:val="00E22BF0"/>
    <w:rsid w:val="00E23214"/>
    <w:rsid w:val="00E23690"/>
    <w:rsid w:val="00E23B1A"/>
    <w:rsid w:val="00E23D66"/>
    <w:rsid w:val="00E24F12"/>
    <w:rsid w:val="00E250AF"/>
    <w:rsid w:val="00E2533F"/>
    <w:rsid w:val="00E255DC"/>
    <w:rsid w:val="00E25603"/>
    <w:rsid w:val="00E25BBB"/>
    <w:rsid w:val="00E25D96"/>
    <w:rsid w:val="00E25EE0"/>
    <w:rsid w:val="00E25F6E"/>
    <w:rsid w:val="00E264BA"/>
    <w:rsid w:val="00E26CBE"/>
    <w:rsid w:val="00E26CD6"/>
    <w:rsid w:val="00E27093"/>
    <w:rsid w:val="00E272B9"/>
    <w:rsid w:val="00E30870"/>
    <w:rsid w:val="00E30987"/>
    <w:rsid w:val="00E309A9"/>
    <w:rsid w:val="00E30AE7"/>
    <w:rsid w:val="00E31082"/>
    <w:rsid w:val="00E31206"/>
    <w:rsid w:val="00E32583"/>
    <w:rsid w:val="00E327E4"/>
    <w:rsid w:val="00E3288F"/>
    <w:rsid w:val="00E329A6"/>
    <w:rsid w:val="00E3305B"/>
    <w:rsid w:val="00E33BF8"/>
    <w:rsid w:val="00E33C9C"/>
    <w:rsid w:val="00E33FFA"/>
    <w:rsid w:val="00E340E2"/>
    <w:rsid w:val="00E349BC"/>
    <w:rsid w:val="00E34D8B"/>
    <w:rsid w:val="00E3522A"/>
    <w:rsid w:val="00E358FE"/>
    <w:rsid w:val="00E35C94"/>
    <w:rsid w:val="00E360BA"/>
    <w:rsid w:val="00E365BF"/>
    <w:rsid w:val="00E365CB"/>
    <w:rsid w:val="00E3665B"/>
    <w:rsid w:val="00E36749"/>
    <w:rsid w:val="00E3682B"/>
    <w:rsid w:val="00E36BFC"/>
    <w:rsid w:val="00E36C9D"/>
    <w:rsid w:val="00E3705A"/>
    <w:rsid w:val="00E372B2"/>
    <w:rsid w:val="00E402E1"/>
    <w:rsid w:val="00E40338"/>
    <w:rsid w:val="00E404D0"/>
    <w:rsid w:val="00E4081C"/>
    <w:rsid w:val="00E40945"/>
    <w:rsid w:val="00E40E07"/>
    <w:rsid w:val="00E40F05"/>
    <w:rsid w:val="00E410F0"/>
    <w:rsid w:val="00E417C4"/>
    <w:rsid w:val="00E41EBA"/>
    <w:rsid w:val="00E4268A"/>
    <w:rsid w:val="00E42999"/>
    <w:rsid w:val="00E4370E"/>
    <w:rsid w:val="00E43D76"/>
    <w:rsid w:val="00E441FF"/>
    <w:rsid w:val="00E442EE"/>
    <w:rsid w:val="00E44635"/>
    <w:rsid w:val="00E447CE"/>
    <w:rsid w:val="00E44DE6"/>
    <w:rsid w:val="00E44E84"/>
    <w:rsid w:val="00E4512D"/>
    <w:rsid w:val="00E4534F"/>
    <w:rsid w:val="00E45689"/>
    <w:rsid w:val="00E45B81"/>
    <w:rsid w:val="00E46D44"/>
    <w:rsid w:val="00E475DF"/>
    <w:rsid w:val="00E47850"/>
    <w:rsid w:val="00E5093B"/>
    <w:rsid w:val="00E516E3"/>
    <w:rsid w:val="00E51B97"/>
    <w:rsid w:val="00E52448"/>
    <w:rsid w:val="00E5268D"/>
    <w:rsid w:val="00E528F3"/>
    <w:rsid w:val="00E52930"/>
    <w:rsid w:val="00E52AD9"/>
    <w:rsid w:val="00E52CF5"/>
    <w:rsid w:val="00E53A42"/>
    <w:rsid w:val="00E53BB2"/>
    <w:rsid w:val="00E53D85"/>
    <w:rsid w:val="00E53EA1"/>
    <w:rsid w:val="00E54021"/>
    <w:rsid w:val="00E54375"/>
    <w:rsid w:val="00E55178"/>
    <w:rsid w:val="00E556D8"/>
    <w:rsid w:val="00E55FAE"/>
    <w:rsid w:val="00E56C34"/>
    <w:rsid w:val="00E56F86"/>
    <w:rsid w:val="00E576BC"/>
    <w:rsid w:val="00E5775C"/>
    <w:rsid w:val="00E57BDC"/>
    <w:rsid w:val="00E57C8A"/>
    <w:rsid w:val="00E57CB1"/>
    <w:rsid w:val="00E60031"/>
    <w:rsid w:val="00E60239"/>
    <w:rsid w:val="00E603A8"/>
    <w:rsid w:val="00E60A73"/>
    <w:rsid w:val="00E60BFB"/>
    <w:rsid w:val="00E60C8A"/>
    <w:rsid w:val="00E61574"/>
    <w:rsid w:val="00E629C4"/>
    <w:rsid w:val="00E62DBF"/>
    <w:rsid w:val="00E639C2"/>
    <w:rsid w:val="00E63CC3"/>
    <w:rsid w:val="00E63D60"/>
    <w:rsid w:val="00E63F52"/>
    <w:rsid w:val="00E63F57"/>
    <w:rsid w:val="00E6406A"/>
    <w:rsid w:val="00E649DB"/>
    <w:rsid w:val="00E64A21"/>
    <w:rsid w:val="00E65EC6"/>
    <w:rsid w:val="00E65F6F"/>
    <w:rsid w:val="00E6604D"/>
    <w:rsid w:val="00E66A19"/>
    <w:rsid w:val="00E66CA8"/>
    <w:rsid w:val="00E66DBE"/>
    <w:rsid w:val="00E66E4D"/>
    <w:rsid w:val="00E67063"/>
    <w:rsid w:val="00E67249"/>
    <w:rsid w:val="00E67676"/>
    <w:rsid w:val="00E70D1D"/>
    <w:rsid w:val="00E70E54"/>
    <w:rsid w:val="00E71011"/>
    <w:rsid w:val="00E714E2"/>
    <w:rsid w:val="00E717A3"/>
    <w:rsid w:val="00E71A66"/>
    <w:rsid w:val="00E71C08"/>
    <w:rsid w:val="00E71F2D"/>
    <w:rsid w:val="00E72070"/>
    <w:rsid w:val="00E720B3"/>
    <w:rsid w:val="00E72232"/>
    <w:rsid w:val="00E7249D"/>
    <w:rsid w:val="00E72F3D"/>
    <w:rsid w:val="00E7309F"/>
    <w:rsid w:val="00E73493"/>
    <w:rsid w:val="00E73699"/>
    <w:rsid w:val="00E737B3"/>
    <w:rsid w:val="00E73C37"/>
    <w:rsid w:val="00E746B2"/>
    <w:rsid w:val="00E74DD9"/>
    <w:rsid w:val="00E752D5"/>
    <w:rsid w:val="00E75B08"/>
    <w:rsid w:val="00E75E19"/>
    <w:rsid w:val="00E76242"/>
    <w:rsid w:val="00E7643F"/>
    <w:rsid w:val="00E76459"/>
    <w:rsid w:val="00E766F1"/>
    <w:rsid w:val="00E76CB1"/>
    <w:rsid w:val="00E76F4C"/>
    <w:rsid w:val="00E77283"/>
    <w:rsid w:val="00E7761E"/>
    <w:rsid w:val="00E77813"/>
    <w:rsid w:val="00E77857"/>
    <w:rsid w:val="00E77EB8"/>
    <w:rsid w:val="00E77ED0"/>
    <w:rsid w:val="00E801F1"/>
    <w:rsid w:val="00E8041D"/>
    <w:rsid w:val="00E804FF"/>
    <w:rsid w:val="00E80B5F"/>
    <w:rsid w:val="00E80B7A"/>
    <w:rsid w:val="00E80B8D"/>
    <w:rsid w:val="00E80D27"/>
    <w:rsid w:val="00E8150A"/>
    <w:rsid w:val="00E81738"/>
    <w:rsid w:val="00E81D3B"/>
    <w:rsid w:val="00E8203A"/>
    <w:rsid w:val="00E828F8"/>
    <w:rsid w:val="00E82C5A"/>
    <w:rsid w:val="00E832B5"/>
    <w:rsid w:val="00E8340A"/>
    <w:rsid w:val="00E83AA6"/>
    <w:rsid w:val="00E84728"/>
    <w:rsid w:val="00E84BF9"/>
    <w:rsid w:val="00E85224"/>
    <w:rsid w:val="00E855F5"/>
    <w:rsid w:val="00E8598E"/>
    <w:rsid w:val="00E85A59"/>
    <w:rsid w:val="00E867EB"/>
    <w:rsid w:val="00E86F05"/>
    <w:rsid w:val="00E873B0"/>
    <w:rsid w:val="00E901BD"/>
    <w:rsid w:val="00E91716"/>
    <w:rsid w:val="00E91DB5"/>
    <w:rsid w:val="00E92496"/>
    <w:rsid w:val="00E92B9B"/>
    <w:rsid w:val="00E935EF"/>
    <w:rsid w:val="00E939AC"/>
    <w:rsid w:val="00E93F7A"/>
    <w:rsid w:val="00E94207"/>
    <w:rsid w:val="00E94C42"/>
    <w:rsid w:val="00E9524F"/>
    <w:rsid w:val="00E96094"/>
    <w:rsid w:val="00E96137"/>
    <w:rsid w:val="00E96388"/>
    <w:rsid w:val="00E96B37"/>
    <w:rsid w:val="00E96E53"/>
    <w:rsid w:val="00E96F6C"/>
    <w:rsid w:val="00E9741A"/>
    <w:rsid w:val="00E974F1"/>
    <w:rsid w:val="00E9762B"/>
    <w:rsid w:val="00E97810"/>
    <w:rsid w:val="00E978B9"/>
    <w:rsid w:val="00E97CA8"/>
    <w:rsid w:val="00EA014A"/>
    <w:rsid w:val="00EA0F79"/>
    <w:rsid w:val="00EA114C"/>
    <w:rsid w:val="00EA137E"/>
    <w:rsid w:val="00EA1826"/>
    <w:rsid w:val="00EA1AB4"/>
    <w:rsid w:val="00EA360A"/>
    <w:rsid w:val="00EA3852"/>
    <w:rsid w:val="00EA3F1A"/>
    <w:rsid w:val="00EA438B"/>
    <w:rsid w:val="00EA57FD"/>
    <w:rsid w:val="00EA5E3F"/>
    <w:rsid w:val="00EA6035"/>
    <w:rsid w:val="00EA6454"/>
    <w:rsid w:val="00EA6A69"/>
    <w:rsid w:val="00EA6FC0"/>
    <w:rsid w:val="00EA7022"/>
    <w:rsid w:val="00EA7270"/>
    <w:rsid w:val="00EB023E"/>
    <w:rsid w:val="00EB06F6"/>
    <w:rsid w:val="00EB0AEE"/>
    <w:rsid w:val="00EB1BB8"/>
    <w:rsid w:val="00EB23D6"/>
    <w:rsid w:val="00EB2792"/>
    <w:rsid w:val="00EB2A92"/>
    <w:rsid w:val="00EB2C58"/>
    <w:rsid w:val="00EB2C9D"/>
    <w:rsid w:val="00EB43D1"/>
    <w:rsid w:val="00EB4665"/>
    <w:rsid w:val="00EB494E"/>
    <w:rsid w:val="00EB6777"/>
    <w:rsid w:val="00EB6D3B"/>
    <w:rsid w:val="00EB74EE"/>
    <w:rsid w:val="00EB7E7F"/>
    <w:rsid w:val="00EC0370"/>
    <w:rsid w:val="00EC0829"/>
    <w:rsid w:val="00EC0C2B"/>
    <w:rsid w:val="00EC1461"/>
    <w:rsid w:val="00EC1BC4"/>
    <w:rsid w:val="00EC1DAD"/>
    <w:rsid w:val="00EC1ED3"/>
    <w:rsid w:val="00EC1F1D"/>
    <w:rsid w:val="00EC2CC8"/>
    <w:rsid w:val="00EC2EB2"/>
    <w:rsid w:val="00EC2F87"/>
    <w:rsid w:val="00EC3622"/>
    <w:rsid w:val="00EC3760"/>
    <w:rsid w:val="00EC392E"/>
    <w:rsid w:val="00EC43CC"/>
    <w:rsid w:val="00EC452E"/>
    <w:rsid w:val="00EC469A"/>
    <w:rsid w:val="00EC49C3"/>
    <w:rsid w:val="00EC54C7"/>
    <w:rsid w:val="00EC570D"/>
    <w:rsid w:val="00EC58D0"/>
    <w:rsid w:val="00EC62CF"/>
    <w:rsid w:val="00EC67D1"/>
    <w:rsid w:val="00EC6D3F"/>
    <w:rsid w:val="00EC7FD7"/>
    <w:rsid w:val="00ED0164"/>
    <w:rsid w:val="00ED0DF7"/>
    <w:rsid w:val="00ED146D"/>
    <w:rsid w:val="00ED16A2"/>
    <w:rsid w:val="00ED1D20"/>
    <w:rsid w:val="00ED20AA"/>
    <w:rsid w:val="00ED31B2"/>
    <w:rsid w:val="00ED3851"/>
    <w:rsid w:val="00ED4315"/>
    <w:rsid w:val="00ED4349"/>
    <w:rsid w:val="00ED4855"/>
    <w:rsid w:val="00ED4FC1"/>
    <w:rsid w:val="00ED5BDD"/>
    <w:rsid w:val="00ED5D6C"/>
    <w:rsid w:val="00ED69FC"/>
    <w:rsid w:val="00ED6D1C"/>
    <w:rsid w:val="00ED7AA1"/>
    <w:rsid w:val="00EE017B"/>
    <w:rsid w:val="00EE02E8"/>
    <w:rsid w:val="00EE04BC"/>
    <w:rsid w:val="00EE0537"/>
    <w:rsid w:val="00EE0B46"/>
    <w:rsid w:val="00EE1150"/>
    <w:rsid w:val="00EE1922"/>
    <w:rsid w:val="00EE1E6B"/>
    <w:rsid w:val="00EE1F51"/>
    <w:rsid w:val="00EE20E4"/>
    <w:rsid w:val="00EE3228"/>
    <w:rsid w:val="00EE334C"/>
    <w:rsid w:val="00EE3BC2"/>
    <w:rsid w:val="00EE4A25"/>
    <w:rsid w:val="00EE4A91"/>
    <w:rsid w:val="00EE55D9"/>
    <w:rsid w:val="00EE656E"/>
    <w:rsid w:val="00EE680D"/>
    <w:rsid w:val="00EE6DD6"/>
    <w:rsid w:val="00EE7409"/>
    <w:rsid w:val="00EE760E"/>
    <w:rsid w:val="00EE76F1"/>
    <w:rsid w:val="00EE7D5D"/>
    <w:rsid w:val="00EE7F93"/>
    <w:rsid w:val="00EF0652"/>
    <w:rsid w:val="00EF06E6"/>
    <w:rsid w:val="00EF1028"/>
    <w:rsid w:val="00EF1201"/>
    <w:rsid w:val="00EF248D"/>
    <w:rsid w:val="00EF3245"/>
    <w:rsid w:val="00EF35BC"/>
    <w:rsid w:val="00EF39D2"/>
    <w:rsid w:val="00EF4088"/>
    <w:rsid w:val="00EF4893"/>
    <w:rsid w:val="00EF4969"/>
    <w:rsid w:val="00EF4A03"/>
    <w:rsid w:val="00EF4B9B"/>
    <w:rsid w:val="00EF5856"/>
    <w:rsid w:val="00EF5CFB"/>
    <w:rsid w:val="00EF5F9B"/>
    <w:rsid w:val="00EF6094"/>
    <w:rsid w:val="00EF65C6"/>
    <w:rsid w:val="00EF762A"/>
    <w:rsid w:val="00EF7841"/>
    <w:rsid w:val="00EF79EB"/>
    <w:rsid w:val="00F00274"/>
    <w:rsid w:val="00F00E81"/>
    <w:rsid w:val="00F00EBE"/>
    <w:rsid w:val="00F0121F"/>
    <w:rsid w:val="00F01389"/>
    <w:rsid w:val="00F01460"/>
    <w:rsid w:val="00F01B4D"/>
    <w:rsid w:val="00F01CCC"/>
    <w:rsid w:val="00F01F92"/>
    <w:rsid w:val="00F03270"/>
    <w:rsid w:val="00F037A8"/>
    <w:rsid w:val="00F04133"/>
    <w:rsid w:val="00F0459D"/>
    <w:rsid w:val="00F045AE"/>
    <w:rsid w:val="00F04FE0"/>
    <w:rsid w:val="00F0529E"/>
    <w:rsid w:val="00F05C32"/>
    <w:rsid w:val="00F060F3"/>
    <w:rsid w:val="00F07248"/>
    <w:rsid w:val="00F07349"/>
    <w:rsid w:val="00F07572"/>
    <w:rsid w:val="00F075A2"/>
    <w:rsid w:val="00F07679"/>
    <w:rsid w:val="00F1050C"/>
    <w:rsid w:val="00F105B9"/>
    <w:rsid w:val="00F10763"/>
    <w:rsid w:val="00F10795"/>
    <w:rsid w:val="00F110E1"/>
    <w:rsid w:val="00F123CE"/>
    <w:rsid w:val="00F1377F"/>
    <w:rsid w:val="00F13974"/>
    <w:rsid w:val="00F13A29"/>
    <w:rsid w:val="00F140AD"/>
    <w:rsid w:val="00F14A97"/>
    <w:rsid w:val="00F14B66"/>
    <w:rsid w:val="00F14C9F"/>
    <w:rsid w:val="00F1517B"/>
    <w:rsid w:val="00F15303"/>
    <w:rsid w:val="00F16545"/>
    <w:rsid w:val="00F1660C"/>
    <w:rsid w:val="00F167B0"/>
    <w:rsid w:val="00F167BE"/>
    <w:rsid w:val="00F1708C"/>
    <w:rsid w:val="00F17A00"/>
    <w:rsid w:val="00F17ACA"/>
    <w:rsid w:val="00F2085B"/>
    <w:rsid w:val="00F2349A"/>
    <w:rsid w:val="00F23531"/>
    <w:rsid w:val="00F23629"/>
    <w:rsid w:val="00F23C76"/>
    <w:rsid w:val="00F242C3"/>
    <w:rsid w:val="00F242C6"/>
    <w:rsid w:val="00F24320"/>
    <w:rsid w:val="00F24740"/>
    <w:rsid w:val="00F24747"/>
    <w:rsid w:val="00F24A48"/>
    <w:rsid w:val="00F24AA8"/>
    <w:rsid w:val="00F25172"/>
    <w:rsid w:val="00F26260"/>
    <w:rsid w:val="00F26A0E"/>
    <w:rsid w:val="00F26CBB"/>
    <w:rsid w:val="00F26DAF"/>
    <w:rsid w:val="00F27520"/>
    <w:rsid w:val="00F27A64"/>
    <w:rsid w:val="00F3033E"/>
    <w:rsid w:val="00F3118E"/>
    <w:rsid w:val="00F3173C"/>
    <w:rsid w:val="00F321BB"/>
    <w:rsid w:val="00F32921"/>
    <w:rsid w:val="00F32C04"/>
    <w:rsid w:val="00F32D0C"/>
    <w:rsid w:val="00F32DAF"/>
    <w:rsid w:val="00F33674"/>
    <w:rsid w:val="00F33733"/>
    <w:rsid w:val="00F33C09"/>
    <w:rsid w:val="00F33D5A"/>
    <w:rsid w:val="00F33E51"/>
    <w:rsid w:val="00F33ECD"/>
    <w:rsid w:val="00F34174"/>
    <w:rsid w:val="00F3428C"/>
    <w:rsid w:val="00F34E1E"/>
    <w:rsid w:val="00F34E51"/>
    <w:rsid w:val="00F359F3"/>
    <w:rsid w:val="00F35C23"/>
    <w:rsid w:val="00F35DF1"/>
    <w:rsid w:val="00F362A2"/>
    <w:rsid w:val="00F37232"/>
    <w:rsid w:val="00F4021F"/>
    <w:rsid w:val="00F406FC"/>
    <w:rsid w:val="00F40E0C"/>
    <w:rsid w:val="00F41433"/>
    <w:rsid w:val="00F41CE6"/>
    <w:rsid w:val="00F41E1D"/>
    <w:rsid w:val="00F443EC"/>
    <w:rsid w:val="00F447A3"/>
    <w:rsid w:val="00F44EA5"/>
    <w:rsid w:val="00F45064"/>
    <w:rsid w:val="00F4509D"/>
    <w:rsid w:val="00F4582F"/>
    <w:rsid w:val="00F45846"/>
    <w:rsid w:val="00F4781C"/>
    <w:rsid w:val="00F47CC8"/>
    <w:rsid w:val="00F50412"/>
    <w:rsid w:val="00F50A1F"/>
    <w:rsid w:val="00F50E9F"/>
    <w:rsid w:val="00F50F8A"/>
    <w:rsid w:val="00F5155C"/>
    <w:rsid w:val="00F51595"/>
    <w:rsid w:val="00F51D71"/>
    <w:rsid w:val="00F526F9"/>
    <w:rsid w:val="00F52E81"/>
    <w:rsid w:val="00F53FE2"/>
    <w:rsid w:val="00F54869"/>
    <w:rsid w:val="00F54B6A"/>
    <w:rsid w:val="00F54ECF"/>
    <w:rsid w:val="00F55750"/>
    <w:rsid w:val="00F5595F"/>
    <w:rsid w:val="00F55B2A"/>
    <w:rsid w:val="00F56A02"/>
    <w:rsid w:val="00F57615"/>
    <w:rsid w:val="00F57C7B"/>
    <w:rsid w:val="00F60589"/>
    <w:rsid w:val="00F606AF"/>
    <w:rsid w:val="00F608F5"/>
    <w:rsid w:val="00F60999"/>
    <w:rsid w:val="00F60A14"/>
    <w:rsid w:val="00F61130"/>
    <w:rsid w:val="00F61C6A"/>
    <w:rsid w:val="00F6212F"/>
    <w:rsid w:val="00F62195"/>
    <w:rsid w:val="00F62FB5"/>
    <w:rsid w:val="00F63594"/>
    <w:rsid w:val="00F63A93"/>
    <w:rsid w:val="00F6481E"/>
    <w:rsid w:val="00F65043"/>
    <w:rsid w:val="00F65E65"/>
    <w:rsid w:val="00F66CF5"/>
    <w:rsid w:val="00F66D5B"/>
    <w:rsid w:val="00F67210"/>
    <w:rsid w:val="00F67433"/>
    <w:rsid w:val="00F67486"/>
    <w:rsid w:val="00F674D5"/>
    <w:rsid w:val="00F675F4"/>
    <w:rsid w:val="00F67EFE"/>
    <w:rsid w:val="00F701B0"/>
    <w:rsid w:val="00F70289"/>
    <w:rsid w:val="00F70828"/>
    <w:rsid w:val="00F708C1"/>
    <w:rsid w:val="00F71065"/>
    <w:rsid w:val="00F7113F"/>
    <w:rsid w:val="00F7118E"/>
    <w:rsid w:val="00F7138E"/>
    <w:rsid w:val="00F71A8A"/>
    <w:rsid w:val="00F71ADF"/>
    <w:rsid w:val="00F71C4D"/>
    <w:rsid w:val="00F72C06"/>
    <w:rsid w:val="00F73156"/>
    <w:rsid w:val="00F73285"/>
    <w:rsid w:val="00F73872"/>
    <w:rsid w:val="00F73C38"/>
    <w:rsid w:val="00F7402C"/>
    <w:rsid w:val="00F74231"/>
    <w:rsid w:val="00F7536B"/>
    <w:rsid w:val="00F7539B"/>
    <w:rsid w:val="00F7540A"/>
    <w:rsid w:val="00F75799"/>
    <w:rsid w:val="00F75800"/>
    <w:rsid w:val="00F7583A"/>
    <w:rsid w:val="00F75F24"/>
    <w:rsid w:val="00F76654"/>
    <w:rsid w:val="00F7753D"/>
    <w:rsid w:val="00F800F8"/>
    <w:rsid w:val="00F801AB"/>
    <w:rsid w:val="00F812C8"/>
    <w:rsid w:val="00F813E1"/>
    <w:rsid w:val="00F8141E"/>
    <w:rsid w:val="00F815A4"/>
    <w:rsid w:val="00F81678"/>
    <w:rsid w:val="00F81929"/>
    <w:rsid w:val="00F81AD0"/>
    <w:rsid w:val="00F81E29"/>
    <w:rsid w:val="00F81F36"/>
    <w:rsid w:val="00F8236A"/>
    <w:rsid w:val="00F82AF9"/>
    <w:rsid w:val="00F82BAA"/>
    <w:rsid w:val="00F82FF2"/>
    <w:rsid w:val="00F8344F"/>
    <w:rsid w:val="00F83A6D"/>
    <w:rsid w:val="00F83E22"/>
    <w:rsid w:val="00F840E3"/>
    <w:rsid w:val="00F84687"/>
    <w:rsid w:val="00F84B38"/>
    <w:rsid w:val="00F84D02"/>
    <w:rsid w:val="00F85C8A"/>
    <w:rsid w:val="00F86BB9"/>
    <w:rsid w:val="00F86E14"/>
    <w:rsid w:val="00F870E2"/>
    <w:rsid w:val="00F87475"/>
    <w:rsid w:val="00F874F6"/>
    <w:rsid w:val="00F8750D"/>
    <w:rsid w:val="00F904C2"/>
    <w:rsid w:val="00F90DF8"/>
    <w:rsid w:val="00F90E52"/>
    <w:rsid w:val="00F9164C"/>
    <w:rsid w:val="00F91901"/>
    <w:rsid w:val="00F91D83"/>
    <w:rsid w:val="00F93336"/>
    <w:rsid w:val="00F93DF5"/>
    <w:rsid w:val="00F93E0A"/>
    <w:rsid w:val="00F9482B"/>
    <w:rsid w:val="00F94D21"/>
    <w:rsid w:val="00F9529F"/>
    <w:rsid w:val="00F96001"/>
    <w:rsid w:val="00F96639"/>
    <w:rsid w:val="00F968A4"/>
    <w:rsid w:val="00F96BE5"/>
    <w:rsid w:val="00F96F19"/>
    <w:rsid w:val="00F974A2"/>
    <w:rsid w:val="00F97CC0"/>
    <w:rsid w:val="00FA1136"/>
    <w:rsid w:val="00FA1853"/>
    <w:rsid w:val="00FA1994"/>
    <w:rsid w:val="00FA1DA4"/>
    <w:rsid w:val="00FA1ECA"/>
    <w:rsid w:val="00FA2784"/>
    <w:rsid w:val="00FA2D89"/>
    <w:rsid w:val="00FA2E83"/>
    <w:rsid w:val="00FA3759"/>
    <w:rsid w:val="00FA392E"/>
    <w:rsid w:val="00FA3B57"/>
    <w:rsid w:val="00FA3C2A"/>
    <w:rsid w:val="00FA3DED"/>
    <w:rsid w:val="00FA3FAB"/>
    <w:rsid w:val="00FA494F"/>
    <w:rsid w:val="00FA50DE"/>
    <w:rsid w:val="00FA522B"/>
    <w:rsid w:val="00FA57FC"/>
    <w:rsid w:val="00FA5D12"/>
    <w:rsid w:val="00FA5F47"/>
    <w:rsid w:val="00FA5F50"/>
    <w:rsid w:val="00FA6244"/>
    <w:rsid w:val="00FA7622"/>
    <w:rsid w:val="00FA7E56"/>
    <w:rsid w:val="00FB01E3"/>
    <w:rsid w:val="00FB0C53"/>
    <w:rsid w:val="00FB0F37"/>
    <w:rsid w:val="00FB198C"/>
    <w:rsid w:val="00FB22C2"/>
    <w:rsid w:val="00FB22FB"/>
    <w:rsid w:val="00FB2666"/>
    <w:rsid w:val="00FB2B12"/>
    <w:rsid w:val="00FB2D8D"/>
    <w:rsid w:val="00FB3081"/>
    <w:rsid w:val="00FB3A76"/>
    <w:rsid w:val="00FB3A7A"/>
    <w:rsid w:val="00FB3BF9"/>
    <w:rsid w:val="00FB5301"/>
    <w:rsid w:val="00FB58C2"/>
    <w:rsid w:val="00FB5C29"/>
    <w:rsid w:val="00FB5C86"/>
    <w:rsid w:val="00FB63EE"/>
    <w:rsid w:val="00FB6646"/>
    <w:rsid w:val="00FB7218"/>
    <w:rsid w:val="00FB7358"/>
    <w:rsid w:val="00FB7DBD"/>
    <w:rsid w:val="00FC0D92"/>
    <w:rsid w:val="00FC1984"/>
    <w:rsid w:val="00FC1CE8"/>
    <w:rsid w:val="00FC2211"/>
    <w:rsid w:val="00FC42D3"/>
    <w:rsid w:val="00FC47F8"/>
    <w:rsid w:val="00FC49A2"/>
    <w:rsid w:val="00FC4ED6"/>
    <w:rsid w:val="00FC4F47"/>
    <w:rsid w:val="00FC5662"/>
    <w:rsid w:val="00FC6525"/>
    <w:rsid w:val="00FC74BE"/>
    <w:rsid w:val="00FC756B"/>
    <w:rsid w:val="00FD1946"/>
    <w:rsid w:val="00FD2B45"/>
    <w:rsid w:val="00FD2C44"/>
    <w:rsid w:val="00FD4AD5"/>
    <w:rsid w:val="00FD4DA9"/>
    <w:rsid w:val="00FD553E"/>
    <w:rsid w:val="00FD57DF"/>
    <w:rsid w:val="00FD58CB"/>
    <w:rsid w:val="00FD5931"/>
    <w:rsid w:val="00FD5D6E"/>
    <w:rsid w:val="00FD5EDA"/>
    <w:rsid w:val="00FD6C7B"/>
    <w:rsid w:val="00FD6FF6"/>
    <w:rsid w:val="00FD71B7"/>
    <w:rsid w:val="00FD74B9"/>
    <w:rsid w:val="00FD7E1A"/>
    <w:rsid w:val="00FD7ECF"/>
    <w:rsid w:val="00FE00D0"/>
    <w:rsid w:val="00FE06B5"/>
    <w:rsid w:val="00FE0CE1"/>
    <w:rsid w:val="00FE0DB4"/>
    <w:rsid w:val="00FE0EEB"/>
    <w:rsid w:val="00FE143E"/>
    <w:rsid w:val="00FE1599"/>
    <w:rsid w:val="00FE1701"/>
    <w:rsid w:val="00FE19B0"/>
    <w:rsid w:val="00FE2BF2"/>
    <w:rsid w:val="00FE2C69"/>
    <w:rsid w:val="00FE3A79"/>
    <w:rsid w:val="00FE3D6C"/>
    <w:rsid w:val="00FE4089"/>
    <w:rsid w:val="00FE5BA6"/>
    <w:rsid w:val="00FE5E62"/>
    <w:rsid w:val="00FE62CB"/>
    <w:rsid w:val="00FE69AC"/>
    <w:rsid w:val="00FE6A14"/>
    <w:rsid w:val="00FE6A83"/>
    <w:rsid w:val="00FE6D9E"/>
    <w:rsid w:val="00FE7636"/>
    <w:rsid w:val="00FE7E36"/>
    <w:rsid w:val="00FE7FF0"/>
    <w:rsid w:val="00FF006E"/>
    <w:rsid w:val="00FF08AA"/>
    <w:rsid w:val="00FF0964"/>
    <w:rsid w:val="00FF0E46"/>
    <w:rsid w:val="00FF145F"/>
    <w:rsid w:val="00FF1742"/>
    <w:rsid w:val="00FF1AF1"/>
    <w:rsid w:val="00FF1B4E"/>
    <w:rsid w:val="00FF1D22"/>
    <w:rsid w:val="00FF1D3D"/>
    <w:rsid w:val="00FF2504"/>
    <w:rsid w:val="00FF26C5"/>
    <w:rsid w:val="00FF29A2"/>
    <w:rsid w:val="00FF2D14"/>
    <w:rsid w:val="00FF33D6"/>
    <w:rsid w:val="00FF3561"/>
    <w:rsid w:val="00FF4788"/>
    <w:rsid w:val="00FF4AAF"/>
    <w:rsid w:val="00FF5FEC"/>
    <w:rsid w:val="00FF6472"/>
    <w:rsid w:val="00FF6696"/>
    <w:rsid w:val="00FF6B64"/>
    <w:rsid w:val="00FF6C75"/>
    <w:rsid w:val="00FF6E00"/>
    <w:rsid w:val="00FF7624"/>
    <w:rsid w:val="00FF76AC"/>
    <w:rsid w:val="00FF7743"/>
    <w:rsid w:val="00FF7765"/>
    <w:rsid w:val="00FF7D25"/>
    <w:rsid w:val="01A81E2B"/>
    <w:rsid w:val="01C649B3"/>
    <w:rsid w:val="021876EC"/>
    <w:rsid w:val="05541460"/>
    <w:rsid w:val="063E0A32"/>
    <w:rsid w:val="06C65C65"/>
    <w:rsid w:val="07F17D80"/>
    <w:rsid w:val="08051FAE"/>
    <w:rsid w:val="081F395D"/>
    <w:rsid w:val="0B58351E"/>
    <w:rsid w:val="0CE243A5"/>
    <w:rsid w:val="0D8C7967"/>
    <w:rsid w:val="0E796AAB"/>
    <w:rsid w:val="111F77DE"/>
    <w:rsid w:val="11256867"/>
    <w:rsid w:val="118B3B30"/>
    <w:rsid w:val="1191417E"/>
    <w:rsid w:val="12C4015D"/>
    <w:rsid w:val="14284471"/>
    <w:rsid w:val="15EB33F9"/>
    <w:rsid w:val="1608780C"/>
    <w:rsid w:val="16553B36"/>
    <w:rsid w:val="16657759"/>
    <w:rsid w:val="17DE07C9"/>
    <w:rsid w:val="1B8E2F0C"/>
    <w:rsid w:val="1D24610F"/>
    <w:rsid w:val="201B5C14"/>
    <w:rsid w:val="20D008CD"/>
    <w:rsid w:val="2116462E"/>
    <w:rsid w:val="22783F17"/>
    <w:rsid w:val="22CA63AD"/>
    <w:rsid w:val="23053FAC"/>
    <w:rsid w:val="232F5E6E"/>
    <w:rsid w:val="25B204F4"/>
    <w:rsid w:val="25CC33B9"/>
    <w:rsid w:val="260664CC"/>
    <w:rsid w:val="26373C45"/>
    <w:rsid w:val="2AB9654C"/>
    <w:rsid w:val="2C2D232F"/>
    <w:rsid w:val="2CA26445"/>
    <w:rsid w:val="2EB460BB"/>
    <w:rsid w:val="30096920"/>
    <w:rsid w:val="3101219D"/>
    <w:rsid w:val="33A02356"/>
    <w:rsid w:val="34A80673"/>
    <w:rsid w:val="34AE0CF7"/>
    <w:rsid w:val="35404F2F"/>
    <w:rsid w:val="35953323"/>
    <w:rsid w:val="35B36BAB"/>
    <w:rsid w:val="35DA396E"/>
    <w:rsid w:val="365670D5"/>
    <w:rsid w:val="365D7C4D"/>
    <w:rsid w:val="36B85F46"/>
    <w:rsid w:val="38C443EF"/>
    <w:rsid w:val="3976047B"/>
    <w:rsid w:val="39C550A0"/>
    <w:rsid w:val="3A1149E9"/>
    <w:rsid w:val="3A6D130B"/>
    <w:rsid w:val="3B435BFD"/>
    <w:rsid w:val="3BFC0ED3"/>
    <w:rsid w:val="3CD94A35"/>
    <w:rsid w:val="3CE23A36"/>
    <w:rsid w:val="419712D2"/>
    <w:rsid w:val="42833A8A"/>
    <w:rsid w:val="432253D1"/>
    <w:rsid w:val="436112E1"/>
    <w:rsid w:val="458A5C99"/>
    <w:rsid w:val="461024E8"/>
    <w:rsid w:val="49FD6FDC"/>
    <w:rsid w:val="4A766F50"/>
    <w:rsid w:val="4A9F106C"/>
    <w:rsid w:val="4B167992"/>
    <w:rsid w:val="4B3F3D7D"/>
    <w:rsid w:val="4BD20495"/>
    <w:rsid w:val="4E9B3D9E"/>
    <w:rsid w:val="4F8807AC"/>
    <w:rsid w:val="4F8B7E11"/>
    <w:rsid w:val="4FEA181C"/>
    <w:rsid w:val="50F84479"/>
    <w:rsid w:val="512821BC"/>
    <w:rsid w:val="51830C28"/>
    <w:rsid w:val="52B37499"/>
    <w:rsid w:val="534D5EB2"/>
    <w:rsid w:val="54D879FF"/>
    <w:rsid w:val="577D3F83"/>
    <w:rsid w:val="58163648"/>
    <w:rsid w:val="588642E6"/>
    <w:rsid w:val="58BB272D"/>
    <w:rsid w:val="58D05F10"/>
    <w:rsid w:val="59BA441E"/>
    <w:rsid w:val="5A1A3277"/>
    <w:rsid w:val="5B260B5B"/>
    <w:rsid w:val="5B4B2805"/>
    <w:rsid w:val="5E166817"/>
    <w:rsid w:val="5E2409C2"/>
    <w:rsid w:val="5EF13A09"/>
    <w:rsid w:val="60162F22"/>
    <w:rsid w:val="616B7E8A"/>
    <w:rsid w:val="646D1D84"/>
    <w:rsid w:val="65D92A35"/>
    <w:rsid w:val="66D74CB5"/>
    <w:rsid w:val="67493A56"/>
    <w:rsid w:val="677A04F6"/>
    <w:rsid w:val="68CC3DB5"/>
    <w:rsid w:val="698C733A"/>
    <w:rsid w:val="6A9229FC"/>
    <w:rsid w:val="6B14320A"/>
    <w:rsid w:val="6D8E0853"/>
    <w:rsid w:val="6E6E472E"/>
    <w:rsid w:val="6FAA1709"/>
    <w:rsid w:val="6FDD261F"/>
    <w:rsid w:val="71806520"/>
    <w:rsid w:val="72AF24FC"/>
    <w:rsid w:val="744A0A36"/>
    <w:rsid w:val="74BF5E33"/>
    <w:rsid w:val="757E7D94"/>
    <w:rsid w:val="75F070F0"/>
    <w:rsid w:val="77E809D6"/>
    <w:rsid w:val="782F731F"/>
    <w:rsid w:val="788F2480"/>
    <w:rsid w:val="78D53786"/>
    <w:rsid w:val="78F15F3A"/>
    <w:rsid w:val="7A7B1512"/>
    <w:rsid w:val="7AC6715B"/>
    <w:rsid w:val="7AE72AE7"/>
    <w:rsid w:val="7AFB70C7"/>
    <w:rsid w:val="7C904E6A"/>
    <w:rsid w:val="7E6F2739"/>
    <w:rsid w:val="7E857F9E"/>
    <w:rsid w:val="7EB2210B"/>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rules v:ext="edit">
        <o:r id="V:Rule1" type="connector" idref="#_x0000_s2057"/>
        <o:r id="V:Rule2" type="connector" idref="#_x0000_s2077"/>
        <o:r id="V:Rule3" type="connector" idref="#_x0000_s2084"/>
        <o:r id="V:Rule4" type="connector" idref="#_x0000_s2094"/>
        <o:r id="V:Rule5" type="connector" idref="#_x0000_s2101"/>
        <o:r id="V:Rule6" type="connector" idref="#_x0000_s2102"/>
        <o:r id="V:Rule7" type="connector" idref="#_x0000_s2109"/>
        <o:r id="V:Rule8" type="connector" idref="#_x0000_s2115"/>
        <o:r id="V:Rule9" type="connector" idref="#_x0000_s2120"/>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iPriority="99" w:name="footnote text"/>
    <w:lsdException w:qFormat="1" w:uiPriority="0" w:semiHidden="0"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qFormat="1" w:uiPriority="99"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uiPriority="99" w:name="Salutation"/>
    <w:lsdException w:qFormat="1" w:unhideWhenUsed="0" w:uiPriority="0" w:semiHidden="0" w:name="Date"/>
    <w:lsdException w:qFormat="1" w:uiPriority="0" w:semiHidden="0" w:name="Body Text First Indent"/>
    <w:lsdException w:qFormat="1" w:uiPriority="99" w:name="Body Text First Indent 2"/>
    <w:lsdException w:qFormat="1" w:unhideWhenUsed="0" w:uiPriority="0" w:semiHidden="0" w:name="Note Heading"/>
    <w:lsdException w:uiPriority="99" w:name="Body Text 2"/>
    <w:lsdException w:uiPriority="99" w:name="Body Text 3"/>
    <w:lsdException w:qFormat="1" w:unhideWhenUsed="0" w:uiPriority="0" w:semiHidden="0" w:name="Body Text Indent 2"/>
    <w:lsdException w:uiPriority="99"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iPriority="0"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qFormat="1" w:unhideWhenUsed="0" w:uiPriority="0" w:semiHidden="0"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黑体"/>
      <w:kern w:val="2"/>
      <w:sz w:val="24"/>
      <w:szCs w:val="22"/>
      <w:lang w:val="en-US" w:eastAsia="zh-CN" w:bidi="ar-SA"/>
    </w:rPr>
  </w:style>
  <w:style w:type="paragraph" w:styleId="4">
    <w:name w:val="heading 1"/>
    <w:basedOn w:val="1"/>
    <w:next w:val="1"/>
    <w:link w:val="48"/>
    <w:qFormat/>
    <w:uiPriority w:val="0"/>
    <w:pPr>
      <w:keepNext/>
      <w:keepLines/>
      <w:spacing w:line="360" w:lineRule="auto"/>
      <w:outlineLvl w:val="0"/>
    </w:pPr>
    <w:rPr>
      <w:rFonts w:ascii="Times New Roman" w:hAnsi="Times New Roman" w:cs="Times New Roman"/>
      <w:b/>
      <w:kern w:val="44"/>
      <w:sz w:val="36"/>
      <w:szCs w:val="24"/>
    </w:rPr>
  </w:style>
  <w:style w:type="paragraph" w:styleId="5">
    <w:name w:val="heading 2"/>
    <w:basedOn w:val="1"/>
    <w:next w:val="1"/>
    <w:link w:val="49"/>
    <w:qFormat/>
    <w:uiPriority w:val="0"/>
    <w:pPr>
      <w:keepNext/>
      <w:keepLines/>
      <w:spacing w:line="360" w:lineRule="auto"/>
      <w:outlineLvl w:val="1"/>
    </w:pPr>
    <w:rPr>
      <w:rFonts w:ascii="Times New Roman" w:hAnsi="Times New Roman" w:cs="Times New Roman"/>
      <w:b/>
      <w:sz w:val="32"/>
      <w:szCs w:val="20"/>
    </w:rPr>
  </w:style>
  <w:style w:type="paragraph" w:styleId="6">
    <w:name w:val="heading 3"/>
    <w:next w:val="1"/>
    <w:link w:val="50"/>
    <w:qFormat/>
    <w:uiPriority w:val="0"/>
    <w:pPr>
      <w:keepNext/>
      <w:keepLines/>
      <w:outlineLvl w:val="2"/>
    </w:pPr>
    <w:rPr>
      <w:rFonts w:ascii="Times New Roman" w:hAnsi="Times New Roman" w:eastAsia="宋体" w:cs="Times New Roman"/>
      <w:b/>
      <w:bCs/>
      <w:kern w:val="10"/>
      <w:sz w:val="30"/>
      <w:szCs w:val="32"/>
      <w:lang w:val="en-US" w:eastAsia="zh-CN" w:bidi="ar-SA"/>
    </w:rPr>
  </w:style>
  <w:style w:type="paragraph" w:styleId="7">
    <w:name w:val="heading 4"/>
    <w:basedOn w:val="1"/>
    <w:next w:val="1"/>
    <w:link w:val="51"/>
    <w:qFormat/>
    <w:uiPriority w:val="0"/>
    <w:pPr>
      <w:keepNext/>
      <w:keepLines/>
      <w:spacing w:line="440" w:lineRule="exact"/>
      <w:outlineLvl w:val="3"/>
    </w:pPr>
    <w:rPr>
      <w:rFonts w:ascii="Times New Roman" w:hAnsi="Times New Roman" w:cs="Times New Roman"/>
      <w:b/>
      <w:bCs/>
      <w:szCs w:val="24"/>
    </w:rPr>
  </w:style>
  <w:style w:type="paragraph" w:styleId="8">
    <w:name w:val="heading 5"/>
    <w:basedOn w:val="1"/>
    <w:next w:val="1"/>
    <w:link w:val="185"/>
    <w:unhideWhenUsed/>
    <w:qFormat/>
    <w:uiPriority w:val="9"/>
    <w:pPr>
      <w:keepNext/>
      <w:keepLines/>
      <w:spacing w:line="360" w:lineRule="auto"/>
      <w:jc w:val="center"/>
      <w:outlineLvl w:val="4"/>
    </w:pPr>
    <w:rPr>
      <w:rFonts w:ascii="Times New Roman" w:hAnsi="Times New Roman" w:eastAsia="仿宋_GB2312"/>
      <w:b/>
      <w:sz w:val="44"/>
    </w:rPr>
  </w:style>
  <w:style w:type="character" w:default="1" w:styleId="39">
    <w:name w:val="Default Paragraph Font"/>
    <w:unhideWhenUsed/>
    <w:qFormat/>
    <w:uiPriority w:val="1"/>
  </w:style>
  <w:style w:type="table" w:default="1" w:styleId="37">
    <w:name w:val="Normal Table"/>
    <w:semiHidden/>
    <w:unhideWhenUsed/>
    <w:qFormat/>
    <w:uiPriority w:val="99"/>
    <w:tblPr>
      <w:tblCellMar>
        <w:top w:w="0" w:type="dxa"/>
        <w:left w:w="108" w:type="dxa"/>
        <w:bottom w:w="0" w:type="dxa"/>
        <w:right w:w="108" w:type="dxa"/>
      </w:tblCellMar>
    </w:tblPr>
  </w:style>
  <w:style w:type="paragraph" w:styleId="2">
    <w:name w:val="Body Text First Indent"/>
    <w:basedOn w:val="3"/>
    <w:link w:val="179"/>
    <w:unhideWhenUsed/>
    <w:qFormat/>
    <w:uiPriority w:val="0"/>
    <w:pPr>
      <w:ind w:firstLine="420" w:firstLineChars="100"/>
    </w:pPr>
    <w:rPr>
      <w:rFonts w:ascii="Calibri" w:hAnsi="Calibri" w:cs="黑体"/>
      <w:szCs w:val="22"/>
    </w:rPr>
  </w:style>
  <w:style w:type="paragraph" w:styleId="3">
    <w:name w:val="Body Text"/>
    <w:basedOn w:val="1"/>
    <w:link w:val="55"/>
    <w:qFormat/>
    <w:uiPriority w:val="0"/>
    <w:pPr>
      <w:spacing w:after="120"/>
    </w:pPr>
    <w:rPr>
      <w:rFonts w:ascii="Times New Roman" w:hAnsi="Times New Roman" w:cs="Times New Roman"/>
      <w:szCs w:val="24"/>
    </w:rPr>
  </w:style>
  <w:style w:type="paragraph" w:styleId="9">
    <w:name w:val="toc 7"/>
    <w:basedOn w:val="1"/>
    <w:next w:val="1"/>
    <w:qFormat/>
    <w:uiPriority w:val="0"/>
    <w:pPr>
      <w:ind w:left="2520" w:leftChars="1200"/>
    </w:pPr>
  </w:style>
  <w:style w:type="paragraph" w:styleId="10">
    <w:name w:val="Note Heading"/>
    <w:basedOn w:val="1"/>
    <w:next w:val="1"/>
    <w:link w:val="52"/>
    <w:qFormat/>
    <w:uiPriority w:val="0"/>
    <w:pPr>
      <w:jc w:val="left"/>
    </w:pPr>
    <w:rPr>
      <w:rFonts w:ascii="黑体" w:hAnsi="黑体" w:eastAsia="黑体"/>
      <w:b/>
      <w:sz w:val="21"/>
      <w:szCs w:val="20"/>
    </w:rPr>
  </w:style>
  <w:style w:type="paragraph" w:styleId="11">
    <w:name w:val="Normal Indent"/>
    <w:basedOn w:val="1"/>
    <w:qFormat/>
    <w:uiPriority w:val="0"/>
    <w:pPr>
      <w:spacing w:line="360" w:lineRule="auto"/>
      <w:ind w:firstLine="200" w:firstLineChars="200"/>
    </w:pPr>
    <w:rPr>
      <w:rFonts w:ascii="宋体" w:hAnsi="Times New Roman"/>
      <w:spacing w:val="14"/>
    </w:rPr>
  </w:style>
  <w:style w:type="paragraph" w:styleId="12">
    <w:name w:val="Document Map"/>
    <w:basedOn w:val="1"/>
    <w:link w:val="53"/>
    <w:unhideWhenUsed/>
    <w:qFormat/>
    <w:uiPriority w:val="0"/>
    <w:rPr>
      <w:rFonts w:ascii="宋体"/>
      <w:sz w:val="18"/>
      <w:szCs w:val="18"/>
    </w:rPr>
  </w:style>
  <w:style w:type="paragraph" w:styleId="13">
    <w:name w:val="annotation text"/>
    <w:basedOn w:val="1"/>
    <w:link w:val="54"/>
    <w:unhideWhenUsed/>
    <w:qFormat/>
    <w:uiPriority w:val="0"/>
    <w:pPr>
      <w:jc w:val="left"/>
    </w:pPr>
  </w:style>
  <w:style w:type="paragraph" w:styleId="14">
    <w:name w:val="Body Text Indent"/>
    <w:basedOn w:val="1"/>
    <w:link w:val="56"/>
    <w:semiHidden/>
    <w:unhideWhenUsed/>
    <w:qFormat/>
    <w:uiPriority w:val="99"/>
    <w:pPr>
      <w:spacing w:after="120"/>
      <w:ind w:left="420" w:leftChars="200"/>
    </w:pPr>
  </w:style>
  <w:style w:type="paragraph" w:styleId="15">
    <w:name w:val="List 2"/>
    <w:basedOn w:val="1"/>
    <w:unhideWhenUsed/>
    <w:qFormat/>
    <w:uiPriority w:val="99"/>
    <w:pPr>
      <w:ind w:left="100" w:leftChars="200" w:hanging="200" w:hangingChars="200"/>
      <w:contextualSpacing/>
    </w:pPr>
    <w:rPr>
      <w:rFonts w:ascii="Times New Roman" w:hAnsi="Times New Roman" w:cs="Times New Roman"/>
      <w:sz w:val="21"/>
      <w:szCs w:val="24"/>
    </w:rPr>
  </w:style>
  <w:style w:type="paragraph" w:styleId="16">
    <w:name w:val="Block Text"/>
    <w:basedOn w:val="1"/>
    <w:qFormat/>
    <w:uiPriority w:val="0"/>
    <w:pPr>
      <w:spacing w:line="360" w:lineRule="auto"/>
      <w:ind w:left="-181" w:leftChars="-86" w:right="105" w:rightChars="50" w:firstLine="720" w:firstLineChars="300"/>
    </w:pPr>
    <w:rPr>
      <w:rFonts w:ascii="Times New Roman" w:hAnsi="Times New Roman" w:eastAsia="仿宋_GB2312"/>
    </w:rPr>
  </w:style>
  <w:style w:type="paragraph" w:styleId="17">
    <w:name w:val="toc 5"/>
    <w:basedOn w:val="1"/>
    <w:next w:val="1"/>
    <w:qFormat/>
    <w:uiPriority w:val="0"/>
    <w:pPr>
      <w:ind w:left="1680" w:leftChars="800"/>
    </w:pPr>
  </w:style>
  <w:style w:type="paragraph" w:styleId="18">
    <w:name w:val="toc 3"/>
    <w:basedOn w:val="1"/>
    <w:next w:val="1"/>
    <w:qFormat/>
    <w:uiPriority w:val="0"/>
    <w:pPr>
      <w:ind w:left="840" w:leftChars="400"/>
    </w:pPr>
  </w:style>
  <w:style w:type="paragraph" w:styleId="19">
    <w:name w:val="Plain Text"/>
    <w:basedOn w:val="1"/>
    <w:link w:val="57"/>
    <w:qFormat/>
    <w:uiPriority w:val="0"/>
    <w:rPr>
      <w:rFonts w:ascii="宋体" w:hAnsi="Courier New"/>
      <w:snapToGrid w:val="0"/>
      <w:sz w:val="28"/>
    </w:rPr>
  </w:style>
  <w:style w:type="paragraph" w:styleId="20">
    <w:name w:val="toc 8"/>
    <w:basedOn w:val="1"/>
    <w:next w:val="1"/>
    <w:qFormat/>
    <w:uiPriority w:val="0"/>
    <w:pPr>
      <w:ind w:left="2940" w:leftChars="1400"/>
    </w:pPr>
  </w:style>
  <w:style w:type="paragraph" w:styleId="21">
    <w:name w:val="Date"/>
    <w:basedOn w:val="1"/>
    <w:next w:val="1"/>
    <w:link w:val="58"/>
    <w:qFormat/>
    <w:uiPriority w:val="0"/>
    <w:pPr>
      <w:ind w:left="100" w:leftChars="2500"/>
    </w:pPr>
  </w:style>
  <w:style w:type="paragraph" w:styleId="22">
    <w:name w:val="Body Text Indent 2"/>
    <w:basedOn w:val="1"/>
    <w:link w:val="59"/>
    <w:qFormat/>
    <w:uiPriority w:val="0"/>
    <w:pPr>
      <w:ind w:left="180" w:firstLine="450"/>
    </w:pPr>
  </w:style>
  <w:style w:type="paragraph" w:styleId="23">
    <w:name w:val="Balloon Text"/>
    <w:basedOn w:val="1"/>
    <w:link w:val="60"/>
    <w:qFormat/>
    <w:uiPriority w:val="0"/>
    <w:rPr>
      <w:rFonts w:ascii="Times New Roman" w:hAnsi="Times New Roman" w:cs="Times New Roman"/>
      <w:sz w:val="18"/>
      <w:szCs w:val="18"/>
    </w:rPr>
  </w:style>
  <w:style w:type="paragraph" w:styleId="24">
    <w:name w:val="footer"/>
    <w:basedOn w:val="1"/>
    <w:link w:val="61"/>
    <w:qFormat/>
    <w:uiPriority w:val="0"/>
    <w:pPr>
      <w:pBdr>
        <w:top w:val="single" w:color="auto" w:sz="4" w:space="1"/>
      </w:pBdr>
      <w:tabs>
        <w:tab w:val="center" w:pos="4153"/>
        <w:tab w:val="right" w:pos="8306"/>
      </w:tabs>
      <w:snapToGrid w:val="0"/>
      <w:jc w:val="left"/>
    </w:pPr>
    <w:rPr>
      <w:rFonts w:ascii="Times New Roman" w:hAnsi="Times New Roman" w:cs="Times New Roman"/>
      <w:sz w:val="18"/>
      <w:szCs w:val="18"/>
    </w:rPr>
  </w:style>
  <w:style w:type="paragraph" w:styleId="25">
    <w:name w:val="header"/>
    <w:basedOn w:val="1"/>
    <w:link w:val="62"/>
    <w:qFormat/>
    <w:uiPriority w:val="0"/>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paragraph" w:styleId="26">
    <w:name w:val="toc 1"/>
    <w:basedOn w:val="1"/>
    <w:next w:val="1"/>
    <w:qFormat/>
    <w:uiPriority w:val="39"/>
    <w:rPr>
      <w:rFonts w:ascii="Times New Roman" w:hAnsi="Times New Roman"/>
      <w:sz w:val="28"/>
    </w:rPr>
  </w:style>
  <w:style w:type="paragraph" w:styleId="27">
    <w:name w:val="toc 4"/>
    <w:basedOn w:val="1"/>
    <w:next w:val="1"/>
    <w:qFormat/>
    <w:uiPriority w:val="0"/>
    <w:pPr>
      <w:ind w:left="1260" w:leftChars="600"/>
    </w:pPr>
  </w:style>
  <w:style w:type="paragraph" w:styleId="28">
    <w:name w:val="Subtitle"/>
    <w:basedOn w:val="19"/>
    <w:next w:val="1"/>
    <w:link w:val="63"/>
    <w:qFormat/>
    <w:uiPriority w:val="99"/>
    <w:pPr>
      <w:jc w:val="center"/>
    </w:pPr>
    <w:rPr>
      <w:rFonts w:ascii="Times New Roman" w:hAnsi="Times New Roman" w:cs="Times New Roman"/>
      <w:bCs/>
      <w:snapToGrid/>
      <w:kern w:val="28"/>
      <w:sz w:val="21"/>
      <w:szCs w:val="32"/>
    </w:rPr>
  </w:style>
  <w:style w:type="paragraph" w:styleId="29">
    <w:name w:val="footnote text"/>
    <w:basedOn w:val="1"/>
    <w:link w:val="64"/>
    <w:semiHidden/>
    <w:unhideWhenUsed/>
    <w:qFormat/>
    <w:uiPriority w:val="99"/>
    <w:pPr>
      <w:snapToGrid w:val="0"/>
      <w:jc w:val="left"/>
    </w:pPr>
    <w:rPr>
      <w:sz w:val="18"/>
      <w:szCs w:val="18"/>
    </w:rPr>
  </w:style>
  <w:style w:type="paragraph" w:styleId="30">
    <w:name w:val="toc 6"/>
    <w:basedOn w:val="1"/>
    <w:next w:val="1"/>
    <w:qFormat/>
    <w:uiPriority w:val="0"/>
    <w:pPr>
      <w:ind w:left="2100" w:leftChars="1000"/>
    </w:pPr>
  </w:style>
  <w:style w:type="paragraph" w:styleId="31">
    <w:name w:val="toc 2"/>
    <w:basedOn w:val="1"/>
    <w:next w:val="1"/>
    <w:qFormat/>
    <w:uiPriority w:val="39"/>
    <w:pPr>
      <w:ind w:left="420" w:leftChars="200"/>
    </w:pPr>
  </w:style>
  <w:style w:type="paragraph" w:styleId="32">
    <w:name w:val="toc 9"/>
    <w:basedOn w:val="1"/>
    <w:next w:val="1"/>
    <w:qFormat/>
    <w:uiPriority w:val="0"/>
    <w:pPr>
      <w:ind w:left="3360" w:leftChars="1600"/>
    </w:pPr>
  </w:style>
  <w:style w:type="paragraph" w:styleId="33">
    <w:name w:val="Normal (Web)"/>
    <w:basedOn w:val="1"/>
    <w:qFormat/>
    <w:uiPriority w:val="0"/>
    <w:pPr>
      <w:widowControl/>
      <w:spacing w:before="100" w:beforeAutospacing="1" w:after="100" w:afterAutospacing="1"/>
      <w:jc w:val="left"/>
    </w:pPr>
    <w:rPr>
      <w:rFonts w:ascii="宋体" w:hAnsi="宋体" w:cs="宋体"/>
      <w:kern w:val="0"/>
      <w:szCs w:val="24"/>
    </w:rPr>
  </w:style>
  <w:style w:type="paragraph" w:styleId="34">
    <w:name w:val="Title"/>
    <w:basedOn w:val="1"/>
    <w:next w:val="1"/>
    <w:link w:val="65"/>
    <w:qFormat/>
    <w:uiPriority w:val="0"/>
    <w:pPr>
      <w:spacing w:before="240" w:after="60"/>
      <w:jc w:val="center"/>
      <w:outlineLvl w:val="0"/>
    </w:pPr>
    <w:rPr>
      <w:rFonts w:ascii="Calibri Light" w:hAnsi="Calibri Light"/>
      <w:b/>
      <w:bCs/>
      <w:sz w:val="32"/>
      <w:szCs w:val="32"/>
    </w:rPr>
  </w:style>
  <w:style w:type="paragraph" w:styleId="35">
    <w:name w:val="annotation subject"/>
    <w:basedOn w:val="13"/>
    <w:next w:val="13"/>
    <w:link w:val="66"/>
    <w:qFormat/>
    <w:uiPriority w:val="0"/>
    <w:pPr>
      <w:spacing w:line="360" w:lineRule="auto"/>
      <w:jc w:val="center"/>
    </w:pPr>
    <w:rPr>
      <w:rFonts w:ascii="Times New Roman" w:hAnsi="Times New Roman" w:eastAsia="黑体"/>
      <w:b/>
      <w:color w:val="000000"/>
      <w:sz w:val="21"/>
    </w:rPr>
  </w:style>
  <w:style w:type="paragraph" w:styleId="36">
    <w:name w:val="Body Text First Indent 2"/>
    <w:basedOn w:val="14"/>
    <w:link w:val="67"/>
    <w:semiHidden/>
    <w:unhideWhenUsed/>
    <w:qFormat/>
    <w:uiPriority w:val="99"/>
    <w:pPr>
      <w:ind w:firstLine="420" w:firstLineChars="200"/>
    </w:pPr>
  </w:style>
  <w:style w:type="table" w:styleId="38">
    <w:name w:val="Table Grid"/>
    <w:basedOn w:val="37"/>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40">
    <w:name w:val="Strong"/>
    <w:basedOn w:val="39"/>
    <w:qFormat/>
    <w:uiPriority w:val="0"/>
    <w:rPr>
      <w:b/>
    </w:rPr>
  </w:style>
  <w:style w:type="character" w:styleId="41">
    <w:name w:val="page number"/>
    <w:basedOn w:val="39"/>
    <w:qFormat/>
    <w:uiPriority w:val="0"/>
  </w:style>
  <w:style w:type="character" w:styleId="42">
    <w:name w:val="FollowedHyperlink"/>
    <w:basedOn w:val="39"/>
    <w:qFormat/>
    <w:uiPriority w:val="0"/>
    <w:rPr>
      <w:color w:val="771CAA"/>
      <w:u w:val="none"/>
    </w:rPr>
  </w:style>
  <w:style w:type="character" w:styleId="43">
    <w:name w:val="Emphasis"/>
    <w:basedOn w:val="39"/>
    <w:qFormat/>
    <w:uiPriority w:val="0"/>
    <w:rPr>
      <w:color w:val="F73131"/>
    </w:rPr>
  </w:style>
  <w:style w:type="character" w:styleId="44">
    <w:name w:val="Hyperlink"/>
    <w:basedOn w:val="39"/>
    <w:qFormat/>
    <w:uiPriority w:val="0"/>
    <w:rPr>
      <w:color w:val="0000FF"/>
      <w:u w:val="single"/>
    </w:rPr>
  </w:style>
  <w:style w:type="character" w:styleId="45">
    <w:name w:val="annotation reference"/>
    <w:basedOn w:val="39"/>
    <w:unhideWhenUsed/>
    <w:qFormat/>
    <w:uiPriority w:val="0"/>
    <w:rPr>
      <w:sz w:val="21"/>
      <w:szCs w:val="21"/>
    </w:rPr>
  </w:style>
  <w:style w:type="character" w:styleId="46">
    <w:name w:val="HTML Cite"/>
    <w:basedOn w:val="39"/>
    <w:qFormat/>
    <w:uiPriority w:val="0"/>
    <w:rPr>
      <w:color w:val="008000"/>
    </w:rPr>
  </w:style>
  <w:style w:type="character" w:styleId="47">
    <w:name w:val="footnote reference"/>
    <w:basedOn w:val="39"/>
    <w:semiHidden/>
    <w:unhideWhenUsed/>
    <w:qFormat/>
    <w:uiPriority w:val="99"/>
    <w:rPr>
      <w:vertAlign w:val="superscript"/>
    </w:rPr>
  </w:style>
  <w:style w:type="character" w:customStyle="1" w:styleId="48">
    <w:name w:val="标题 1 Char"/>
    <w:basedOn w:val="39"/>
    <w:link w:val="4"/>
    <w:qFormat/>
    <w:uiPriority w:val="0"/>
    <w:rPr>
      <w:rFonts w:ascii="Times New Roman" w:hAnsi="Times New Roman" w:eastAsia="宋体" w:cs="Times New Roman"/>
      <w:b/>
      <w:kern w:val="44"/>
      <w:sz w:val="36"/>
      <w:szCs w:val="24"/>
    </w:rPr>
  </w:style>
  <w:style w:type="character" w:customStyle="1" w:styleId="49">
    <w:name w:val="标题 2 Char"/>
    <w:basedOn w:val="39"/>
    <w:link w:val="5"/>
    <w:qFormat/>
    <w:uiPriority w:val="0"/>
    <w:rPr>
      <w:rFonts w:ascii="Times New Roman" w:hAnsi="Times New Roman" w:eastAsia="宋体" w:cs="Times New Roman"/>
      <w:b/>
      <w:sz w:val="32"/>
      <w:szCs w:val="20"/>
    </w:rPr>
  </w:style>
  <w:style w:type="character" w:customStyle="1" w:styleId="50">
    <w:name w:val="标题 3 Char"/>
    <w:basedOn w:val="39"/>
    <w:link w:val="6"/>
    <w:qFormat/>
    <w:uiPriority w:val="0"/>
    <w:rPr>
      <w:rFonts w:ascii="Times New Roman" w:hAnsi="Times New Roman" w:eastAsia="宋体" w:cs="Times New Roman"/>
      <w:b/>
      <w:bCs/>
      <w:kern w:val="10"/>
      <w:sz w:val="30"/>
      <w:szCs w:val="32"/>
    </w:rPr>
  </w:style>
  <w:style w:type="character" w:customStyle="1" w:styleId="51">
    <w:name w:val="标题 4 Char"/>
    <w:basedOn w:val="39"/>
    <w:link w:val="7"/>
    <w:qFormat/>
    <w:uiPriority w:val="0"/>
    <w:rPr>
      <w:rFonts w:ascii="Times New Roman" w:hAnsi="Times New Roman" w:eastAsia="宋体" w:cs="Times New Roman"/>
      <w:b/>
      <w:bCs/>
      <w:sz w:val="24"/>
      <w:szCs w:val="24"/>
    </w:rPr>
  </w:style>
  <w:style w:type="character" w:customStyle="1" w:styleId="52">
    <w:name w:val="注释标题 Char"/>
    <w:basedOn w:val="39"/>
    <w:link w:val="10"/>
    <w:qFormat/>
    <w:uiPriority w:val="0"/>
    <w:rPr>
      <w:rFonts w:ascii="黑体" w:hAnsi="黑体" w:eastAsia="黑体" w:cs="黑体"/>
      <w:b/>
      <w:szCs w:val="20"/>
    </w:rPr>
  </w:style>
  <w:style w:type="character" w:customStyle="1" w:styleId="53">
    <w:name w:val="文档结构图 Char"/>
    <w:basedOn w:val="39"/>
    <w:link w:val="12"/>
    <w:qFormat/>
    <w:uiPriority w:val="0"/>
    <w:rPr>
      <w:rFonts w:ascii="宋体" w:hAnsi="Calibri" w:eastAsia="宋体" w:cs="黑体"/>
      <w:sz w:val="18"/>
      <w:szCs w:val="18"/>
    </w:rPr>
  </w:style>
  <w:style w:type="character" w:customStyle="1" w:styleId="54">
    <w:name w:val="批注文字 Char"/>
    <w:basedOn w:val="39"/>
    <w:link w:val="13"/>
    <w:qFormat/>
    <w:uiPriority w:val="0"/>
    <w:rPr>
      <w:rFonts w:ascii="Calibri" w:hAnsi="Calibri" w:eastAsia="宋体" w:cs="黑体"/>
      <w:sz w:val="24"/>
    </w:rPr>
  </w:style>
  <w:style w:type="character" w:customStyle="1" w:styleId="55">
    <w:name w:val="正文文本 Char"/>
    <w:basedOn w:val="39"/>
    <w:link w:val="3"/>
    <w:qFormat/>
    <w:uiPriority w:val="0"/>
    <w:rPr>
      <w:rFonts w:ascii="Times New Roman" w:hAnsi="Times New Roman" w:eastAsia="宋体" w:cs="Times New Roman"/>
      <w:sz w:val="24"/>
      <w:szCs w:val="24"/>
    </w:rPr>
  </w:style>
  <w:style w:type="character" w:customStyle="1" w:styleId="56">
    <w:name w:val="正文文本缩进 Char1"/>
    <w:basedOn w:val="39"/>
    <w:link w:val="14"/>
    <w:semiHidden/>
    <w:qFormat/>
    <w:uiPriority w:val="99"/>
    <w:rPr>
      <w:rFonts w:ascii="Calibri" w:hAnsi="Calibri" w:eastAsia="宋体" w:cs="黑体"/>
      <w:sz w:val="24"/>
    </w:rPr>
  </w:style>
  <w:style w:type="character" w:customStyle="1" w:styleId="57">
    <w:name w:val="纯文本 Char1"/>
    <w:basedOn w:val="39"/>
    <w:link w:val="19"/>
    <w:qFormat/>
    <w:uiPriority w:val="0"/>
    <w:rPr>
      <w:rFonts w:ascii="宋体" w:hAnsi="Courier New" w:eastAsia="宋体" w:cs="黑体"/>
      <w:snapToGrid w:val="0"/>
      <w:sz w:val="28"/>
    </w:rPr>
  </w:style>
  <w:style w:type="character" w:customStyle="1" w:styleId="58">
    <w:name w:val="日期 Char1"/>
    <w:basedOn w:val="39"/>
    <w:link w:val="21"/>
    <w:qFormat/>
    <w:uiPriority w:val="0"/>
    <w:rPr>
      <w:rFonts w:ascii="Calibri" w:hAnsi="Calibri" w:eastAsia="宋体" w:cs="黑体"/>
      <w:sz w:val="24"/>
    </w:rPr>
  </w:style>
  <w:style w:type="character" w:customStyle="1" w:styleId="59">
    <w:name w:val="正文文本缩进 2 Char1"/>
    <w:basedOn w:val="39"/>
    <w:link w:val="22"/>
    <w:qFormat/>
    <w:uiPriority w:val="0"/>
    <w:rPr>
      <w:rFonts w:ascii="Calibri" w:hAnsi="Calibri" w:eastAsia="宋体" w:cs="黑体"/>
      <w:sz w:val="24"/>
    </w:rPr>
  </w:style>
  <w:style w:type="character" w:customStyle="1" w:styleId="60">
    <w:name w:val="批注框文本 Char"/>
    <w:basedOn w:val="39"/>
    <w:link w:val="23"/>
    <w:qFormat/>
    <w:uiPriority w:val="0"/>
    <w:rPr>
      <w:rFonts w:ascii="Times New Roman" w:hAnsi="Times New Roman" w:eastAsia="宋体" w:cs="Times New Roman"/>
      <w:sz w:val="18"/>
      <w:szCs w:val="18"/>
    </w:rPr>
  </w:style>
  <w:style w:type="character" w:customStyle="1" w:styleId="61">
    <w:name w:val="页脚 Char"/>
    <w:basedOn w:val="39"/>
    <w:link w:val="24"/>
    <w:qFormat/>
    <w:uiPriority w:val="0"/>
    <w:rPr>
      <w:rFonts w:ascii="Times New Roman" w:hAnsi="Times New Roman" w:eastAsia="宋体" w:cs="Times New Roman"/>
      <w:sz w:val="18"/>
      <w:szCs w:val="18"/>
    </w:rPr>
  </w:style>
  <w:style w:type="character" w:customStyle="1" w:styleId="62">
    <w:name w:val="页眉 Char"/>
    <w:basedOn w:val="39"/>
    <w:link w:val="25"/>
    <w:qFormat/>
    <w:uiPriority w:val="0"/>
    <w:rPr>
      <w:sz w:val="18"/>
      <w:szCs w:val="18"/>
    </w:rPr>
  </w:style>
  <w:style w:type="character" w:customStyle="1" w:styleId="63">
    <w:name w:val="副标题 Char"/>
    <w:basedOn w:val="39"/>
    <w:link w:val="28"/>
    <w:qFormat/>
    <w:uiPriority w:val="0"/>
    <w:rPr>
      <w:rFonts w:ascii="Times New Roman" w:hAnsi="Times New Roman" w:eastAsia="宋体" w:cs="Times New Roman"/>
      <w:bCs/>
      <w:kern w:val="28"/>
      <w:szCs w:val="32"/>
    </w:rPr>
  </w:style>
  <w:style w:type="character" w:customStyle="1" w:styleId="64">
    <w:name w:val="脚注文本 Char"/>
    <w:basedOn w:val="39"/>
    <w:link w:val="29"/>
    <w:semiHidden/>
    <w:qFormat/>
    <w:uiPriority w:val="99"/>
    <w:rPr>
      <w:rFonts w:ascii="Calibri" w:hAnsi="Calibri" w:eastAsia="宋体" w:cs="黑体"/>
      <w:sz w:val="18"/>
      <w:szCs w:val="18"/>
    </w:rPr>
  </w:style>
  <w:style w:type="character" w:customStyle="1" w:styleId="65">
    <w:name w:val="标题 Char"/>
    <w:basedOn w:val="39"/>
    <w:link w:val="34"/>
    <w:qFormat/>
    <w:uiPriority w:val="0"/>
    <w:rPr>
      <w:rFonts w:ascii="Calibri Light" w:hAnsi="Calibri Light" w:eastAsia="宋体" w:cs="黑体"/>
      <w:b/>
      <w:bCs/>
      <w:sz w:val="32"/>
      <w:szCs w:val="32"/>
    </w:rPr>
  </w:style>
  <w:style w:type="character" w:customStyle="1" w:styleId="66">
    <w:name w:val="批注主题 Char"/>
    <w:basedOn w:val="54"/>
    <w:link w:val="35"/>
    <w:qFormat/>
    <w:uiPriority w:val="0"/>
    <w:rPr>
      <w:rFonts w:ascii="Times New Roman" w:hAnsi="Times New Roman" w:eastAsia="黑体" w:cs="黑体"/>
      <w:b/>
      <w:color w:val="000000"/>
      <w:sz w:val="24"/>
    </w:rPr>
  </w:style>
  <w:style w:type="character" w:customStyle="1" w:styleId="67">
    <w:name w:val="正文首行缩进 2 Char"/>
    <w:basedOn w:val="56"/>
    <w:link w:val="36"/>
    <w:semiHidden/>
    <w:qFormat/>
    <w:uiPriority w:val="99"/>
    <w:rPr>
      <w:rFonts w:ascii="Calibri" w:hAnsi="Calibri" w:eastAsia="宋体" w:cs="黑体"/>
      <w:sz w:val="24"/>
    </w:rPr>
  </w:style>
  <w:style w:type="character" w:customStyle="1" w:styleId="68">
    <w:name w:val="页脚 Char1"/>
    <w:basedOn w:val="39"/>
    <w:semiHidden/>
    <w:qFormat/>
    <w:uiPriority w:val="99"/>
    <w:rPr>
      <w:rFonts w:ascii="Calibri" w:hAnsi="Calibri" w:eastAsia="宋体" w:cs="黑体"/>
      <w:sz w:val="18"/>
      <w:szCs w:val="18"/>
    </w:rPr>
  </w:style>
  <w:style w:type="character" w:customStyle="1" w:styleId="69">
    <w:name w:val="正文文本 Char1"/>
    <w:basedOn w:val="39"/>
    <w:semiHidden/>
    <w:qFormat/>
    <w:uiPriority w:val="99"/>
    <w:rPr>
      <w:rFonts w:ascii="Calibri" w:hAnsi="Calibri" w:eastAsia="宋体" w:cs="黑体"/>
      <w:sz w:val="24"/>
    </w:rPr>
  </w:style>
  <w:style w:type="character" w:customStyle="1" w:styleId="70">
    <w:name w:val="页眉 Char1"/>
    <w:basedOn w:val="39"/>
    <w:semiHidden/>
    <w:qFormat/>
    <w:uiPriority w:val="99"/>
    <w:rPr>
      <w:rFonts w:ascii="Calibri" w:hAnsi="Calibri" w:eastAsia="宋体" w:cs="黑体"/>
      <w:sz w:val="18"/>
      <w:szCs w:val="18"/>
    </w:rPr>
  </w:style>
  <w:style w:type="character" w:customStyle="1" w:styleId="71">
    <w:name w:val="_Style 3"/>
    <w:qFormat/>
    <w:uiPriority w:val="19"/>
    <w:rPr>
      <w:rFonts w:ascii="Times New Roman" w:hAnsi="Times New Roman" w:eastAsia="宋体"/>
      <w:iCs/>
      <w:color w:val="404040"/>
      <w:sz w:val="21"/>
    </w:rPr>
  </w:style>
  <w:style w:type="character" w:customStyle="1" w:styleId="72">
    <w:name w:val="样式 样式 小四 段前: 7.8 磅 段后: 7.8 磅 行距: 1.5 倍行距 + 首行缩进:  2 字符 Char Char"/>
    <w:basedOn w:val="39"/>
    <w:link w:val="73"/>
    <w:qFormat/>
    <w:uiPriority w:val="0"/>
    <w:rPr>
      <w:color w:val="000000"/>
      <w:sz w:val="24"/>
      <w:szCs w:val="24"/>
    </w:rPr>
  </w:style>
  <w:style w:type="paragraph" w:customStyle="1" w:styleId="73">
    <w:name w:val="样式 样式 小四 段前: 7.8 磅 段后: 7.8 磅 行距: 1.5 倍行距 + 首行缩进:  2 字符"/>
    <w:basedOn w:val="1"/>
    <w:link w:val="72"/>
    <w:qFormat/>
    <w:uiPriority w:val="0"/>
    <w:pPr>
      <w:spacing w:line="360" w:lineRule="auto"/>
      <w:ind w:firstLine="480" w:firstLineChars="200"/>
    </w:pPr>
    <w:rPr>
      <w:rFonts w:asciiTheme="minorHAnsi" w:hAnsiTheme="minorHAnsi" w:eastAsiaTheme="minorEastAsia" w:cstheme="minorBidi"/>
      <w:color w:val="000000"/>
      <w:szCs w:val="24"/>
    </w:rPr>
  </w:style>
  <w:style w:type="character" w:customStyle="1" w:styleId="74">
    <w:name w:val="_Style 9"/>
    <w:qFormat/>
    <w:uiPriority w:val="19"/>
    <w:rPr>
      <w:rFonts w:ascii="Times New Roman" w:hAnsi="Times New Roman" w:eastAsia="宋体"/>
      <w:iCs/>
      <w:color w:val="404040"/>
      <w:sz w:val="21"/>
    </w:rPr>
  </w:style>
  <w:style w:type="character" w:customStyle="1" w:styleId="75">
    <w:name w:val="font121"/>
    <w:basedOn w:val="39"/>
    <w:qFormat/>
    <w:uiPriority w:val="0"/>
    <w:rPr>
      <w:rFonts w:hint="eastAsia" w:ascii="宋体" w:hAnsi="宋体" w:eastAsia="宋体" w:cs="宋体"/>
      <w:color w:val="000000"/>
      <w:sz w:val="20"/>
      <w:szCs w:val="20"/>
      <w:vertAlign w:val="superscript"/>
    </w:rPr>
  </w:style>
  <w:style w:type="character" w:customStyle="1" w:styleId="76">
    <w:name w:val="font161"/>
    <w:basedOn w:val="39"/>
    <w:qFormat/>
    <w:uiPriority w:val="0"/>
    <w:rPr>
      <w:rFonts w:hint="default" w:ascii="Times New Roman" w:hAnsi="Times New Roman" w:cs="Times New Roman"/>
      <w:color w:val="000000"/>
      <w:sz w:val="20"/>
      <w:szCs w:val="20"/>
      <w:u w:val="none"/>
      <w:vertAlign w:val="superscript"/>
    </w:rPr>
  </w:style>
  <w:style w:type="character" w:customStyle="1" w:styleId="77">
    <w:name w:val="font112"/>
    <w:basedOn w:val="39"/>
    <w:qFormat/>
    <w:uiPriority w:val="0"/>
    <w:rPr>
      <w:rFonts w:hint="default" w:ascii="Times New Roman" w:hAnsi="Times New Roman" w:cs="Times New Roman"/>
      <w:color w:val="000000"/>
      <w:sz w:val="20"/>
      <w:szCs w:val="20"/>
      <w:u w:val="none"/>
      <w:vertAlign w:val="superscript"/>
    </w:rPr>
  </w:style>
  <w:style w:type="character" w:customStyle="1" w:styleId="78">
    <w:name w:val="日期 Char"/>
    <w:basedOn w:val="39"/>
    <w:link w:val="79"/>
    <w:qFormat/>
    <w:uiPriority w:val="0"/>
    <w:rPr>
      <w:rFonts w:ascii="Times New Roman" w:hAnsi="Times New Roman" w:eastAsia="宋体" w:cs="Times New Roman"/>
      <w:sz w:val="24"/>
      <w:szCs w:val="20"/>
    </w:rPr>
  </w:style>
  <w:style w:type="paragraph" w:customStyle="1" w:styleId="79">
    <w:name w:val="日期1"/>
    <w:basedOn w:val="1"/>
    <w:next w:val="1"/>
    <w:link w:val="78"/>
    <w:qFormat/>
    <w:uiPriority w:val="0"/>
    <w:pPr>
      <w:ind w:left="100" w:leftChars="2500"/>
    </w:pPr>
    <w:rPr>
      <w:rFonts w:ascii="Times New Roman" w:hAnsi="Times New Roman" w:cs="Times New Roman"/>
      <w:szCs w:val="20"/>
    </w:rPr>
  </w:style>
  <w:style w:type="character" w:customStyle="1" w:styleId="80">
    <w:name w:val="文档结构图 Char1"/>
    <w:basedOn w:val="39"/>
    <w:semiHidden/>
    <w:qFormat/>
    <w:uiPriority w:val="99"/>
    <w:rPr>
      <w:rFonts w:ascii="宋体" w:hAnsi="Calibri" w:eastAsia="宋体" w:cs="黑体"/>
      <w:sz w:val="18"/>
      <w:szCs w:val="18"/>
    </w:rPr>
  </w:style>
  <w:style w:type="character" w:customStyle="1" w:styleId="81">
    <w:name w:val="页码1"/>
    <w:basedOn w:val="39"/>
    <w:qFormat/>
    <w:uiPriority w:val="0"/>
  </w:style>
  <w:style w:type="character" w:customStyle="1" w:styleId="82">
    <w:name w:val="样式6 正文 Char Char"/>
    <w:basedOn w:val="39"/>
    <w:link w:val="83"/>
    <w:qFormat/>
    <w:uiPriority w:val="0"/>
    <w:rPr>
      <w:sz w:val="24"/>
    </w:rPr>
  </w:style>
  <w:style w:type="paragraph" w:customStyle="1" w:styleId="83">
    <w:name w:val="样式6 正文"/>
    <w:link w:val="82"/>
    <w:qFormat/>
    <w:uiPriority w:val="0"/>
    <w:pPr>
      <w:spacing w:line="360" w:lineRule="auto"/>
      <w:ind w:firstLine="510"/>
      <w:jc w:val="both"/>
    </w:pPr>
    <w:rPr>
      <w:rFonts w:asciiTheme="minorHAnsi" w:hAnsiTheme="minorHAnsi" w:eastAsiaTheme="minorEastAsia" w:cstheme="minorBidi"/>
      <w:kern w:val="2"/>
      <w:sz w:val="24"/>
      <w:szCs w:val="22"/>
      <w:lang w:val="en-US" w:eastAsia="zh-CN" w:bidi="ar-SA"/>
    </w:rPr>
  </w:style>
  <w:style w:type="character" w:customStyle="1" w:styleId="84">
    <w:name w:val="font151"/>
    <w:basedOn w:val="39"/>
    <w:qFormat/>
    <w:uiPriority w:val="0"/>
    <w:rPr>
      <w:rFonts w:hint="eastAsia" w:ascii="宋体" w:hAnsi="宋体" w:eastAsia="宋体" w:cs="宋体"/>
      <w:color w:val="000000"/>
      <w:sz w:val="22"/>
      <w:szCs w:val="22"/>
      <w:u w:val="none"/>
      <w:vertAlign w:val="superscript"/>
    </w:rPr>
  </w:style>
  <w:style w:type="character" w:customStyle="1" w:styleId="85">
    <w:name w:val="font21"/>
    <w:basedOn w:val="39"/>
    <w:qFormat/>
    <w:uiPriority w:val="0"/>
    <w:rPr>
      <w:rFonts w:ascii="Calibri" w:hAnsi="Calibri" w:cs="Calibri"/>
      <w:color w:val="FF0000"/>
      <w:sz w:val="18"/>
      <w:szCs w:val="18"/>
      <w:u w:val="none"/>
    </w:rPr>
  </w:style>
  <w:style w:type="character" w:customStyle="1" w:styleId="86">
    <w:name w:val="apple-converted-space"/>
    <w:basedOn w:val="39"/>
    <w:qFormat/>
    <w:uiPriority w:val="0"/>
  </w:style>
  <w:style w:type="character" w:customStyle="1" w:styleId="87">
    <w:name w:val="正文文本缩进 Char"/>
    <w:basedOn w:val="39"/>
    <w:link w:val="88"/>
    <w:qFormat/>
    <w:uiPriority w:val="0"/>
    <w:rPr>
      <w:rFonts w:ascii="Times New Roman" w:hAnsi="Times New Roman" w:eastAsia="宋体" w:cs="Times New Roman"/>
      <w:sz w:val="24"/>
      <w:szCs w:val="20"/>
    </w:rPr>
  </w:style>
  <w:style w:type="paragraph" w:customStyle="1" w:styleId="88">
    <w:name w:val="正文文本缩进2"/>
    <w:basedOn w:val="1"/>
    <w:link w:val="87"/>
    <w:qFormat/>
    <w:uiPriority w:val="0"/>
    <w:pPr>
      <w:spacing w:after="120"/>
      <w:ind w:left="420" w:leftChars="200"/>
    </w:pPr>
    <w:rPr>
      <w:rFonts w:ascii="Times New Roman" w:hAnsi="Times New Roman" w:cs="Times New Roman"/>
      <w:szCs w:val="20"/>
    </w:rPr>
  </w:style>
  <w:style w:type="character" w:customStyle="1" w:styleId="89">
    <w:name w:val="font51"/>
    <w:basedOn w:val="39"/>
    <w:qFormat/>
    <w:uiPriority w:val="0"/>
    <w:rPr>
      <w:rFonts w:hint="default" w:ascii="Times New Roman" w:hAnsi="Times New Roman" w:cs="Times New Roman"/>
      <w:color w:val="000000"/>
      <w:sz w:val="20"/>
      <w:szCs w:val="20"/>
      <w:u w:val="none"/>
    </w:rPr>
  </w:style>
  <w:style w:type="character" w:customStyle="1" w:styleId="90">
    <w:name w:val="占位符文本1"/>
    <w:basedOn w:val="39"/>
    <w:qFormat/>
    <w:uiPriority w:val="0"/>
    <w:rPr>
      <w:color w:val="808080"/>
    </w:rPr>
  </w:style>
  <w:style w:type="character" w:customStyle="1" w:styleId="91">
    <w:name w:val="font01"/>
    <w:basedOn w:val="39"/>
    <w:qFormat/>
    <w:uiPriority w:val="0"/>
    <w:rPr>
      <w:rFonts w:hint="default" w:ascii="Calibri" w:hAnsi="Calibri" w:cs="Calibri"/>
      <w:color w:val="000000"/>
      <w:sz w:val="20"/>
      <w:szCs w:val="20"/>
      <w:u w:val="none"/>
      <w:vertAlign w:val="superscript"/>
    </w:rPr>
  </w:style>
  <w:style w:type="character" w:customStyle="1" w:styleId="92">
    <w:name w:val="font41"/>
    <w:basedOn w:val="39"/>
    <w:qFormat/>
    <w:uiPriority w:val="0"/>
    <w:rPr>
      <w:rFonts w:hint="eastAsia" w:ascii="宋体" w:hAnsi="宋体" w:eastAsia="宋体" w:cs="宋体"/>
      <w:color w:val="000000"/>
      <w:sz w:val="20"/>
      <w:szCs w:val="20"/>
      <w:u w:val="none"/>
    </w:rPr>
  </w:style>
  <w:style w:type="character" w:customStyle="1" w:styleId="93">
    <w:name w:val="报告正文 Char2"/>
    <w:basedOn w:val="39"/>
    <w:link w:val="94"/>
    <w:qFormat/>
    <w:uiPriority w:val="0"/>
    <w:rPr>
      <w:rFonts w:ascii="Times New Roman"/>
      <w:spacing w:val="14"/>
      <w:sz w:val="32"/>
    </w:rPr>
  </w:style>
  <w:style w:type="paragraph" w:customStyle="1" w:styleId="94">
    <w:name w:val="报告正文"/>
    <w:basedOn w:val="1"/>
    <w:link w:val="93"/>
    <w:qFormat/>
    <w:uiPriority w:val="0"/>
    <w:pPr>
      <w:spacing w:line="360" w:lineRule="auto"/>
      <w:ind w:firstLine="536" w:firstLineChars="200"/>
    </w:pPr>
    <w:rPr>
      <w:rFonts w:ascii="Times New Roman" w:hAnsiTheme="minorHAnsi" w:eastAsiaTheme="minorEastAsia" w:cstheme="minorBidi"/>
      <w:spacing w:val="14"/>
      <w:sz w:val="32"/>
    </w:rPr>
  </w:style>
  <w:style w:type="character" w:customStyle="1" w:styleId="95">
    <w:name w:val="font131"/>
    <w:basedOn w:val="39"/>
    <w:qFormat/>
    <w:uiPriority w:val="0"/>
    <w:rPr>
      <w:rFonts w:hint="default" w:ascii="Times New Roman" w:hAnsi="Times New Roman" w:cs="Times New Roman"/>
      <w:color w:val="000000"/>
      <w:sz w:val="20"/>
      <w:szCs w:val="20"/>
      <w:u w:val="none"/>
    </w:rPr>
  </w:style>
  <w:style w:type="character" w:customStyle="1" w:styleId="96">
    <w:name w:val="页码11"/>
    <w:basedOn w:val="39"/>
    <w:qFormat/>
    <w:uiPriority w:val="0"/>
  </w:style>
  <w:style w:type="character" w:customStyle="1" w:styleId="97">
    <w:name w:val="正文缩进 Char"/>
    <w:link w:val="98"/>
    <w:qFormat/>
    <w:uiPriority w:val="0"/>
    <w:rPr>
      <w:rFonts w:ascii="Times New Roman" w:hAnsi="Times New Roman" w:eastAsia="宋体" w:cs="Times New Roman"/>
      <w:sz w:val="24"/>
      <w:szCs w:val="20"/>
    </w:rPr>
  </w:style>
  <w:style w:type="paragraph" w:customStyle="1" w:styleId="98">
    <w:name w:val="正文缩进1"/>
    <w:basedOn w:val="1"/>
    <w:link w:val="97"/>
    <w:qFormat/>
    <w:uiPriority w:val="0"/>
    <w:pPr>
      <w:ind w:firstLine="420"/>
    </w:pPr>
    <w:rPr>
      <w:rFonts w:ascii="Times New Roman" w:hAnsi="Times New Roman" w:cs="Times New Roman"/>
      <w:szCs w:val="20"/>
    </w:rPr>
  </w:style>
  <w:style w:type="character" w:customStyle="1" w:styleId="99">
    <w:name w:val="文档结构图 Char Char"/>
    <w:basedOn w:val="39"/>
    <w:link w:val="100"/>
    <w:qFormat/>
    <w:uiPriority w:val="0"/>
    <w:rPr>
      <w:rFonts w:ascii="Times New Roman" w:hAnsi="Times New Roman" w:eastAsia="宋体" w:cs="Times New Roman"/>
      <w:sz w:val="24"/>
      <w:szCs w:val="20"/>
      <w:shd w:val="clear" w:color="auto" w:fill="000080"/>
    </w:rPr>
  </w:style>
  <w:style w:type="paragraph" w:customStyle="1" w:styleId="100">
    <w:name w:val="文档结构图1"/>
    <w:basedOn w:val="1"/>
    <w:link w:val="99"/>
    <w:qFormat/>
    <w:uiPriority w:val="0"/>
    <w:pPr>
      <w:shd w:val="clear" w:color="auto" w:fill="000080"/>
    </w:pPr>
    <w:rPr>
      <w:rFonts w:ascii="Times New Roman" w:hAnsi="Times New Roman" w:cs="Times New Roman"/>
      <w:szCs w:val="20"/>
      <w:shd w:val="clear" w:color="auto" w:fill="000080"/>
    </w:rPr>
  </w:style>
  <w:style w:type="character" w:customStyle="1" w:styleId="101">
    <w:name w:val="font31"/>
    <w:basedOn w:val="39"/>
    <w:qFormat/>
    <w:uiPriority w:val="0"/>
    <w:rPr>
      <w:rFonts w:hint="default" w:ascii="Times New Roman" w:hAnsi="Times New Roman" w:cs="Times New Roman"/>
      <w:b/>
      <w:color w:val="000000"/>
      <w:sz w:val="21"/>
      <w:szCs w:val="21"/>
      <w:u w:val="none"/>
    </w:rPr>
  </w:style>
  <w:style w:type="character" w:customStyle="1" w:styleId="102">
    <w:name w:val="批注框文本 Char1"/>
    <w:basedOn w:val="39"/>
    <w:qFormat/>
    <w:uiPriority w:val="0"/>
    <w:rPr>
      <w:rFonts w:ascii="Times New Roman" w:hAnsi="Times New Roman" w:eastAsia="宋体" w:cs="Times New Roman"/>
      <w:sz w:val="18"/>
      <w:szCs w:val="18"/>
    </w:rPr>
  </w:style>
  <w:style w:type="character" w:customStyle="1" w:styleId="103">
    <w:name w:val="font81"/>
    <w:basedOn w:val="39"/>
    <w:qFormat/>
    <w:uiPriority w:val="0"/>
    <w:rPr>
      <w:rFonts w:hint="default" w:ascii="Times New Roman" w:hAnsi="Times New Roman" w:cs="Times New Roman"/>
      <w:color w:val="000000"/>
      <w:sz w:val="20"/>
      <w:szCs w:val="20"/>
      <w:vertAlign w:val="superscript"/>
    </w:rPr>
  </w:style>
  <w:style w:type="character" w:customStyle="1" w:styleId="104">
    <w:name w:val="纯文本 Char"/>
    <w:basedOn w:val="39"/>
    <w:link w:val="105"/>
    <w:qFormat/>
    <w:uiPriority w:val="0"/>
    <w:rPr>
      <w:rFonts w:ascii="宋体" w:hAnsi="Courier New" w:eastAsia="宋体" w:cs="Times New Roman"/>
      <w:snapToGrid w:val="0"/>
      <w:sz w:val="28"/>
      <w:szCs w:val="20"/>
    </w:rPr>
  </w:style>
  <w:style w:type="paragraph" w:customStyle="1" w:styleId="105">
    <w:name w:val="纯文本1"/>
    <w:basedOn w:val="1"/>
    <w:link w:val="104"/>
    <w:qFormat/>
    <w:uiPriority w:val="0"/>
    <w:rPr>
      <w:rFonts w:ascii="宋体" w:hAnsi="Courier New" w:cs="Times New Roman"/>
      <w:snapToGrid w:val="0"/>
      <w:sz w:val="28"/>
      <w:szCs w:val="20"/>
    </w:rPr>
  </w:style>
  <w:style w:type="character" w:customStyle="1" w:styleId="106">
    <w:name w:val="font71"/>
    <w:basedOn w:val="39"/>
    <w:qFormat/>
    <w:uiPriority w:val="0"/>
    <w:rPr>
      <w:rFonts w:hint="default" w:ascii="Times New Roman" w:hAnsi="Times New Roman" w:cs="Times New Roman"/>
      <w:color w:val="000000"/>
      <w:sz w:val="20"/>
      <w:szCs w:val="20"/>
      <w:u w:val="none"/>
      <w:vertAlign w:val="superscript"/>
    </w:rPr>
  </w:style>
  <w:style w:type="character" w:customStyle="1" w:styleId="107">
    <w:name w:val="批注框文本 Char2"/>
    <w:basedOn w:val="39"/>
    <w:semiHidden/>
    <w:qFormat/>
    <w:uiPriority w:val="99"/>
    <w:rPr>
      <w:rFonts w:ascii="Calibri" w:hAnsi="Calibri" w:eastAsia="宋体" w:cs="黑体"/>
      <w:sz w:val="18"/>
      <w:szCs w:val="18"/>
    </w:rPr>
  </w:style>
  <w:style w:type="character" w:customStyle="1" w:styleId="108">
    <w:name w:val="标准正文[858D7CFB-ED40-4347-BF05-701D383B685F]"/>
    <w:link w:val="109"/>
    <w:qFormat/>
    <w:uiPriority w:val="0"/>
    <w:rPr>
      <w:sz w:val="28"/>
      <w:szCs w:val="24"/>
    </w:rPr>
  </w:style>
  <w:style w:type="paragraph" w:customStyle="1" w:styleId="109">
    <w:name w:val="标准正文"/>
    <w:basedOn w:val="1"/>
    <w:link w:val="108"/>
    <w:qFormat/>
    <w:uiPriority w:val="0"/>
    <w:pPr>
      <w:spacing w:line="360" w:lineRule="auto"/>
      <w:ind w:firstLine="200" w:firstLineChars="200"/>
    </w:pPr>
    <w:rPr>
      <w:rFonts w:asciiTheme="minorHAnsi" w:hAnsiTheme="minorHAnsi" w:eastAsiaTheme="minorEastAsia" w:cstheme="minorBidi"/>
      <w:sz w:val="28"/>
      <w:szCs w:val="24"/>
    </w:rPr>
  </w:style>
  <w:style w:type="character" w:customStyle="1" w:styleId="110">
    <w:name w:val="正文文本缩进 2 Char"/>
    <w:basedOn w:val="39"/>
    <w:link w:val="111"/>
    <w:qFormat/>
    <w:uiPriority w:val="0"/>
    <w:rPr>
      <w:rFonts w:ascii="Times New Roman" w:hAnsi="Times New Roman" w:eastAsia="宋体" w:cs="Times New Roman"/>
      <w:sz w:val="24"/>
      <w:szCs w:val="20"/>
    </w:rPr>
  </w:style>
  <w:style w:type="paragraph" w:customStyle="1" w:styleId="111">
    <w:name w:val="正文文本缩进 21"/>
    <w:basedOn w:val="1"/>
    <w:link w:val="110"/>
    <w:qFormat/>
    <w:uiPriority w:val="0"/>
    <w:pPr>
      <w:ind w:left="180" w:firstLine="450"/>
    </w:pPr>
    <w:rPr>
      <w:rFonts w:ascii="Times New Roman" w:hAnsi="Times New Roman" w:cs="Times New Roman"/>
      <w:szCs w:val="20"/>
    </w:rPr>
  </w:style>
  <w:style w:type="character" w:customStyle="1" w:styleId="112">
    <w:name w:val="批注引用1"/>
    <w:basedOn w:val="39"/>
    <w:qFormat/>
    <w:uiPriority w:val="0"/>
    <w:rPr>
      <w:sz w:val="21"/>
      <w:szCs w:val="21"/>
    </w:rPr>
  </w:style>
  <w:style w:type="character" w:customStyle="1" w:styleId="113">
    <w:name w:val="font11"/>
    <w:basedOn w:val="39"/>
    <w:qFormat/>
    <w:uiPriority w:val="0"/>
    <w:rPr>
      <w:rFonts w:hint="eastAsia" w:ascii="宋体" w:hAnsi="宋体" w:eastAsia="宋体" w:cs="宋体"/>
      <w:b/>
      <w:color w:val="000000"/>
      <w:sz w:val="21"/>
      <w:szCs w:val="21"/>
      <w:u w:val="none"/>
    </w:rPr>
  </w:style>
  <w:style w:type="character" w:customStyle="1" w:styleId="114">
    <w:name w:val="正文首行缩进 Char"/>
    <w:basedOn w:val="55"/>
    <w:link w:val="115"/>
    <w:qFormat/>
    <w:uiPriority w:val="0"/>
    <w:rPr>
      <w:rFonts w:ascii="Times New Roman" w:hAnsi="Times New Roman" w:eastAsia="宋体" w:cs="Times New Roman"/>
      <w:sz w:val="24"/>
      <w:szCs w:val="21"/>
    </w:rPr>
  </w:style>
  <w:style w:type="paragraph" w:customStyle="1" w:styleId="115">
    <w:name w:val="正文首行缩进1"/>
    <w:basedOn w:val="3"/>
    <w:link w:val="114"/>
    <w:qFormat/>
    <w:uiPriority w:val="0"/>
    <w:pPr>
      <w:ind w:firstLine="420" w:firstLineChars="100"/>
    </w:pPr>
    <w:rPr>
      <w:szCs w:val="21"/>
    </w:rPr>
  </w:style>
  <w:style w:type="character" w:customStyle="1" w:styleId="116">
    <w:name w:val="标题 Char1"/>
    <w:basedOn w:val="39"/>
    <w:qFormat/>
    <w:uiPriority w:val="10"/>
    <w:rPr>
      <w:rFonts w:eastAsia="宋体" w:asciiTheme="majorHAnsi" w:hAnsiTheme="majorHAnsi" w:cstheme="majorBidi"/>
      <w:b/>
      <w:bCs/>
      <w:sz w:val="32"/>
      <w:szCs w:val="32"/>
    </w:rPr>
  </w:style>
  <w:style w:type="character" w:customStyle="1" w:styleId="117">
    <w:name w:val="表标题 Char Char"/>
    <w:basedOn w:val="39"/>
    <w:link w:val="118"/>
    <w:qFormat/>
    <w:uiPriority w:val="0"/>
    <w:rPr>
      <w:rFonts w:ascii="黑体" w:hAnsi="宋体"/>
      <w:b/>
      <w:bCs/>
      <w:sz w:val="24"/>
    </w:rPr>
  </w:style>
  <w:style w:type="paragraph" w:customStyle="1" w:styleId="118">
    <w:name w:val="表标题"/>
    <w:basedOn w:val="1"/>
    <w:next w:val="1"/>
    <w:link w:val="117"/>
    <w:qFormat/>
    <w:uiPriority w:val="0"/>
    <w:pPr>
      <w:adjustRightInd w:val="0"/>
      <w:snapToGrid w:val="0"/>
      <w:spacing w:beforeLines="50" w:afterLines="50"/>
      <w:jc w:val="center"/>
      <w:textAlignment w:val="baseline"/>
    </w:pPr>
    <w:rPr>
      <w:rFonts w:ascii="黑体" w:hAnsi="宋体" w:eastAsiaTheme="minorEastAsia" w:cstheme="minorBidi"/>
      <w:b/>
      <w:bCs/>
    </w:rPr>
  </w:style>
  <w:style w:type="character" w:customStyle="1" w:styleId="119">
    <w:name w:val="font61"/>
    <w:basedOn w:val="39"/>
    <w:qFormat/>
    <w:uiPriority w:val="0"/>
    <w:rPr>
      <w:rFonts w:hint="eastAsia" w:ascii="宋体" w:hAnsi="宋体" w:eastAsia="宋体" w:cs="宋体"/>
      <w:color w:val="FF0000"/>
      <w:sz w:val="18"/>
      <w:szCs w:val="18"/>
      <w:u w:val="none"/>
    </w:rPr>
  </w:style>
  <w:style w:type="character" w:customStyle="1" w:styleId="120">
    <w:name w:val="font101"/>
    <w:basedOn w:val="39"/>
    <w:qFormat/>
    <w:uiPriority w:val="0"/>
    <w:rPr>
      <w:rFonts w:hint="default" w:ascii="Times New Roman" w:hAnsi="Times New Roman" w:cs="Times New Roman"/>
      <w:color w:val="000000"/>
      <w:sz w:val="20"/>
      <w:szCs w:val="20"/>
      <w:u w:val="none"/>
      <w:vertAlign w:val="superscript"/>
    </w:rPr>
  </w:style>
  <w:style w:type="paragraph" w:customStyle="1" w:styleId="121">
    <w:name w:val="xl24"/>
    <w:basedOn w:val="1"/>
    <w:qFormat/>
    <w:uiPriority w:val="0"/>
    <w:pPr>
      <w:widowControl/>
      <w:spacing w:before="100" w:beforeAutospacing="1" w:after="100" w:afterAutospacing="1"/>
      <w:jc w:val="center"/>
      <w:textAlignment w:val="center"/>
    </w:pPr>
    <w:rPr>
      <w:rFonts w:eastAsia="Arial Unicode MS"/>
      <w:kern w:val="0"/>
      <w:szCs w:val="21"/>
    </w:rPr>
  </w:style>
  <w:style w:type="paragraph" w:customStyle="1" w:styleId="122">
    <w:name w:val="样式 首行缩进:  0.85 厘米"/>
    <w:basedOn w:val="1"/>
    <w:qFormat/>
    <w:uiPriority w:val="0"/>
    <w:pPr>
      <w:spacing w:line="360" w:lineRule="auto"/>
      <w:ind w:firstLine="200" w:firstLineChars="200"/>
    </w:pPr>
    <w:rPr>
      <w:rFonts w:cs="宋体"/>
    </w:rPr>
  </w:style>
  <w:style w:type="paragraph" w:customStyle="1" w:styleId="123">
    <w:name w:val="xl30"/>
    <w:basedOn w:val="1"/>
    <w:qFormat/>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kern w:val="0"/>
    </w:rPr>
  </w:style>
  <w:style w:type="paragraph" w:customStyle="1" w:styleId="124">
    <w:name w:val="正文 宋体 小四 行距: 1.5 倍行距"/>
    <w:basedOn w:val="1"/>
    <w:qFormat/>
    <w:uiPriority w:val="0"/>
    <w:pPr>
      <w:spacing w:line="360" w:lineRule="auto"/>
      <w:ind w:firstLine="480" w:firstLineChars="200"/>
    </w:pPr>
    <w:rPr>
      <w:rFonts w:ascii="宋体" w:hAnsi="宋体" w:cs="宋体"/>
    </w:rPr>
  </w:style>
  <w:style w:type="paragraph" w:customStyle="1" w:styleId="125">
    <w:name w:val="p17"/>
    <w:basedOn w:val="1"/>
    <w:qFormat/>
    <w:uiPriority w:val="0"/>
    <w:pPr>
      <w:widowControl/>
      <w:ind w:left="420" w:hanging="420"/>
      <w:jc w:val="left"/>
    </w:pPr>
    <w:rPr>
      <w:kern w:val="0"/>
      <w:sz w:val="28"/>
      <w:szCs w:val="28"/>
    </w:rPr>
  </w:style>
  <w:style w:type="paragraph" w:customStyle="1" w:styleId="126">
    <w:name w:val="_Style 6"/>
    <w:qFormat/>
    <w:uiPriority w:val="99"/>
    <w:pPr>
      <w:widowControl w:val="0"/>
      <w:jc w:val="center"/>
    </w:pPr>
    <w:rPr>
      <w:rFonts w:ascii="Times New Roman" w:hAnsi="Times New Roman" w:eastAsia="宋体" w:cs="黑体"/>
      <w:kern w:val="2"/>
      <w:sz w:val="21"/>
      <w:szCs w:val="22"/>
      <w:lang w:val="en-US" w:eastAsia="zh-CN" w:bidi="ar-SA"/>
    </w:rPr>
  </w:style>
  <w:style w:type="paragraph" w:customStyle="1" w:styleId="127">
    <w:name w:val="Char Char Char Char Char Char1 Char"/>
    <w:basedOn w:val="1"/>
    <w:qFormat/>
    <w:uiPriority w:val="0"/>
    <w:pPr>
      <w:widowControl/>
      <w:spacing w:beforeLines="150" w:line="480" w:lineRule="auto"/>
    </w:pPr>
  </w:style>
  <w:style w:type="paragraph" w:customStyle="1" w:styleId="128">
    <w:name w:val="p24"/>
    <w:basedOn w:val="1"/>
    <w:qFormat/>
    <w:uiPriority w:val="0"/>
    <w:pPr>
      <w:widowControl/>
      <w:spacing w:before="100" w:after="100"/>
      <w:jc w:val="center"/>
    </w:pPr>
    <w:rPr>
      <w:kern w:val="0"/>
      <w:szCs w:val="21"/>
    </w:rPr>
  </w:style>
  <w:style w:type="paragraph" w:customStyle="1" w:styleId="129">
    <w:name w:val="p21"/>
    <w:basedOn w:val="1"/>
    <w:qFormat/>
    <w:uiPriority w:val="0"/>
    <w:pPr>
      <w:widowControl/>
      <w:spacing w:before="120" w:line="440" w:lineRule="atLeast"/>
      <w:jc w:val="center"/>
    </w:pPr>
    <w:rPr>
      <w:rFonts w:ascii="仿宋_GB2312" w:hAnsi="宋体" w:eastAsia="仿宋_GB2312" w:cs="宋体"/>
      <w:b/>
      <w:bCs/>
      <w:kern w:val="0"/>
      <w:szCs w:val="24"/>
    </w:rPr>
  </w:style>
  <w:style w:type="paragraph" w:customStyle="1" w:styleId="130">
    <w:name w:val="Char Char Char Char Char1 Char"/>
    <w:basedOn w:val="1"/>
    <w:qFormat/>
    <w:uiPriority w:val="0"/>
  </w:style>
  <w:style w:type="paragraph" w:customStyle="1" w:styleId="131">
    <w:name w:val="p0"/>
    <w:basedOn w:val="1"/>
    <w:qFormat/>
    <w:uiPriority w:val="0"/>
    <w:pPr>
      <w:widowControl/>
    </w:pPr>
    <w:rPr>
      <w:kern w:val="0"/>
      <w:szCs w:val="21"/>
    </w:rPr>
  </w:style>
  <w:style w:type="paragraph" w:customStyle="1" w:styleId="132">
    <w:name w:val="样式3"/>
    <w:basedOn w:val="1"/>
    <w:qFormat/>
    <w:uiPriority w:val="0"/>
    <w:pPr>
      <w:spacing w:line="300" w:lineRule="exact"/>
      <w:jc w:val="center"/>
    </w:pPr>
    <w:rPr>
      <w:bCs/>
      <w:spacing w:val="20"/>
      <w:szCs w:val="18"/>
    </w:rPr>
  </w:style>
  <w:style w:type="paragraph" w:customStyle="1" w:styleId="133">
    <w:name w:val="列表 21"/>
    <w:basedOn w:val="1"/>
    <w:qFormat/>
    <w:uiPriority w:val="0"/>
    <w:pPr>
      <w:ind w:left="100" w:leftChars="200" w:hanging="200" w:hangingChars="200"/>
      <w:jc w:val="left"/>
    </w:pPr>
    <w:rPr>
      <w:rFonts w:eastAsia="仿宋_GB2312"/>
      <w:kern w:val="10"/>
      <w:sz w:val="28"/>
    </w:rPr>
  </w:style>
  <w:style w:type="paragraph" w:customStyle="1" w:styleId="134">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35">
    <w:name w:val="正文文本缩进1"/>
    <w:basedOn w:val="1"/>
    <w:qFormat/>
    <w:uiPriority w:val="0"/>
    <w:pPr>
      <w:ind w:firstLine="578" w:firstLineChars="200"/>
    </w:pPr>
    <w:rPr>
      <w:rFonts w:eastAsia="仿宋_GB2312"/>
      <w:spacing w:val="-4"/>
      <w:sz w:val="28"/>
      <w:szCs w:val="24"/>
    </w:rPr>
  </w:style>
  <w:style w:type="paragraph" w:customStyle="1" w:styleId="136">
    <w:name w:val="p22"/>
    <w:basedOn w:val="1"/>
    <w:qFormat/>
    <w:uiPriority w:val="0"/>
    <w:pPr>
      <w:widowControl/>
      <w:ind w:firstLine="520"/>
    </w:pPr>
    <w:rPr>
      <w:spacing w:val="-4"/>
      <w:kern w:val="0"/>
      <w:sz w:val="28"/>
      <w:szCs w:val="28"/>
    </w:rPr>
  </w:style>
  <w:style w:type="paragraph" w:customStyle="1" w:styleId="137">
    <w:name w:val="正文文字"/>
    <w:basedOn w:val="1"/>
    <w:qFormat/>
    <w:uiPriority w:val="0"/>
    <w:pPr>
      <w:ind w:firstLine="480"/>
    </w:pPr>
    <w:rPr>
      <w:rFonts w:hAnsi="宋体"/>
      <w:szCs w:val="24"/>
    </w:rPr>
  </w:style>
  <w:style w:type="paragraph" w:customStyle="1" w:styleId="138">
    <w:name w:val="xl3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rPr>
  </w:style>
  <w:style w:type="paragraph" w:customStyle="1" w:styleId="139">
    <w:name w:val="列表 22"/>
    <w:basedOn w:val="1"/>
    <w:qFormat/>
    <w:uiPriority w:val="0"/>
    <w:pPr>
      <w:ind w:left="100" w:leftChars="200" w:hanging="200" w:hangingChars="200"/>
      <w:jc w:val="left"/>
    </w:pPr>
    <w:rPr>
      <w:rFonts w:eastAsia="仿宋_GB2312"/>
      <w:kern w:val="10"/>
      <w:sz w:val="28"/>
    </w:rPr>
  </w:style>
  <w:style w:type="paragraph" w:customStyle="1" w:styleId="140">
    <w:name w:val="_Style 7"/>
    <w:qFormat/>
    <w:uiPriority w:val="99"/>
    <w:pPr>
      <w:widowControl w:val="0"/>
      <w:jc w:val="center"/>
    </w:pPr>
    <w:rPr>
      <w:rFonts w:ascii="Times New Roman" w:hAnsi="Times New Roman" w:eastAsia="宋体" w:cs="黑体"/>
      <w:kern w:val="2"/>
      <w:sz w:val="21"/>
      <w:szCs w:val="22"/>
      <w:lang w:val="en-US" w:eastAsia="zh-CN" w:bidi="ar-SA"/>
    </w:rPr>
  </w:style>
  <w:style w:type="paragraph" w:customStyle="1" w:styleId="141">
    <w:name w:val="Char Char Char Char"/>
    <w:basedOn w:val="1"/>
    <w:qFormat/>
    <w:uiPriority w:val="0"/>
    <w:rPr>
      <w:rFonts w:hint="eastAsia" w:ascii="宋体"/>
    </w:rPr>
  </w:style>
  <w:style w:type="paragraph" w:customStyle="1" w:styleId="142">
    <w:name w:val="列表 211"/>
    <w:basedOn w:val="1"/>
    <w:qFormat/>
    <w:uiPriority w:val="0"/>
    <w:pPr>
      <w:ind w:left="100" w:leftChars="200" w:hanging="200" w:hangingChars="200"/>
    </w:pPr>
    <w:rPr>
      <w:rFonts w:eastAsia="仿宋_GB2312"/>
      <w:kern w:val="10"/>
      <w:sz w:val="28"/>
    </w:rPr>
  </w:style>
  <w:style w:type="paragraph" w:customStyle="1" w:styleId="143">
    <w:name w:val="Char"/>
    <w:basedOn w:val="1"/>
    <w:qFormat/>
    <w:uiPriority w:val="0"/>
    <w:pPr>
      <w:adjustRightInd w:val="0"/>
      <w:spacing w:line="360" w:lineRule="atLeast"/>
      <w:textAlignment w:val="baseline"/>
    </w:pPr>
  </w:style>
  <w:style w:type="paragraph" w:customStyle="1" w:styleId="144">
    <w:name w:val="_Style 4"/>
    <w:qFormat/>
    <w:uiPriority w:val="99"/>
    <w:pPr>
      <w:widowControl w:val="0"/>
      <w:jc w:val="center"/>
    </w:pPr>
    <w:rPr>
      <w:rFonts w:ascii="Times New Roman" w:hAnsi="Times New Roman" w:eastAsia="宋体" w:cs="黑体"/>
      <w:kern w:val="2"/>
      <w:sz w:val="21"/>
      <w:szCs w:val="22"/>
      <w:lang w:val="en-US" w:eastAsia="zh-CN" w:bidi="ar-SA"/>
    </w:rPr>
  </w:style>
  <w:style w:type="paragraph" w:customStyle="1" w:styleId="145">
    <w:name w:val="Table Paragraph"/>
    <w:basedOn w:val="1"/>
    <w:qFormat/>
    <w:uiPriority w:val="1"/>
    <w:pPr>
      <w:autoSpaceDE w:val="0"/>
      <w:autoSpaceDN w:val="0"/>
      <w:adjustRightInd w:val="0"/>
      <w:jc w:val="left"/>
    </w:pPr>
    <w:rPr>
      <w:kern w:val="0"/>
      <w:szCs w:val="24"/>
    </w:rPr>
  </w:style>
  <w:style w:type="paragraph" w:customStyle="1" w:styleId="146">
    <w:name w:val="普通(网站)1"/>
    <w:basedOn w:val="1"/>
    <w:qFormat/>
    <w:uiPriority w:val="0"/>
    <w:pPr>
      <w:widowControl/>
      <w:spacing w:before="100" w:beforeAutospacing="1" w:after="100" w:afterAutospacing="1"/>
      <w:jc w:val="left"/>
    </w:pPr>
    <w:rPr>
      <w:rFonts w:ascii="宋体" w:hAnsi="宋体" w:cs="宋体"/>
      <w:kern w:val="0"/>
      <w:szCs w:val="24"/>
    </w:rPr>
  </w:style>
  <w:style w:type="paragraph" w:customStyle="1" w:styleId="147">
    <w:name w:val="Char1"/>
    <w:basedOn w:val="1"/>
    <w:qFormat/>
    <w:uiPriority w:val="0"/>
    <w:pPr>
      <w:spacing w:line="360" w:lineRule="auto"/>
      <w:ind w:firstLine="200" w:firstLineChars="200"/>
    </w:pPr>
  </w:style>
  <w:style w:type="paragraph" w:customStyle="1" w:styleId="148">
    <w:name w:val="样式 YPY"/>
    <w:basedOn w:val="1"/>
    <w:qFormat/>
    <w:uiPriority w:val="0"/>
    <w:pPr>
      <w:snapToGrid w:val="0"/>
    </w:pPr>
    <w:rPr>
      <w:rFonts w:cs="宋体"/>
    </w:rPr>
  </w:style>
  <w:style w:type="paragraph" w:customStyle="1" w:styleId="149">
    <w:name w:val="内容文字 Char Char Char Char"/>
    <w:qFormat/>
    <w:uiPriority w:val="0"/>
    <w:pPr>
      <w:ind w:firstLine="560" w:firstLineChars="200"/>
    </w:pPr>
    <w:rPr>
      <w:rFonts w:ascii="Times New Roman" w:hAnsi="Times New Roman" w:eastAsia="宋体" w:cs="宋体"/>
      <w:sz w:val="24"/>
      <w:lang w:val="en-US" w:eastAsia="zh-CN" w:bidi="ar-SA"/>
    </w:rPr>
  </w:style>
  <w:style w:type="paragraph" w:customStyle="1" w:styleId="150">
    <w:name w:val="！正文"/>
    <w:basedOn w:val="1"/>
    <w:qFormat/>
    <w:uiPriority w:val="0"/>
    <w:pPr>
      <w:ind w:firstLine="480" w:firstLineChars="200"/>
    </w:pPr>
    <w:rPr>
      <w:rFonts w:ascii="Arial" w:hAnsi="Arial" w:cs="宋体"/>
      <w:szCs w:val="24"/>
    </w:rPr>
  </w:style>
  <w:style w:type="paragraph" w:customStyle="1" w:styleId="151">
    <w:name w:val="样式16"/>
    <w:basedOn w:val="152"/>
    <w:qFormat/>
    <w:uiPriority w:val="0"/>
    <w:pPr>
      <w:autoSpaceDE/>
      <w:autoSpaceDN/>
      <w:adjustRightInd/>
      <w:spacing w:line="400" w:lineRule="exact"/>
      <w:ind w:firstLine="560" w:firstLineChars="200"/>
      <w:jc w:val="both"/>
    </w:pPr>
    <w:rPr>
      <w:rFonts w:ascii="Times New Roman" w:eastAsia="宋体"/>
      <w:b/>
      <w:spacing w:val="20"/>
      <w:kern w:val="2"/>
      <w:sz w:val="24"/>
      <w:szCs w:val="24"/>
    </w:rPr>
  </w:style>
  <w:style w:type="paragraph" w:customStyle="1" w:styleId="152">
    <w:name w:val="样式4"/>
    <w:basedOn w:val="1"/>
    <w:qFormat/>
    <w:uiPriority w:val="0"/>
    <w:pPr>
      <w:autoSpaceDE w:val="0"/>
      <w:autoSpaceDN w:val="0"/>
      <w:adjustRightInd w:val="0"/>
      <w:ind w:firstLine="12"/>
      <w:jc w:val="left"/>
    </w:pPr>
    <w:rPr>
      <w:rFonts w:ascii="楷体_GB2312" w:eastAsia="楷体_GB2312"/>
      <w:kern w:val="0"/>
      <w:sz w:val="28"/>
      <w:szCs w:val="20"/>
    </w:rPr>
  </w:style>
  <w:style w:type="paragraph" w:customStyle="1" w:styleId="153">
    <w:name w:val="样式 宋体 小四 行距: 固定值 20 磅"/>
    <w:basedOn w:val="1"/>
    <w:qFormat/>
    <w:uiPriority w:val="0"/>
    <w:pPr>
      <w:ind w:firstLine="200" w:firstLineChars="200"/>
    </w:pPr>
    <w:rPr>
      <w:rFonts w:ascii="宋体" w:hAnsi="宋体" w:cs="宋体"/>
    </w:rPr>
  </w:style>
  <w:style w:type="paragraph" w:customStyle="1" w:styleId="154">
    <w:name w:val="纯文本3"/>
    <w:basedOn w:val="1"/>
    <w:qFormat/>
    <w:uiPriority w:val="0"/>
    <w:rPr>
      <w:rFonts w:ascii="宋体" w:hAnsi="Courier New"/>
      <w:kern w:val="0"/>
      <w:sz w:val="20"/>
      <w:szCs w:val="21"/>
    </w:rPr>
  </w:style>
  <w:style w:type="paragraph" w:customStyle="1" w:styleId="155">
    <w:name w:val="正文最后采用"/>
    <w:basedOn w:val="1"/>
    <w:qFormat/>
    <w:uiPriority w:val="0"/>
    <w:pPr>
      <w:ind w:firstLine="200" w:firstLineChars="200"/>
    </w:pPr>
    <w:rPr>
      <w:rFonts w:eastAsia="仿宋_GB2312" w:cs="宋体"/>
      <w:sz w:val="28"/>
    </w:rPr>
  </w:style>
  <w:style w:type="paragraph" w:customStyle="1" w:styleId="156">
    <w:name w:val="列出段落1"/>
    <w:basedOn w:val="1"/>
    <w:qFormat/>
    <w:uiPriority w:val="0"/>
    <w:pPr>
      <w:ind w:firstLine="420" w:firstLineChars="200"/>
    </w:pPr>
  </w:style>
  <w:style w:type="paragraph" w:customStyle="1" w:styleId="157">
    <w:name w:val="样式17"/>
    <w:basedOn w:val="1"/>
    <w:qFormat/>
    <w:uiPriority w:val="99"/>
    <w:pPr>
      <w:spacing w:line="400" w:lineRule="exact"/>
      <w:ind w:firstLine="200" w:firstLineChars="200"/>
    </w:pPr>
    <w:rPr>
      <w:spacing w:val="20"/>
      <w:szCs w:val="20"/>
    </w:rPr>
  </w:style>
  <w:style w:type="paragraph" w:customStyle="1" w:styleId="158">
    <w:name w:val="BT4"/>
    <w:basedOn w:val="1"/>
    <w:qFormat/>
    <w:uiPriority w:val="0"/>
    <w:pPr>
      <w:spacing w:line="360" w:lineRule="auto"/>
      <w:ind w:firstLine="200" w:firstLineChars="200"/>
    </w:pPr>
    <w:rPr>
      <w:rFonts w:ascii="仿宋" w:hAnsi="仿宋" w:eastAsia="仿宋"/>
      <w:sz w:val="28"/>
      <w:szCs w:val="28"/>
    </w:rPr>
  </w:style>
  <w:style w:type="paragraph" w:customStyle="1" w:styleId="159">
    <w:name w:val="普通(网站)2"/>
    <w:basedOn w:val="1"/>
    <w:qFormat/>
    <w:uiPriority w:val="0"/>
    <w:pPr>
      <w:widowControl/>
      <w:spacing w:before="100" w:beforeAutospacing="1" w:after="100" w:afterAutospacing="1"/>
      <w:jc w:val="left"/>
    </w:pPr>
    <w:rPr>
      <w:rFonts w:ascii="宋体" w:hAnsi="宋体" w:cs="宋体"/>
      <w:kern w:val="0"/>
      <w:szCs w:val="24"/>
    </w:rPr>
  </w:style>
  <w:style w:type="paragraph" w:styleId="160">
    <w:name w:val="List Paragraph"/>
    <w:basedOn w:val="1"/>
    <w:qFormat/>
    <w:uiPriority w:val="99"/>
    <w:pPr>
      <w:ind w:firstLine="420" w:firstLineChars="200"/>
    </w:pPr>
  </w:style>
  <w:style w:type="table" w:customStyle="1" w:styleId="161">
    <w:name w:val="样式1"/>
    <w:basedOn w:val="37"/>
    <w:qFormat/>
    <w:uiPriority w:val="99"/>
    <w:pPr>
      <w:jc w:val="center"/>
    </w:pPr>
    <w:tblPr>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
    <w:trPr>
      <w:jc w:val="center"/>
    </w:trPr>
    <w:tcPr>
      <w:vAlign w:val="center"/>
    </w:tcPr>
  </w:style>
  <w:style w:type="character" w:customStyle="1" w:styleId="162">
    <w:name w:val="表头 Char Char"/>
    <w:link w:val="163"/>
    <w:qFormat/>
    <w:uiPriority w:val="0"/>
    <w:rPr>
      <w:b/>
      <w:sz w:val="24"/>
    </w:rPr>
  </w:style>
  <w:style w:type="paragraph" w:customStyle="1" w:styleId="163">
    <w:name w:val="表头"/>
    <w:basedOn w:val="1"/>
    <w:link w:val="162"/>
    <w:qFormat/>
    <w:uiPriority w:val="0"/>
    <w:pPr>
      <w:spacing w:line="360" w:lineRule="auto"/>
    </w:pPr>
    <w:rPr>
      <w:rFonts w:asciiTheme="minorHAnsi" w:hAnsiTheme="minorHAnsi" w:eastAsiaTheme="minorEastAsia" w:cstheme="minorBidi"/>
      <w:b/>
    </w:rPr>
  </w:style>
  <w:style w:type="paragraph" w:customStyle="1" w:styleId="164">
    <w:name w:val="表格"/>
    <w:basedOn w:val="1"/>
    <w:link w:val="165"/>
    <w:qFormat/>
    <w:uiPriority w:val="0"/>
    <w:pPr>
      <w:jc w:val="center"/>
    </w:pPr>
    <w:rPr>
      <w:rFonts w:ascii="Times New Roman" w:hAnsi="Times New Roman" w:cs="Times New Roman"/>
      <w:sz w:val="21"/>
      <w:szCs w:val="20"/>
    </w:rPr>
  </w:style>
  <w:style w:type="character" w:customStyle="1" w:styleId="165">
    <w:name w:val="表格 Char"/>
    <w:link w:val="164"/>
    <w:qFormat/>
    <w:uiPriority w:val="0"/>
    <w:rPr>
      <w:rFonts w:ascii="Times New Roman" w:hAnsi="Times New Roman" w:eastAsia="宋体" w:cs="Times New Roman"/>
      <w:szCs w:val="20"/>
    </w:rPr>
  </w:style>
  <w:style w:type="paragraph" w:customStyle="1" w:styleId="166">
    <w:name w:val="reader-word-layer"/>
    <w:basedOn w:val="1"/>
    <w:qFormat/>
    <w:uiPriority w:val="0"/>
    <w:pPr>
      <w:widowControl/>
      <w:spacing w:before="100" w:beforeAutospacing="1" w:after="100" w:afterAutospacing="1"/>
      <w:jc w:val="left"/>
    </w:pPr>
    <w:rPr>
      <w:rFonts w:ascii="宋体" w:hAnsi="宋体" w:cs="宋体"/>
      <w:kern w:val="0"/>
      <w:szCs w:val="24"/>
    </w:rPr>
  </w:style>
  <w:style w:type="paragraph" w:customStyle="1" w:styleId="167">
    <w:name w:val="[基本段落]"/>
    <w:basedOn w:val="1"/>
    <w:qFormat/>
    <w:uiPriority w:val="99"/>
    <w:pPr>
      <w:autoSpaceDE w:val="0"/>
      <w:autoSpaceDN w:val="0"/>
      <w:adjustRightInd w:val="0"/>
      <w:spacing w:line="288" w:lineRule="auto"/>
      <w:textAlignment w:val="center"/>
    </w:pPr>
    <w:rPr>
      <w:rFonts w:ascii="Adobe 宋体 Std L" w:eastAsia="Adobe 宋体 Std L" w:cs="Adobe 宋体 Std L" w:hAnsiTheme="minorHAnsi"/>
      <w:color w:val="000000"/>
      <w:kern w:val="0"/>
      <w:szCs w:val="24"/>
      <w:lang w:val="zh-CN"/>
    </w:rPr>
  </w:style>
  <w:style w:type="paragraph" w:customStyle="1" w:styleId="168">
    <w:name w:val="正文29"/>
    <w:basedOn w:val="1"/>
    <w:qFormat/>
    <w:uiPriority w:val="0"/>
    <w:pPr>
      <w:overflowPunct w:val="0"/>
      <w:topLinePunct/>
      <w:snapToGrid w:val="0"/>
      <w:spacing w:line="580" w:lineRule="exact"/>
      <w:ind w:firstLine="567"/>
      <w:jc w:val="left"/>
    </w:pPr>
    <w:rPr>
      <w:rFonts w:ascii="Times New Roman" w:hAnsi="Times New Roman"/>
      <w:kern w:val="0"/>
      <w:sz w:val="28"/>
      <w:szCs w:val="28"/>
      <w:lang w:val="zh-CN"/>
    </w:rPr>
  </w:style>
  <w:style w:type="character" w:customStyle="1" w:styleId="169">
    <w:name w:val="副标题 Char1"/>
    <w:basedOn w:val="39"/>
    <w:qFormat/>
    <w:locked/>
    <w:uiPriority w:val="99"/>
    <w:rPr>
      <w:rFonts w:ascii="Cambria" w:hAnsi="Cambria" w:eastAsia="Cambria" w:cs="Times New Roman"/>
      <w:b/>
      <w:kern w:val="28"/>
      <w:sz w:val="32"/>
      <w:szCs w:val="32"/>
    </w:rPr>
  </w:style>
  <w:style w:type="paragraph" w:customStyle="1" w:styleId="170">
    <w:name w:val="正文内容"/>
    <w:basedOn w:val="3"/>
    <w:link w:val="171"/>
    <w:qFormat/>
    <w:uiPriority w:val="1"/>
    <w:pPr>
      <w:spacing w:after="0" w:line="360" w:lineRule="auto"/>
      <w:ind w:firstLine="200" w:firstLineChars="200"/>
    </w:pPr>
    <w:rPr>
      <w:rFonts w:eastAsia="仿宋_GB2312"/>
      <w:w w:val="95"/>
      <w:kern w:val="0"/>
      <w:szCs w:val="28"/>
    </w:rPr>
  </w:style>
  <w:style w:type="character" w:customStyle="1" w:styleId="171">
    <w:name w:val="正文内容 Char"/>
    <w:basedOn w:val="55"/>
    <w:link w:val="170"/>
    <w:qFormat/>
    <w:uiPriority w:val="1"/>
    <w:rPr>
      <w:rFonts w:eastAsia="仿宋_GB2312"/>
      <w:w w:val="95"/>
      <w:kern w:val="0"/>
      <w:szCs w:val="28"/>
    </w:rPr>
  </w:style>
  <w:style w:type="paragraph" w:customStyle="1" w:styleId="172">
    <w:name w:val="!正文(alt+c)"/>
    <w:link w:val="173"/>
    <w:qFormat/>
    <w:uiPriority w:val="0"/>
    <w:pPr>
      <w:spacing w:line="312" w:lineRule="auto"/>
      <w:ind w:firstLine="200" w:firstLineChars="200"/>
      <w:jc w:val="both"/>
    </w:pPr>
    <w:rPr>
      <w:rFonts w:ascii="Calibri" w:hAnsi="Calibri" w:eastAsia="宋体" w:cs="Times New Roman"/>
      <w:color w:val="000000"/>
      <w:kern w:val="2"/>
      <w:sz w:val="24"/>
      <w:szCs w:val="24"/>
      <w:lang w:val="en-US" w:eastAsia="zh-CN" w:bidi="ar-SA"/>
    </w:rPr>
  </w:style>
  <w:style w:type="character" w:customStyle="1" w:styleId="173">
    <w:name w:val="!正文(alt+c) Char"/>
    <w:link w:val="172"/>
    <w:qFormat/>
    <w:uiPriority w:val="0"/>
    <w:rPr>
      <w:rFonts w:ascii="Calibri" w:hAnsi="Calibri" w:eastAsia="宋体" w:cs="Times New Roman"/>
      <w:color w:val="000000"/>
      <w:sz w:val="24"/>
      <w:szCs w:val="24"/>
    </w:rPr>
  </w:style>
  <w:style w:type="paragraph" w:customStyle="1" w:styleId="174">
    <w:name w:val="xl43"/>
    <w:basedOn w:val="1"/>
    <w:qFormat/>
    <w:uiPriority w:val="0"/>
    <w:pPr>
      <w:widowControl/>
      <w:spacing w:before="100" w:beforeAutospacing="1" w:after="100" w:afterAutospacing="1"/>
      <w:jc w:val="center"/>
      <w:textAlignment w:val="center"/>
    </w:pPr>
    <w:rPr>
      <w:rFonts w:ascii="黑体" w:hAnsi="Arial Unicode MS" w:eastAsia="黑体" w:cs="Arial Unicode MS"/>
      <w:b/>
      <w:bCs/>
      <w:color w:val="000000"/>
      <w:kern w:val="0"/>
      <w:sz w:val="28"/>
      <w:szCs w:val="28"/>
    </w:rPr>
  </w:style>
  <w:style w:type="table" w:customStyle="1" w:styleId="175">
    <w:name w:val="网格型4"/>
    <w:basedOn w:val="37"/>
    <w:qFormat/>
    <w:uiPriority w:val="5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paragraph" w:customStyle="1" w:styleId="176">
    <w:name w:val="标题4"/>
    <w:basedOn w:val="1"/>
    <w:qFormat/>
    <w:uiPriority w:val="0"/>
    <w:rPr>
      <w:rFonts w:eastAsia="仿宋_GB2312"/>
      <w:sz w:val="28"/>
    </w:rPr>
  </w:style>
  <w:style w:type="paragraph" w:customStyle="1" w:styleId="177">
    <w:name w:val="8"/>
    <w:basedOn w:val="1"/>
    <w:next w:val="19"/>
    <w:qFormat/>
    <w:uiPriority w:val="0"/>
    <w:pPr>
      <w:spacing w:before="120" w:line="440" w:lineRule="exact"/>
      <w:jc w:val="center"/>
    </w:pPr>
    <w:rPr>
      <w:rFonts w:ascii="仿宋_GB2312" w:hAnsi="Courier New" w:eastAsia="仿宋_GB2312"/>
      <w:b/>
      <w:bCs/>
      <w:szCs w:val="20"/>
    </w:rPr>
  </w:style>
  <w:style w:type="table" w:customStyle="1" w:styleId="178">
    <w:name w:val="网格型1"/>
    <w:basedOn w:val="37"/>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79">
    <w:name w:val="正文首行缩进 Char1"/>
    <w:basedOn w:val="55"/>
    <w:link w:val="2"/>
    <w:semiHidden/>
    <w:qFormat/>
    <w:uiPriority w:val="99"/>
    <w:rPr>
      <w:rFonts w:ascii="Calibri" w:hAnsi="Calibri" w:cs="黑体"/>
      <w:kern w:val="2"/>
      <w:szCs w:val="22"/>
    </w:rPr>
  </w:style>
  <w:style w:type="paragraph" w:customStyle="1" w:styleId="180">
    <w:name w:val="正文-公1"/>
    <w:basedOn w:val="1"/>
    <w:unhideWhenUsed/>
    <w:qFormat/>
    <w:uiPriority w:val="99"/>
    <w:pPr>
      <w:ind w:firstLine="200" w:firstLineChars="200"/>
    </w:pPr>
    <w:rPr>
      <w:rFonts w:hint="eastAsia"/>
      <w:color w:val="000000"/>
      <w:sz w:val="21"/>
    </w:rPr>
  </w:style>
  <w:style w:type="character" w:customStyle="1" w:styleId="181">
    <w:name w:val="!正文 Char1"/>
    <w:qFormat/>
    <w:uiPriority w:val="0"/>
    <w:rPr>
      <w:u w:color="000000"/>
    </w:rPr>
  </w:style>
  <w:style w:type="character" w:customStyle="1" w:styleId="182">
    <w:name w:val="font171"/>
    <w:basedOn w:val="39"/>
    <w:qFormat/>
    <w:uiPriority w:val="0"/>
    <w:rPr>
      <w:rFonts w:hint="eastAsia" w:ascii="仿宋_GB2312" w:eastAsia="仿宋_GB2312" w:cs="仿宋_GB2312"/>
      <w:color w:val="000000"/>
      <w:sz w:val="24"/>
      <w:szCs w:val="24"/>
      <w:u w:val="none"/>
    </w:rPr>
  </w:style>
  <w:style w:type="table" w:customStyle="1" w:styleId="183">
    <w:name w:val="Table Normal"/>
    <w:semiHidden/>
    <w:unhideWhenUsed/>
    <w:qFormat/>
    <w:uiPriority w:val="0"/>
    <w:tblPr>
      <w:tblCellMar>
        <w:top w:w="0" w:type="dxa"/>
        <w:left w:w="0" w:type="dxa"/>
        <w:bottom w:w="0" w:type="dxa"/>
        <w:right w:w="0" w:type="dxa"/>
      </w:tblCellMar>
    </w:tblPr>
  </w:style>
  <w:style w:type="paragraph" w:customStyle="1" w:styleId="184">
    <w:name w:val="表格内容"/>
    <w:basedOn w:val="1"/>
    <w:qFormat/>
    <w:uiPriority w:val="0"/>
    <w:pPr>
      <w:spacing w:line="240" w:lineRule="atLeast"/>
      <w:jc w:val="center"/>
    </w:pPr>
    <w:rPr>
      <w:rFonts w:ascii="Times New Roman" w:hAnsi="Times New Roman" w:eastAsia="仿宋_GB2312"/>
      <w:sz w:val="21"/>
    </w:rPr>
  </w:style>
  <w:style w:type="character" w:customStyle="1" w:styleId="185">
    <w:name w:val="标题 5 Char"/>
    <w:basedOn w:val="39"/>
    <w:link w:val="8"/>
    <w:qFormat/>
    <w:uiPriority w:val="9"/>
    <w:rPr>
      <w:rFonts w:ascii="Times New Roman" w:hAnsi="Times New Roman" w:eastAsia="仿宋_GB2312" w:cs="黑体"/>
      <w:b/>
      <w:kern w:val="2"/>
      <w:sz w:val="44"/>
      <w:szCs w:val="22"/>
    </w:rPr>
  </w:style>
  <w:style w:type="paragraph" w:customStyle="1" w:styleId="186">
    <w:name w:val="表头图名"/>
    <w:basedOn w:val="1"/>
    <w:link w:val="189"/>
    <w:qFormat/>
    <w:uiPriority w:val="0"/>
    <w:pPr>
      <w:spacing w:line="360" w:lineRule="auto"/>
      <w:jc w:val="center"/>
    </w:pPr>
    <w:rPr>
      <w:rFonts w:ascii="Times New Roman" w:hAnsi="Times New Roman" w:eastAsia="仿宋_GB2312" w:cstheme="minorBidi"/>
      <w:b/>
    </w:rPr>
  </w:style>
  <w:style w:type="paragraph" w:customStyle="1" w:styleId="187">
    <w:name w:val="页眉1"/>
    <w:basedOn w:val="1"/>
    <w:next w:val="1"/>
    <w:qFormat/>
    <w:uiPriority w:val="0"/>
    <w:pPr>
      <w:keepNext/>
      <w:keepLines/>
      <w:pBdr>
        <w:top w:val="none" w:color="auto" w:sz="0" w:space="1"/>
        <w:left w:val="none" w:color="auto" w:sz="0" w:space="4"/>
        <w:bottom w:val="single" w:color="auto" w:sz="4" w:space="1"/>
        <w:right w:val="none" w:color="auto" w:sz="0" w:space="4"/>
      </w:pBdr>
      <w:spacing w:line="240" w:lineRule="atLeast"/>
      <w:jc w:val="center"/>
      <w:outlineLvl w:val="0"/>
    </w:pPr>
    <w:rPr>
      <w:rFonts w:ascii="Times New Roman" w:hAnsi="Times New Roman" w:eastAsia="仿宋_GB2312" w:cs="Times New Roman"/>
      <w:kern w:val="44"/>
      <w:sz w:val="18"/>
      <w:szCs w:val="36"/>
    </w:rPr>
  </w:style>
  <w:style w:type="paragraph" w:customStyle="1" w:styleId="188">
    <w:name w:val="页脚1"/>
    <w:basedOn w:val="1"/>
    <w:qFormat/>
    <w:uiPriority w:val="0"/>
    <w:pPr>
      <w:pBdr>
        <w:top w:val="single" w:color="auto" w:sz="4" w:space="1"/>
        <w:left w:val="none" w:color="auto" w:sz="0" w:space="4"/>
        <w:bottom w:val="none" w:color="auto" w:sz="0" w:space="1"/>
        <w:right w:val="none" w:color="auto" w:sz="0" w:space="4"/>
      </w:pBdr>
      <w:spacing w:line="240" w:lineRule="atLeast"/>
      <w:jc w:val="center"/>
    </w:pPr>
    <w:rPr>
      <w:rFonts w:ascii="Times New Roman" w:hAnsi="Times New Roman" w:eastAsia="仿宋_GB2312"/>
      <w:sz w:val="18"/>
      <w:szCs w:val="28"/>
    </w:rPr>
  </w:style>
  <w:style w:type="character" w:customStyle="1" w:styleId="189">
    <w:name w:val="表头图名 Char"/>
    <w:link w:val="186"/>
    <w:qFormat/>
    <w:uiPriority w:val="0"/>
    <w:rPr>
      <w:rFonts w:ascii="Times New Roman" w:hAnsi="Times New Roman" w:eastAsia="仿宋_GB2312"/>
      <w:b/>
      <w:kern w:val="2"/>
      <w:sz w:val="24"/>
      <w:szCs w:val="22"/>
    </w:rPr>
  </w:style>
  <w:style w:type="character" w:customStyle="1" w:styleId="190">
    <w:name w:val="font91"/>
    <w:basedOn w:val="39"/>
    <w:qFormat/>
    <w:uiPriority w:val="0"/>
    <w:rPr>
      <w:rFonts w:hint="default" w:ascii="Times New Roman" w:hAnsi="Times New Roman" w:cs="Times New Roman"/>
      <w:b/>
      <w:bCs/>
      <w:color w:val="000000"/>
      <w:sz w:val="22"/>
      <w:szCs w:val="22"/>
      <w:u w:val="none"/>
    </w:rPr>
  </w:style>
  <w:style w:type="character" w:customStyle="1" w:styleId="191">
    <w:name w:val="font251"/>
    <w:basedOn w:val="39"/>
    <w:qFormat/>
    <w:uiPriority w:val="0"/>
    <w:rPr>
      <w:rFonts w:hint="default" w:ascii="Times New Roman" w:hAnsi="Times New Roman" w:cs="Times New Roman"/>
      <w:color w:val="000000"/>
      <w:sz w:val="24"/>
      <w:szCs w:val="24"/>
      <w:u w:val="none"/>
      <w:vertAlign w:val="superscript"/>
    </w:rPr>
  </w:style>
  <w:style w:type="character" w:customStyle="1" w:styleId="192">
    <w:name w:val="font201"/>
    <w:basedOn w:val="39"/>
    <w:qFormat/>
    <w:uiPriority w:val="0"/>
    <w:rPr>
      <w:rFonts w:hint="default" w:ascii="Times New Roman" w:hAnsi="Times New Roman" w:cs="Times New Roman"/>
      <w:color w:val="FF0000"/>
      <w:sz w:val="21"/>
      <w:szCs w:val="21"/>
      <w:u w:val="none"/>
      <w:vertAlign w:val="superscript"/>
    </w:rPr>
  </w:style>
  <w:style w:type="character" w:customStyle="1" w:styleId="193">
    <w:name w:val="font261"/>
    <w:basedOn w:val="39"/>
    <w:qFormat/>
    <w:uiPriority w:val="0"/>
    <w:rPr>
      <w:rFonts w:hint="eastAsia" w:ascii="仿宋_GB2312" w:eastAsia="仿宋_GB2312" w:cs="仿宋_GB2312"/>
      <w:color w:val="FF0000"/>
      <w:sz w:val="22"/>
      <w:szCs w:val="22"/>
      <w:u w:val="none"/>
    </w:rPr>
  </w:style>
  <w:style w:type="character" w:customStyle="1" w:styleId="194">
    <w:name w:val="font111"/>
    <w:basedOn w:val="39"/>
    <w:qFormat/>
    <w:uiPriority w:val="0"/>
    <w:rPr>
      <w:rFonts w:hint="default" w:ascii="Times New Roman" w:hAnsi="Times New Roman" w:cs="Times New Roman"/>
      <w:color w:val="000000"/>
      <w:sz w:val="21"/>
      <w:szCs w:val="21"/>
      <w:u w:val="none"/>
    </w:rPr>
  </w:style>
  <w:style w:type="character" w:customStyle="1" w:styleId="195">
    <w:name w:val="font122"/>
    <w:basedOn w:val="39"/>
    <w:qFormat/>
    <w:uiPriority w:val="0"/>
    <w:rPr>
      <w:rFonts w:hint="eastAsia" w:ascii="仿宋_GB2312" w:eastAsia="仿宋_GB2312" w:cs="仿宋_GB2312"/>
      <w:color w:val="000000"/>
      <w:sz w:val="21"/>
      <w:szCs w:val="21"/>
      <w:u w:val="none"/>
    </w:rPr>
  </w:style>
  <w:style w:type="paragraph" w:customStyle="1" w:styleId="196">
    <w:name w:val="样式 首行缩进:  2 字符"/>
    <w:basedOn w:val="1"/>
    <w:qFormat/>
    <w:uiPriority w:val="0"/>
    <w:pPr>
      <w:spacing w:before="120" w:after="120" w:line="360" w:lineRule="auto"/>
      <w:ind w:firstLine="582" w:firstLineChars="200"/>
    </w:pPr>
    <w:rPr>
      <w:rFonts w:ascii="Times New Roman" w:hAnsi="Times New Roman" w:eastAsia="仿宋_GB2312" w:cs="宋体"/>
      <w:kern w:val="10"/>
      <w:sz w:val="28"/>
      <w:szCs w:val="28"/>
    </w:rPr>
  </w:style>
  <w:style w:type="character" w:customStyle="1" w:styleId="197">
    <w:name w:val="font211"/>
    <w:basedOn w:val="39"/>
    <w:qFormat/>
    <w:uiPriority w:val="0"/>
    <w:rPr>
      <w:rFonts w:hint="default" w:ascii="Times New Roman" w:hAnsi="Times New Roman" w:cs="Times New Roman"/>
      <w:color w:val="000000"/>
      <w:sz w:val="24"/>
      <w:szCs w:val="24"/>
      <w:u w:val="none"/>
      <w:vertAlign w:val="superscript"/>
    </w:rPr>
  </w:style>
  <w:style w:type="paragraph" w:customStyle="1" w:styleId="198">
    <w:name w:val="备注内容"/>
    <w:basedOn w:val="1"/>
    <w:next w:val="109"/>
    <w:qFormat/>
    <w:uiPriority w:val="0"/>
    <w:pPr>
      <w:widowControl/>
      <w:snapToGrid w:val="0"/>
      <w:spacing w:line="360" w:lineRule="auto"/>
      <w:jc w:val="left"/>
    </w:pPr>
    <w:rPr>
      <w:rFonts w:ascii="Times New Roman" w:hAnsi="Times New Roman" w:eastAsia="仿宋_GB2312"/>
      <w:b/>
      <w:kern w:val="0"/>
      <w:sz w:val="21"/>
      <w:szCs w:val="21"/>
    </w:rPr>
  </w:style>
  <w:style w:type="character" w:customStyle="1" w:styleId="199">
    <w:name w:val="font191"/>
    <w:basedOn w:val="39"/>
    <w:qFormat/>
    <w:uiPriority w:val="0"/>
    <w:rPr>
      <w:rFonts w:hint="default" w:ascii="Times New Roman" w:hAnsi="Times New Roman" w:cs="Times New Roman"/>
      <w:color w:val="000000"/>
      <w:sz w:val="24"/>
      <w:szCs w:val="24"/>
      <w:u w:val="none"/>
      <w:vertAlign w:val="superscript"/>
    </w:rPr>
  </w:style>
  <w:style w:type="character" w:customStyle="1" w:styleId="200">
    <w:name w:val="font222"/>
    <w:basedOn w:val="39"/>
    <w:qFormat/>
    <w:uiPriority w:val="0"/>
    <w:rPr>
      <w:rFonts w:hint="default" w:ascii="Times New Roman" w:hAnsi="Times New Roman" w:cs="Times New Roman"/>
      <w:color w:val="FF0000"/>
      <w:sz w:val="21"/>
      <w:szCs w:val="21"/>
      <w:u w:val="none"/>
      <w:vertAlign w:val="superscript"/>
    </w:rPr>
  </w:style>
  <w:style w:type="character" w:customStyle="1" w:styleId="201">
    <w:name w:val="c-icon28"/>
    <w:basedOn w:val="39"/>
    <w:qFormat/>
    <w:uiPriority w:val="0"/>
  </w:style>
  <w:style w:type="character" w:customStyle="1" w:styleId="202">
    <w:name w:val="hover23"/>
    <w:basedOn w:val="39"/>
    <w:qFormat/>
    <w:uiPriority w:val="0"/>
  </w:style>
  <w:style w:type="character" w:customStyle="1" w:styleId="203">
    <w:name w:val="hover24"/>
    <w:basedOn w:val="39"/>
    <w:qFormat/>
    <w:uiPriority w:val="0"/>
    <w:rPr>
      <w:color w:val="315EFB"/>
    </w:rPr>
  </w:style>
  <w:style w:type="paragraph" w:customStyle="1" w:styleId="204">
    <w:name w:val="表格1"/>
    <w:basedOn w:val="1"/>
    <w:qFormat/>
    <w:uiPriority w:val="0"/>
    <w:pPr>
      <w:spacing w:line="360" w:lineRule="auto"/>
      <w:ind w:firstLine="880" w:firstLineChars="200"/>
    </w:pPr>
    <w:rPr>
      <w:rFonts w:ascii="Times New Roman" w:hAnsi="Times New Roman" w:eastAsia="仿宋_GB2312"/>
    </w:rPr>
  </w:style>
  <w:style w:type="character" w:customStyle="1" w:styleId="205">
    <w:name w:val="标题 3 Char1"/>
    <w:basedOn w:val="39"/>
    <w:qFormat/>
    <w:uiPriority w:val="0"/>
    <w:rPr>
      <w:rFonts w:ascii="Times New Roman" w:hAnsi="Times New Roman" w:eastAsia="仿宋_GB2312"/>
      <w:b/>
      <w:bCs/>
      <w:kern w:val="2"/>
      <w:sz w:val="24"/>
      <w:szCs w:val="32"/>
    </w:rPr>
  </w:style>
  <w:style w:type="character" w:customStyle="1" w:styleId="206">
    <w:name w:val="font12"/>
    <w:basedOn w:val="39"/>
    <w:qFormat/>
    <w:uiPriority w:val="0"/>
    <w:rPr>
      <w:rFonts w:hint="eastAsia" w:ascii="仿宋_GB2312" w:eastAsia="仿宋_GB2312" w:cs="仿宋_GB2312"/>
      <w:b/>
      <w:bCs/>
      <w:color w:val="000000"/>
      <w:sz w:val="28"/>
      <w:szCs w:val="28"/>
      <w:u w:val="none"/>
    </w:rPr>
  </w:style>
  <w:style w:type="character" w:customStyle="1" w:styleId="207">
    <w:name w:val="font221"/>
    <w:basedOn w:val="39"/>
    <w:qFormat/>
    <w:uiPriority w:val="0"/>
    <w:rPr>
      <w:rFonts w:hint="eastAsia" w:ascii="仿宋_GB2312" w:eastAsia="仿宋_GB2312" w:cs="仿宋_GB2312"/>
      <w:color w:val="000000"/>
      <w:sz w:val="22"/>
      <w:szCs w:val="22"/>
      <w:u w:val="none"/>
    </w:rPr>
  </w:style>
  <w:style w:type="character" w:customStyle="1" w:styleId="208">
    <w:name w:val="font231"/>
    <w:basedOn w:val="39"/>
    <w:qFormat/>
    <w:uiPriority w:val="0"/>
    <w:rPr>
      <w:rFonts w:hint="eastAsia" w:ascii="仿宋_GB2312" w:eastAsia="仿宋_GB2312" w:cs="仿宋_GB2312"/>
      <w:color w:val="000000"/>
      <w:sz w:val="22"/>
      <w:szCs w:val="22"/>
      <w:u w:val="none"/>
    </w:rPr>
  </w:style>
  <w:style w:type="character" w:customStyle="1" w:styleId="209">
    <w:name w:val="font241"/>
    <w:basedOn w:val="39"/>
    <w:qFormat/>
    <w:uiPriority w:val="0"/>
    <w:rPr>
      <w:rFonts w:hint="eastAsia" w:ascii="仿宋_GB2312" w:eastAsia="仿宋_GB2312" w:cs="仿宋_GB2312"/>
      <w:color w:val="000000"/>
      <w:sz w:val="22"/>
      <w:szCs w:val="22"/>
      <w:u w:val="none"/>
    </w:rPr>
  </w:style>
  <w:style w:type="character" w:customStyle="1" w:styleId="210">
    <w:name w:val="font252"/>
    <w:basedOn w:val="39"/>
    <w:qFormat/>
    <w:uiPriority w:val="0"/>
    <w:rPr>
      <w:rFonts w:hint="eastAsia" w:ascii="仿宋_GB2312" w:eastAsia="仿宋_GB2312" w:cs="仿宋_GB2312"/>
      <w:color w:val="000000"/>
      <w:sz w:val="21"/>
      <w:szCs w:val="21"/>
      <w:u w:val="none"/>
    </w:rPr>
  </w:style>
  <w:style w:type="character" w:customStyle="1" w:styleId="211">
    <w:name w:val="font181"/>
    <w:basedOn w:val="39"/>
    <w:qFormat/>
    <w:uiPriority w:val="0"/>
    <w:rPr>
      <w:rFonts w:hint="eastAsia" w:ascii="仿宋_GB2312" w:eastAsia="仿宋_GB2312" w:cs="仿宋_GB2312"/>
      <w:color w:val="000000"/>
      <w:sz w:val="22"/>
      <w:szCs w:val="22"/>
      <w:u w:val="none"/>
    </w:rPr>
  </w:style>
  <w:style w:type="character" w:customStyle="1" w:styleId="212">
    <w:name w:val="font212"/>
    <w:basedOn w:val="39"/>
    <w:qFormat/>
    <w:uiPriority w:val="0"/>
    <w:rPr>
      <w:rFonts w:hint="eastAsia" w:ascii="仿宋_GB2312" w:eastAsia="仿宋_GB2312" w:cs="仿宋_GB2312"/>
      <w:color w:val="000000"/>
      <w:sz w:val="22"/>
      <w:szCs w:val="22"/>
      <w:u w:val="none"/>
    </w:rPr>
  </w:style>
  <w:style w:type="paragraph" w:customStyle="1" w:styleId="213">
    <w:name w:val="1正文"/>
    <w:basedOn w:val="1"/>
    <w:qFormat/>
    <w:uiPriority w:val="0"/>
    <w:pPr>
      <w:spacing w:line="360" w:lineRule="auto"/>
      <w:ind w:firstLine="200" w:firstLineChars="200"/>
    </w:pPr>
    <w:rPr>
      <w:rFonts w:ascii="Times New Roman" w:hAnsi="Times New Roman" w:eastAsia="仿宋_GB2312"/>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50.png"/><Relationship Id="rId98" Type="http://schemas.openxmlformats.org/officeDocument/2006/relationships/image" Target="media/image49.png"/><Relationship Id="rId97" Type="http://schemas.openxmlformats.org/officeDocument/2006/relationships/image" Target="media/image48.png"/><Relationship Id="rId96" Type="http://schemas.openxmlformats.org/officeDocument/2006/relationships/image" Target="media/image47.png"/><Relationship Id="rId95" Type="http://schemas.openxmlformats.org/officeDocument/2006/relationships/image" Target="media/image46.png"/><Relationship Id="rId94" Type="http://schemas.openxmlformats.org/officeDocument/2006/relationships/image" Target="media/image45.png"/><Relationship Id="rId93" Type="http://schemas.openxmlformats.org/officeDocument/2006/relationships/image" Target="media/image44.wmf"/><Relationship Id="rId92" Type="http://schemas.openxmlformats.org/officeDocument/2006/relationships/oleObject" Target="embeddings/oleObject3.bin"/><Relationship Id="rId91" Type="http://schemas.openxmlformats.org/officeDocument/2006/relationships/image" Target="media/image43.wmf"/><Relationship Id="rId90" Type="http://schemas.openxmlformats.org/officeDocument/2006/relationships/oleObject" Target="embeddings/oleObject2.bin"/><Relationship Id="rId9" Type="http://schemas.openxmlformats.org/officeDocument/2006/relationships/footer" Target="footer3.xml"/><Relationship Id="rId89" Type="http://schemas.openxmlformats.org/officeDocument/2006/relationships/image" Target="media/image42.wmf"/><Relationship Id="rId88" Type="http://schemas.openxmlformats.org/officeDocument/2006/relationships/oleObject" Target="embeddings/oleObject1.bin"/><Relationship Id="rId87" Type="http://schemas.openxmlformats.org/officeDocument/2006/relationships/image" Target="media/image41.jpeg"/><Relationship Id="rId86" Type="http://schemas.openxmlformats.org/officeDocument/2006/relationships/image" Target="media/image40.jpeg"/><Relationship Id="rId85" Type="http://schemas.openxmlformats.org/officeDocument/2006/relationships/image" Target="media/image39.jpeg"/><Relationship Id="rId84" Type="http://schemas.openxmlformats.org/officeDocument/2006/relationships/image" Target="media/image38.jpeg"/><Relationship Id="rId83" Type="http://schemas.openxmlformats.org/officeDocument/2006/relationships/image" Target="media/image37.jpeg"/><Relationship Id="rId82" Type="http://schemas.openxmlformats.org/officeDocument/2006/relationships/image" Target="media/image36.jpeg"/><Relationship Id="rId81" Type="http://schemas.openxmlformats.org/officeDocument/2006/relationships/image" Target="media/image35.png"/><Relationship Id="rId80" Type="http://schemas.openxmlformats.org/officeDocument/2006/relationships/image" Target="media/image34.png"/><Relationship Id="rId8" Type="http://schemas.openxmlformats.org/officeDocument/2006/relationships/header" Target="header4.xml"/><Relationship Id="rId79" Type="http://schemas.openxmlformats.org/officeDocument/2006/relationships/image" Target="media/image33.png"/><Relationship Id="rId78" Type="http://schemas.openxmlformats.org/officeDocument/2006/relationships/image" Target="media/image32.png"/><Relationship Id="rId77" Type="http://schemas.openxmlformats.org/officeDocument/2006/relationships/image" Target="media/image31.jpeg"/><Relationship Id="rId76" Type="http://schemas.openxmlformats.org/officeDocument/2006/relationships/image" Target="media/image30.jpeg"/><Relationship Id="rId75" Type="http://schemas.openxmlformats.org/officeDocument/2006/relationships/image" Target="media/image29.jpeg"/><Relationship Id="rId74" Type="http://schemas.openxmlformats.org/officeDocument/2006/relationships/image" Target="media/image28.jpeg"/><Relationship Id="rId73" Type="http://schemas.openxmlformats.org/officeDocument/2006/relationships/image" Target="media/image27.jpeg"/><Relationship Id="rId72" Type="http://schemas.openxmlformats.org/officeDocument/2006/relationships/image" Target="media/image26.jpeg"/><Relationship Id="rId71" Type="http://schemas.openxmlformats.org/officeDocument/2006/relationships/image" Target="media/image25.jpeg"/><Relationship Id="rId70" Type="http://schemas.openxmlformats.org/officeDocument/2006/relationships/image" Target="media/image24.jpeg"/><Relationship Id="rId7" Type="http://schemas.openxmlformats.org/officeDocument/2006/relationships/header" Target="header3.xml"/><Relationship Id="rId69" Type="http://schemas.openxmlformats.org/officeDocument/2006/relationships/image" Target="media/image23.jpeg"/><Relationship Id="rId68" Type="http://schemas.openxmlformats.org/officeDocument/2006/relationships/image" Target="media/image22.jpeg"/><Relationship Id="rId67" Type="http://schemas.openxmlformats.org/officeDocument/2006/relationships/image" Target="media/image21.png"/><Relationship Id="rId66" Type="http://schemas.openxmlformats.org/officeDocument/2006/relationships/image" Target="media/image20.png"/><Relationship Id="rId65" Type="http://schemas.openxmlformats.org/officeDocument/2006/relationships/image" Target="media/image19.png"/><Relationship Id="rId64" Type="http://schemas.openxmlformats.org/officeDocument/2006/relationships/image" Target="media/image18.jpeg"/><Relationship Id="rId63" Type="http://schemas.openxmlformats.org/officeDocument/2006/relationships/image" Target="media/image17.jpeg"/><Relationship Id="rId62" Type="http://schemas.openxmlformats.org/officeDocument/2006/relationships/image" Target="media/image16.jpeg"/><Relationship Id="rId61" Type="http://schemas.openxmlformats.org/officeDocument/2006/relationships/image" Target="media/image15.jpeg"/><Relationship Id="rId60" Type="http://schemas.openxmlformats.org/officeDocument/2006/relationships/image" Target="media/image14.jpeg"/><Relationship Id="rId6" Type="http://schemas.openxmlformats.org/officeDocument/2006/relationships/footer" Target="footer2.xml"/><Relationship Id="rId59" Type="http://schemas.openxmlformats.org/officeDocument/2006/relationships/image" Target="media/image13.jpeg"/><Relationship Id="rId58" Type="http://schemas.openxmlformats.org/officeDocument/2006/relationships/image" Target="media/image12.jpeg"/><Relationship Id="rId57" Type="http://schemas.openxmlformats.org/officeDocument/2006/relationships/image" Target="media/image11.jpeg"/><Relationship Id="rId56" Type="http://schemas.openxmlformats.org/officeDocument/2006/relationships/image" Target="media/image10.jpeg"/><Relationship Id="rId55" Type="http://schemas.openxmlformats.org/officeDocument/2006/relationships/image" Target="media/image9.png"/><Relationship Id="rId54" Type="http://schemas.openxmlformats.org/officeDocument/2006/relationships/image" Target="media/image8.png"/><Relationship Id="rId53" Type="http://schemas.openxmlformats.org/officeDocument/2006/relationships/image" Target="media/image7.png"/><Relationship Id="rId52" Type="http://schemas.openxmlformats.org/officeDocument/2006/relationships/image" Target="media/image6.jpeg"/><Relationship Id="rId51" Type="http://schemas.openxmlformats.org/officeDocument/2006/relationships/image" Target="media/image5.jpeg"/><Relationship Id="rId50" Type="http://schemas.openxmlformats.org/officeDocument/2006/relationships/image" Target="media/image4.jpeg"/><Relationship Id="rId5" Type="http://schemas.openxmlformats.org/officeDocument/2006/relationships/header" Target="header2.xml"/><Relationship Id="rId49" Type="http://schemas.openxmlformats.org/officeDocument/2006/relationships/image" Target="media/image3.jpeg"/><Relationship Id="rId48" Type="http://schemas.openxmlformats.org/officeDocument/2006/relationships/image" Target="media/image2.jpeg"/><Relationship Id="rId47" Type="http://schemas.openxmlformats.org/officeDocument/2006/relationships/image" Target="media/image1.jpeg"/><Relationship Id="rId46" Type="http://schemas.openxmlformats.org/officeDocument/2006/relationships/theme" Target="theme/theme1.xml"/><Relationship Id="rId45" Type="http://schemas.openxmlformats.org/officeDocument/2006/relationships/header" Target="header21.xml"/><Relationship Id="rId44" Type="http://schemas.openxmlformats.org/officeDocument/2006/relationships/footer" Target="footer22.xml"/><Relationship Id="rId43" Type="http://schemas.openxmlformats.org/officeDocument/2006/relationships/header" Target="header20.xml"/><Relationship Id="rId42" Type="http://schemas.openxmlformats.org/officeDocument/2006/relationships/footer" Target="footer21.xml"/><Relationship Id="rId41" Type="http://schemas.openxmlformats.org/officeDocument/2006/relationships/header" Target="header19.xml"/><Relationship Id="rId40" Type="http://schemas.openxmlformats.org/officeDocument/2006/relationships/header" Target="header18.xml"/><Relationship Id="rId4" Type="http://schemas.openxmlformats.org/officeDocument/2006/relationships/footer" Target="footer1.xml"/><Relationship Id="rId39" Type="http://schemas.openxmlformats.org/officeDocument/2006/relationships/footer" Target="footer20.xml"/><Relationship Id="rId38" Type="http://schemas.openxmlformats.org/officeDocument/2006/relationships/header" Target="header17.xml"/><Relationship Id="rId37" Type="http://schemas.openxmlformats.org/officeDocument/2006/relationships/footer" Target="footer19.xml"/><Relationship Id="rId36" Type="http://schemas.openxmlformats.org/officeDocument/2006/relationships/header" Target="header16.xml"/><Relationship Id="rId35" Type="http://schemas.openxmlformats.org/officeDocument/2006/relationships/footer" Target="footer18.xml"/><Relationship Id="rId34" Type="http://schemas.openxmlformats.org/officeDocument/2006/relationships/header" Target="header15.xml"/><Relationship Id="rId33" Type="http://schemas.openxmlformats.org/officeDocument/2006/relationships/footer" Target="footer17.xml"/><Relationship Id="rId32" Type="http://schemas.openxmlformats.org/officeDocument/2006/relationships/header" Target="header14.xml"/><Relationship Id="rId31" Type="http://schemas.openxmlformats.org/officeDocument/2006/relationships/footer" Target="footer16.xml"/><Relationship Id="rId30" Type="http://schemas.openxmlformats.org/officeDocument/2006/relationships/header" Target="header13.xml"/><Relationship Id="rId3" Type="http://schemas.openxmlformats.org/officeDocument/2006/relationships/header" Target="header1.xml"/><Relationship Id="rId29" Type="http://schemas.openxmlformats.org/officeDocument/2006/relationships/footer" Target="footer15.xml"/><Relationship Id="rId28" Type="http://schemas.openxmlformats.org/officeDocument/2006/relationships/header" Target="header12.xml"/><Relationship Id="rId27" Type="http://schemas.openxmlformats.org/officeDocument/2006/relationships/footer" Target="footer14.xml"/><Relationship Id="rId26" Type="http://schemas.openxmlformats.org/officeDocument/2006/relationships/header" Target="header11.xml"/><Relationship Id="rId25" Type="http://schemas.openxmlformats.org/officeDocument/2006/relationships/header" Target="header10.xml"/><Relationship Id="rId24" Type="http://schemas.openxmlformats.org/officeDocument/2006/relationships/header" Target="header9.xml"/><Relationship Id="rId23" Type="http://schemas.openxmlformats.org/officeDocument/2006/relationships/footer" Target="footer13.xml"/><Relationship Id="rId22" Type="http://schemas.openxmlformats.org/officeDocument/2006/relationships/footer" Target="footer12.xml"/><Relationship Id="rId21" Type="http://schemas.openxmlformats.org/officeDocument/2006/relationships/footer" Target="footer11.xml"/><Relationship Id="rId20" Type="http://schemas.openxmlformats.org/officeDocument/2006/relationships/footer" Target="footer10.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footer" Target="footer8.xml"/><Relationship Id="rId17" Type="http://schemas.openxmlformats.org/officeDocument/2006/relationships/footer" Target="footer7.xml"/><Relationship Id="rId16" Type="http://schemas.openxmlformats.org/officeDocument/2006/relationships/header" Target="header8.xml"/><Relationship Id="rId15" Type="http://schemas.openxmlformats.org/officeDocument/2006/relationships/footer" Target="footer6.xml"/><Relationship Id="rId14" Type="http://schemas.openxmlformats.org/officeDocument/2006/relationships/header" Target="header7.xml"/><Relationship Id="rId13" Type="http://schemas.openxmlformats.org/officeDocument/2006/relationships/footer" Target="footer5.xml"/><Relationship Id="rId12" Type="http://schemas.openxmlformats.org/officeDocument/2006/relationships/header" Target="header6.xml"/><Relationship Id="rId111" Type="http://schemas.openxmlformats.org/officeDocument/2006/relationships/fontTable" Target="fontTable.xml"/><Relationship Id="rId110" Type="http://schemas.openxmlformats.org/officeDocument/2006/relationships/customXml" Target="../customXml/item2.xml"/><Relationship Id="rId11" Type="http://schemas.openxmlformats.org/officeDocument/2006/relationships/footer" Target="footer4.xml"/><Relationship Id="rId109" Type="http://schemas.openxmlformats.org/officeDocument/2006/relationships/numbering" Target="numbering.xml"/><Relationship Id="rId108" Type="http://schemas.openxmlformats.org/officeDocument/2006/relationships/customXml" Target="../customXml/item1.xml"/><Relationship Id="rId107" Type="http://schemas.openxmlformats.org/officeDocument/2006/relationships/image" Target="media/image58.png"/><Relationship Id="rId106" Type="http://schemas.openxmlformats.org/officeDocument/2006/relationships/image" Target="media/image57.wmf"/><Relationship Id="rId105" Type="http://schemas.openxmlformats.org/officeDocument/2006/relationships/image" Target="media/image56.png"/><Relationship Id="rId104" Type="http://schemas.openxmlformats.org/officeDocument/2006/relationships/image" Target="media/image55.jpeg"/><Relationship Id="rId103" Type="http://schemas.openxmlformats.org/officeDocument/2006/relationships/image" Target="media/image54.jpeg"/><Relationship Id="rId102" Type="http://schemas.openxmlformats.org/officeDocument/2006/relationships/image" Target="media/image53.png"/><Relationship Id="rId101" Type="http://schemas.openxmlformats.org/officeDocument/2006/relationships/image" Target="media/image52.png"/><Relationship Id="rId100" Type="http://schemas.openxmlformats.org/officeDocument/2006/relationships/image" Target="media/image51.png"/><Relationship Id="rId10" Type="http://schemas.openxmlformats.org/officeDocument/2006/relationships/header" Target="head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3073"/>
    <customShpInfo spid="_x0000_s2050"/>
    <customShpInfo spid="_x0000_s2051"/>
    <customShpInfo spid="_x0000_s2052"/>
    <customShpInfo spid="_x0000_s2053"/>
    <customShpInfo spid="_x0000_s2054"/>
    <customShpInfo spid="_x0000_s2055"/>
    <customShpInfo spid="_x0000_s2128"/>
    <customShpInfo spid="_x0000_s2057"/>
    <customShpInfo spid="_x0000_s2058"/>
    <customShpInfo spid="_x0000_s2059"/>
    <customShpInfo spid="_x0000_s2060"/>
    <customShpInfo spid="_x0000_s2061"/>
    <customShpInfo spid="_x0000_s2062"/>
    <customShpInfo spid="_x0000_s2063"/>
    <customShpInfo spid="_x0000_s2064"/>
    <customShpInfo spid="_x0000_s2065"/>
    <customShpInfo spid="_x0000_s2066"/>
    <customShpInfo spid="_x0000_s2067"/>
    <customShpInfo spid="_x0000_s2068"/>
    <customShpInfo spid="_x0000_s2069"/>
    <customShpInfo spid="_x0000_s2070"/>
    <customShpInfo spid="_x0000_s2071"/>
    <customShpInfo spid="_x0000_s2072"/>
    <customShpInfo spid="_x0000_s2073"/>
    <customShpInfo spid="_x0000_s2074"/>
    <customShpInfo spid="_x0000_s2075"/>
    <customShpInfo spid="_x0000_s2076"/>
    <customShpInfo spid="_x0000_s2077"/>
    <customShpInfo spid="_x0000_s2078"/>
    <customShpInfo spid="_x0000_s2079"/>
    <customShpInfo spid="_x0000_s2080"/>
    <customShpInfo spid="_x0000_s2081"/>
    <customShpInfo spid="_x0000_s2082"/>
    <customShpInfo spid="_x0000_s2083"/>
    <customShpInfo spid="_x0000_s2084"/>
    <customShpInfo spid="_x0000_s2085"/>
    <customShpInfo spid="_x0000_s2086"/>
    <customShpInfo spid="_x0000_s2087"/>
    <customShpInfo spid="_x0000_s2088"/>
    <customShpInfo spid="_x0000_s2089"/>
    <customShpInfo spid="_x0000_s2090"/>
    <customShpInfo spid="_x0000_s2091"/>
    <customShpInfo spid="_x0000_s2092"/>
    <customShpInfo spid="_x0000_s2093"/>
    <customShpInfo spid="_x0000_s2094"/>
    <customShpInfo spid="_x0000_s2095"/>
    <customShpInfo spid="_x0000_s2096"/>
    <customShpInfo spid="_x0000_s2097"/>
    <customShpInfo spid="_x0000_s2098"/>
    <customShpInfo spid="_x0000_s2099"/>
    <customShpInfo spid="_x0000_s2100"/>
    <customShpInfo spid="_x0000_s2101"/>
    <customShpInfo spid="_x0000_s2102"/>
    <customShpInfo spid="_x0000_s2103"/>
    <customShpInfo spid="_x0000_s2104"/>
    <customShpInfo spid="_x0000_s2105"/>
    <customShpInfo spid="_x0000_s2106"/>
    <customShpInfo spid="_x0000_s2107"/>
    <customShpInfo spid="_x0000_s2108"/>
    <customShpInfo spid="_x0000_s2109"/>
    <customShpInfo spid="_x0000_s2110"/>
    <customShpInfo spid="_x0000_s2111"/>
    <customShpInfo spid="_x0000_s2112"/>
    <customShpInfo spid="_x0000_s2113"/>
    <customShpInfo spid="_x0000_s2114"/>
    <customShpInfo spid="_x0000_s2115"/>
    <customShpInfo spid="_x0000_s2116"/>
    <customShpInfo spid="_x0000_s2117"/>
    <customShpInfo spid="_x0000_s2118"/>
    <customShpInfo spid="_x0000_s2119"/>
    <customShpInfo spid="_x0000_s2120"/>
    <customShpInfo spid="_x0000_s2121"/>
    <customShpInfo spid="_x0000_s2122"/>
    <customShpInfo spid="_x0000_s2123"/>
    <customShpInfo spid="_x0000_s2124"/>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388796F-CEE2-4491-A530-53ED31E402A3}">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187</Pages>
  <Words>98264</Words>
  <Characters>115885</Characters>
  <Lines>910</Lines>
  <Paragraphs>256</Paragraphs>
  <TotalTime>54</TotalTime>
  <ScaleCrop>false</ScaleCrop>
  <LinksUpToDate>false</LinksUpToDate>
  <CharactersWithSpaces>116073</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2022-09-22T09:58:00Z</dcterms:created>
  <dc:creator>happy</dc:creator>
  <cp:lastModifiedBy>涛</cp:lastModifiedBy>
  <cp:lastPrinted>2022-09-28T03:32:00Z</cp:lastPrinted>
  <dcterms:modified xsi:type="dcterms:W3CDTF">2022-10-13T06:16:57Z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8C4EDA850643414FB33359C0AB1EA015</vt:lpwstr>
  </property>
</Properties>
</file>