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640" w:lineRule="exact"/>
        <w:jc w:val="center"/>
        <w:rPr>
          <w:rFonts w:hint="eastAsia" w:ascii="仿宋_GB2312" w:eastAsia="仿宋_GB2312"/>
          <w:color w:val="000000"/>
          <w:sz w:val="32"/>
          <w:szCs w:val="32"/>
        </w:rPr>
      </w:pPr>
      <w:bookmarkStart w:id="0" w:name="_GoBack"/>
      <w:r>
        <w:rPr>
          <w:rFonts w:hint="eastAsia" w:ascii="仿宋_GB2312" w:eastAsia="仿宋_GB2312"/>
          <w:color w:val="000000"/>
          <w:sz w:val="32"/>
          <w:szCs w:val="32"/>
        </w:rPr>
        <w:t>湖政办发</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20</w:t>
      </w:r>
      <w:r>
        <w:rPr>
          <w:rFonts w:hint="default" w:ascii="仿宋_GB2312" w:eastAsia="仿宋_GB2312"/>
          <w:color w:val="000000"/>
          <w:sz w:val="32"/>
          <w:szCs w:val="32"/>
          <w:lang w:val="en-US"/>
        </w:rPr>
        <w:t>2</w:t>
      </w:r>
      <w:r>
        <w:rPr>
          <w:rFonts w:hint="eastAsia" w:ascii="仿宋_GB2312" w:eastAsia="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26</w:t>
      </w:r>
      <w:r>
        <w:rPr>
          <w:rFonts w:hint="eastAsia" w:ascii="仿宋_GB2312" w:eastAsia="仿宋_GB2312"/>
          <w:color w:val="000000"/>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r>
        <w:rPr>
          <w:rFonts w:hint="eastAsia" w:ascii="方正小标宋简体" w:hAnsi="新宋体" w:eastAsia="方正小标宋简体"/>
          <w:b/>
          <w:sz w:val="44"/>
          <w:szCs w:val="44"/>
        </w:rPr>
        <mc:AlternateContent>
          <mc:Choice Requires="wps">
            <w:drawing>
              <wp:anchor distT="0" distB="0" distL="114300" distR="114300" simplePos="0" relativeHeight="251663360" behindDoc="0" locked="0" layoutInCell="1" allowOverlap="1">
                <wp:simplePos x="0" y="0"/>
                <wp:positionH relativeFrom="column">
                  <wp:posOffset>-61595</wp:posOffset>
                </wp:positionH>
                <wp:positionV relativeFrom="paragraph">
                  <wp:posOffset>206375</wp:posOffset>
                </wp:positionV>
                <wp:extent cx="57912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912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85pt;margin-top:16.25pt;height:0pt;width:456pt;z-index:251663360;mso-width-relative:page;mso-height-relative:page;" filled="f" stroked="t" coordsize="21600,21600" o:gfxdata="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IUG3NcAAAAIAQAADwAAAAAAAAABACAAAAAiAAAAZHJzL2Rvd25yZXYu&#10;eG1sUEsBAhQAFAAAAAgAh07iQNcllAP8AQAA8wMAAA4AAAAAAAAAAQAgAAAAJgEAAGRycy9lMm9E&#10;b2MueG1sUEsFBgAAAAAGAAYAWQEAAJQFAAAAAA==&#10;">
                <v:fill on="f" focussize="0,0"/>
                <v:stroke weight="2.25pt" color="#FF0000" joinstyle="round"/>
                <v:imagedata o:title=""/>
                <o:lock v:ext="edit" aspectratio="f"/>
              </v:line>
            </w:pict>
          </mc:Fallback>
        </mc:AlternateContent>
      </w:r>
      <w:r>
        <w:rPr>
          <w:rFonts w:hint="eastAsia" w:ascii="仿宋_GB2312" w:eastAsia="仿宋_GB2312"/>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-2023110</wp:posOffset>
                </wp:positionV>
                <wp:extent cx="6299200" cy="8286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99200" cy="828675"/>
                        </a:xfrm>
                        <a:prstGeom prst="rect">
                          <a:avLst/>
                        </a:prstGeom>
                        <a:noFill/>
                        <a:ln w="9525">
                          <a:noFill/>
                        </a:ln>
                        <a:effectLst/>
                      </wps:spPr>
                      <wps:txbx>
                        <w:txbxContent>
                          <w:p>
                            <w:pPr>
                              <w:pStyle w:val="5"/>
                              <w:rPr>
                                <w:rFonts w:hint="eastAsia" w:ascii="华文中宋" w:hAnsi="华文中宋" w:eastAsia="华文中宋"/>
                                <w:b/>
                                <w:color w:val="FF0000"/>
                                <w:spacing w:val="-40"/>
                                <w:w w:val="105"/>
                                <w:sz w:val="64"/>
                              </w:rPr>
                            </w:pPr>
                            <w:r>
                              <w:rPr>
                                <w:rFonts w:hint="eastAsia" w:ascii="华文中宋" w:hAnsi="华文中宋" w:eastAsia="华文中宋"/>
                                <w:b/>
                                <w:color w:val="FF0000"/>
                                <w:spacing w:val="-40"/>
                                <w:w w:val="105"/>
                                <w:sz w:val="64"/>
                              </w:rPr>
                              <w:t>南昌市青山湖区人民政府办公室文件</w:t>
                            </w:r>
                          </w:p>
                        </w:txbxContent>
                      </wps:txbx>
                      <wps:bodyPr upright="1"/>
                    </wps:wsp>
                  </a:graphicData>
                </a:graphic>
              </wp:anchor>
            </w:drawing>
          </mc:Choice>
          <mc:Fallback>
            <w:pict>
              <v:shape id="_x0000_s1026" o:spid="_x0000_s1026" o:spt="202" type="#_x0000_t202" style="position:absolute;left:0pt;margin-left:-31.4pt;margin-top:-159.3pt;height:65.25pt;width:496pt;z-index:251662336;mso-width-relative:page;mso-height-relative:page;" filled="f" stroked="f" coordsize="21600,21600" o:gfxdata="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PB9W2QAAAA0BAAAPAAAAAAAAAAEAIAAAACIAAABkcnMvZG93bnJldi54bWxQSwEC&#10;FAAUAAAACACHTuJArkD4WroBAABlAwAADgAAAAAAAAABACAAAAAoAQAAZHJzL2Uyb0RvYy54bWxQ&#10;SwUGAAAAAAYABgBZAQAAVAUAAAAA&#10;">
                <v:fill on="f" focussize="0,0"/>
                <v:stroke on="f"/>
                <v:imagedata o:title=""/>
                <o:lock v:ext="edit" aspectratio="f"/>
                <v:textbox>
                  <w:txbxContent>
                    <w:p>
                      <w:pPr>
                        <w:pStyle w:val="5"/>
                        <w:rPr>
                          <w:rFonts w:hint="eastAsia" w:ascii="华文中宋" w:hAnsi="华文中宋" w:eastAsia="华文中宋"/>
                          <w:b/>
                          <w:color w:val="FF0000"/>
                          <w:spacing w:val="-40"/>
                          <w:w w:val="105"/>
                          <w:sz w:val="64"/>
                        </w:rPr>
                      </w:pPr>
                      <w:r>
                        <w:rPr>
                          <w:rFonts w:hint="eastAsia" w:ascii="华文中宋" w:hAnsi="华文中宋" w:eastAsia="华文中宋"/>
                          <w:b/>
                          <w:color w:val="FF0000"/>
                          <w:spacing w:val="-40"/>
                          <w:w w:val="105"/>
                          <w:sz w:val="64"/>
                        </w:rPr>
                        <w:t>南昌市青山湖区人民政府办公室文件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华文中宋" w:eastAsia="方正小标宋简体"/>
          <w:b/>
          <w:bCs w:val="0"/>
          <w:sz w:val="44"/>
          <w:szCs w:val="44"/>
          <w:lang w:eastAsia="zh-CN"/>
        </w:rPr>
      </w:pPr>
      <w:r>
        <w:rPr>
          <w:rFonts w:hint="eastAsia" w:ascii="方正小标宋简体" w:hAnsi="华文中宋" w:eastAsia="方正小标宋简体"/>
          <w:b/>
          <w:bCs w:val="0"/>
          <w:sz w:val="44"/>
          <w:szCs w:val="44"/>
          <w:lang w:eastAsia="zh-CN"/>
        </w:rPr>
        <w:t>青山湖区人民政府办公室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宋体" w:eastAsia="方正小标宋简体"/>
          <w:b/>
          <w:sz w:val="44"/>
          <w:szCs w:val="44"/>
        </w:rPr>
      </w:pPr>
      <w:r>
        <w:rPr>
          <w:rFonts w:hint="eastAsia" w:ascii="方正小标宋简体" w:hAnsi="方正小标宋简体" w:eastAsia="方正小标宋简体" w:cs="方正小标宋简体"/>
          <w:b/>
          <w:bCs w:val="0"/>
          <w:spacing w:val="0"/>
          <w:kern w:val="0"/>
          <w:sz w:val="44"/>
          <w:szCs w:val="44"/>
          <w:lang w:val="en-US" w:eastAsia="zh-CN"/>
        </w:rPr>
        <w:t>关于印发</w:t>
      </w:r>
      <w:r>
        <w:rPr>
          <w:rFonts w:hint="eastAsia" w:ascii="方正小标宋简体" w:hAnsi="宋体" w:eastAsia="方正小标宋简体"/>
          <w:b/>
          <w:sz w:val="44"/>
          <w:szCs w:val="44"/>
        </w:rPr>
        <w:t>青山湖区燃气安全专项整治</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pacing w:val="0"/>
          <w:kern w:val="0"/>
          <w:sz w:val="44"/>
          <w:szCs w:val="44"/>
        </w:rPr>
      </w:pPr>
      <w:r>
        <w:rPr>
          <w:rFonts w:hint="eastAsia" w:ascii="方正小标宋简体" w:hAnsi="宋体" w:eastAsia="方正小标宋简体"/>
          <w:b/>
          <w:sz w:val="44"/>
          <w:szCs w:val="44"/>
        </w:rPr>
        <w:t>行动实施方案</w:t>
      </w:r>
      <w:r>
        <w:rPr>
          <w:rFonts w:hint="eastAsia" w:ascii="方正小标宋简体" w:hAnsi="方正小标宋简体" w:eastAsia="方正小标宋简体" w:cs="方正小标宋简体"/>
          <w:b/>
          <w:bCs w:val="0"/>
          <w:spacing w:val="0"/>
          <w:kern w:val="0"/>
          <w:sz w:val="44"/>
          <w:szCs w:val="44"/>
        </w:rPr>
        <w:t>的通知</w:t>
      </w:r>
    </w:p>
    <w:p>
      <w:pPr>
        <w:pStyle w:val="17"/>
        <w:keepNext w:val="0"/>
        <w:keepLines w:val="0"/>
        <w:pageBreakBefore w:val="0"/>
        <w:widowControl w:val="0"/>
        <w:kinsoku/>
        <w:wordWrap/>
        <w:overflowPunct/>
        <w:topLinePunct w:val="0"/>
        <w:autoSpaceDE/>
        <w:bidi w:val="0"/>
        <w:adjustRightInd/>
        <w:snapToGrid/>
        <w:spacing w:after="0" w:line="580" w:lineRule="exact"/>
        <w:rPr>
          <w:rFonts w:hint="eastAsia"/>
          <w:lang w:eastAsia="zh-CN"/>
        </w:rPr>
      </w:pPr>
    </w:p>
    <w:p>
      <w:pPr>
        <w:keepNext w:val="0"/>
        <w:keepLines w:val="0"/>
        <w:pageBreakBefore w:val="0"/>
        <w:widowControl w:val="0"/>
        <w:kinsoku/>
        <w:wordWrap/>
        <w:overflowPunct/>
        <w:topLinePunct w:val="0"/>
        <w:autoSpaceDE/>
        <w:bidi w:val="0"/>
        <w:adjustRightInd/>
        <w:snapToGrid/>
        <w:spacing w:line="580" w:lineRule="exact"/>
        <w:textAlignment w:val="auto"/>
        <w:rPr>
          <w:rFonts w:hint="eastAsia" w:ascii="方正仿宋简体" w:hAnsi="方正仿宋简体" w:eastAsia="方正仿宋简体" w:cs="方正仿宋简体"/>
          <w:color w:val="000000"/>
          <w:shd w:val="clear" w:color="auto" w:fill="FFFFFF"/>
        </w:rPr>
      </w:pPr>
      <w:r>
        <w:rPr>
          <w:rFonts w:hint="eastAsia" w:ascii="方正仿宋简体" w:hAnsi="方正仿宋简体" w:eastAsia="方正仿宋简体" w:cs="方正仿宋简体"/>
          <w:color w:val="000000"/>
          <w:shd w:val="clear" w:color="auto" w:fill="FFFFFF"/>
        </w:rPr>
        <w:t>各</w:t>
      </w:r>
      <w:r>
        <w:rPr>
          <w:rFonts w:hint="eastAsia" w:ascii="方正仿宋简体" w:hAnsi="方正仿宋简体" w:eastAsia="方正仿宋简体" w:cs="方正仿宋简体"/>
          <w:color w:val="000000"/>
          <w:shd w:val="clear" w:color="auto" w:fill="FFFFFF"/>
          <w:lang w:val="en-US" w:eastAsia="zh-CN"/>
        </w:rPr>
        <w:t>镇人民政府、街道办事处，高新技术产业园区，各有关部门：</w:t>
      </w:r>
    </w:p>
    <w:p>
      <w:pPr>
        <w:spacing w:line="520" w:lineRule="exact"/>
        <w:ind w:firstLine="624" w:firstLineChars="200"/>
        <w:jc w:val="left"/>
        <w:rPr>
          <w:rFonts w:hint="default" w:ascii="方正仿宋简体" w:hAnsi="方正仿宋简体" w:eastAsia="方正仿宋简体" w:cs="方正仿宋简体"/>
          <w:color w:val="000000"/>
          <w:shd w:val="clear" w:color="auto" w:fill="FFFFFF"/>
          <w:lang w:val="en-US" w:eastAsia="zh-CN"/>
        </w:rPr>
      </w:pPr>
      <w:r>
        <w:rPr>
          <w:rFonts w:hint="eastAsia" w:ascii="方正仿宋简体" w:hAnsi="方正仿宋简体" w:eastAsia="方正仿宋简体" w:cs="方正仿宋简体"/>
          <w:color w:val="000000"/>
          <w:shd w:val="clear" w:color="auto" w:fill="FFFFFF"/>
          <w:lang w:eastAsia="zh-CN"/>
        </w:rPr>
        <w:t>《</w:t>
      </w:r>
      <w:r>
        <w:rPr>
          <w:rFonts w:hint="eastAsia" w:ascii="方正仿宋简体" w:hAnsi="方正仿宋简体" w:eastAsia="方正仿宋简体" w:cs="方正仿宋简体"/>
          <w:color w:val="000000"/>
          <w:shd w:val="clear" w:color="auto" w:fill="FFFFFF"/>
        </w:rPr>
        <w:t>青山湖区燃气安全专项整治行动实施方案</w:t>
      </w:r>
      <w:r>
        <w:rPr>
          <w:rFonts w:hint="eastAsia" w:ascii="方正仿宋简体" w:hAnsi="方正仿宋简体" w:eastAsia="方正仿宋简体" w:cs="方正仿宋简体"/>
          <w:color w:val="000000"/>
          <w:shd w:val="clear" w:color="auto" w:fill="FFFFFF"/>
          <w:lang w:eastAsia="zh-CN"/>
        </w:rPr>
        <w:t>》</w:t>
      </w:r>
      <w:r>
        <w:rPr>
          <w:rFonts w:hint="eastAsia" w:ascii="方正仿宋简体" w:hAnsi="方正仿宋简体" w:eastAsia="方正仿宋简体" w:cs="方正仿宋简体"/>
          <w:color w:val="000000"/>
          <w:shd w:val="clear" w:color="auto" w:fill="FFFFFF"/>
          <w:lang w:val="en-US" w:eastAsia="zh-CN"/>
        </w:rPr>
        <w:t>已经区政府研究同意，现印发给你们，请认真遵照执行。</w:t>
      </w:r>
    </w:p>
    <w:p>
      <w:pPr>
        <w:pStyle w:val="17"/>
        <w:keepNext w:val="0"/>
        <w:keepLines w:val="0"/>
        <w:pageBreakBefore w:val="0"/>
        <w:widowControl w:val="0"/>
        <w:kinsoku/>
        <w:wordWrap/>
        <w:overflowPunct/>
        <w:topLinePunct w:val="0"/>
        <w:autoSpaceDE/>
        <w:bidi w:val="0"/>
        <w:adjustRightInd/>
        <w:snapToGrid/>
        <w:spacing w:after="0" w:line="580" w:lineRule="exact"/>
        <w:rPr>
          <w:rFonts w:hint="eastAsia" w:ascii="方正仿宋简体" w:hAnsi="方正仿宋简体" w:eastAsia="方正仿宋简体" w:cs="方正仿宋简体"/>
          <w:color w:val="000000"/>
          <w:shd w:val="clear" w:color="auto" w:fill="FFFFFF"/>
          <w:lang w:eastAsia="zh-CN"/>
        </w:rPr>
      </w:pPr>
    </w:p>
    <w:p>
      <w:pPr>
        <w:pStyle w:val="17"/>
        <w:keepNext w:val="0"/>
        <w:keepLines w:val="0"/>
        <w:pageBreakBefore w:val="0"/>
        <w:widowControl w:val="0"/>
        <w:kinsoku/>
        <w:wordWrap/>
        <w:overflowPunct/>
        <w:topLinePunct w:val="0"/>
        <w:autoSpaceDE/>
        <w:bidi w:val="0"/>
        <w:adjustRightInd/>
        <w:snapToGrid/>
        <w:spacing w:after="0" w:line="580" w:lineRule="exact"/>
        <w:rPr>
          <w:rFonts w:hint="eastAsia" w:ascii="方正仿宋简体" w:hAnsi="方正仿宋简体" w:eastAsia="方正仿宋简体" w:cs="方正仿宋简体"/>
          <w:color w:val="000000"/>
          <w:shd w:val="clear" w:color="auto" w:fill="FFFFFF"/>
          <w:lang w:eastAsia="zh-CN"/>
        </w:rPr>
      </w:pPr>
    </w:p>
    <w:p>
      <w:pPr>
        <w:pStyle w:val="17"/>
        <w:keepNext w:val="0"/>
        <w:keepLines w:val="0"/>
        <w:pageBreakBefore w:val="0"/>
        <w:widowControl w:val="0"/>
        <w:kinsoku/>
        <w:wordWrap/>
        <w:overflowPunct/>
        <w:topLinePunct w:val="0"/>
        <w:autoSpaceDE/>
        <w:bidi w:val="0"/>
        <w:adjustRightInd/>
        <w:snapToGrid/>
        <w:spacing w:after="0" w:line="580" w:lineRule="exact"/>
        <w:ind w:leftChars="1300"/>
        <w:jc w:val="center"/>
        <w:rPr>
          <w:rFonts w:hint="eastAsia" w:ascii="方正仿宋简体" w:hAnsi="方正仿宋简体" w:eastAsia="方正仿宋简体" w:cs="方正仿宋简体"/>
          <w:color w:val="000000"/>
          <w:shd w:val="clear" w:color="auto" w:fill="FFFFFF"/>
          <w:lang w:val="en-US" w:eastAsia="zh-CN"/>
        </w:rPr>
      </w:pPr>
      <w:r>
        <w:rPr>
          <w:rFonts w:hint="eastAsia" w:ascii="方正仿宋简体" w:hAnsi="方正仿宋简体" w:eastAsia="方正仿宋简体" w:cs="方正仿宋简体"/>
          <w:color w:val="000000"/>
          <w:shd w:val="clear" w:color="auto" w:fill="FFFFFF"/>
          <w:lang w:val="en-US" w:eastAsia="zh-CN"/>
        </w:rPr>
        <w:t>青山湖区人民政府办公室</w:t>
      </w:r>
    </w:p>
    <w:p>
      <w:pPr>
        <w:pStyle w:val="17"/>
        <w:keepNext w:val="0"/>
        <w:keepLines w:val="0"/>
        <w:pageBreakBefore w:val="0"/>
        <w:widowControl w:val="0"/>
        <w:kinsoku/>
        <w:wordWrap/>
        <w:overflowPunct/>
        <w:topLinePunct w:val="0"/>
        <w:autoSpaceDE/>
        <w:bidi w:val="0"/>
        <w:adjustRightInd/>
        <w:snapToGrid/>
        <w:spacing w:after="0" w:line="580" w:lineRule="exact"/>
        <w:ind w:leftChars="1300"/>
        <w:jc w:val="center"/>
        <w:rPr>
          <w:rFonts w:hint="eastAsia" w:ascii="方正仿宋简体" w:hAnsi="方正仿宋简体" w:eastAsia="方正仿宋简体" w:cs="方正仿宋简体"/>
          <w:color w:val="000000"/>
          <w:shd w:val="clear" w:color="auto" w:fill="FFFFFF"/>
          <w:lang w:val="en-US" w:eastAsia="zh-CN"/>
        </w:rPr>
      </w:pPr>
      <w:r>
        <w:rPr>
          <w:rFonts w:hint="eastAsia" w:ascii="方正仿宋简体" w:hAnsi="方正仿宋简体" w:eastAsia="方正仿宋简体" w:cs="方正仿宋简体"/>
          <w:color w:val="000000"/>
          <w:shd w:val="clear" w:color="auto" w:fill="FFFFFF"/>
          <w:lang w:val="en-US" w:eastAsia="zh-CN"/>
        </w:rPr>
        <w:t>2022年9月20日</w:t>
      </w:r>
    </w:p>
    <w:p>
      <w:pPr>
        <w:rPr>
          <w:rFonts w:hint="eastAsia" w:ascii="方正小标宋简体" w:eastAsia="方正小标宋简体"/>
          <w:b/>
          <w:bCs/>
          <w:sz w:val="44"/>
          <w:szCs w:val="44"/>
        </w:rPr>
      </w:pPr>
      <w:r>
        <w:rPr>
          <w:rFonts w:hint="eastAsia" w:ascii="方正小标宋简体" w:eastAsia="方正小标宋简体"/>
          <w:b/>
          <w:bCs/>
          <w:sz w:val="44"/>
          <w:szCs w:val="44"/>
        </w:rPr>
        <w:br w:type="page"/>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000000"/>
          <w:kern w:val="0"/>
          <w:sz w:val="44"/>
          <w:szCs w:val="20"/>
        </w:rPr>
      </w:pPr>
      <w:r>
        <w:rPr>
          <w:rFonts w:hint="eastAsia" w:ascii="方正小标宋简体" w:eastAsia="方正小标宋简体"/>
          <w:b/>
          <w:bCs/>
          <w:sz w:val="44"/>
        </w:rPr>
        <w:t>青山湖区燃气安全专项整治行动实施方案</w:t>
      </w:r>
    </w:p>
    <w:p>
      <w:pPr>
        <w:pStyle w:val="11"/>
        <w:rPr>
          <w:rFonts w:hint="eastAsia"/>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2021年以来，全国城镇燃气较大以上事故多发频发，燃气事故的数量呈现上升趋势。为深入贯彻落实习近平总书记关于安全生产工作的一系列重要指示精神，加强全区燃气安全专项整治，依据住房城乡建设部、省住建厅《城市建设安全专项整治三年行动实施方案》</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rPr>
        <w:t>省安委会《关于印发江西省城镇燃气安全排查整治工作实施方案的通知》</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rPr>
        <w:t>市安委会《关于印发南昌市城镇燃气安全排查整治工作实施方案的通知》</w:t>
      </w:r>
      <w:r>
        <w:rPr>
          <w:rFonts w:hint="eastAsia" w:ascii="方正仿宋简体" w:hAnsi="方正仿宋简体" w:eastAsia="方正仿宋简体" w:cs="方正仿宋简体"/>
          <w:color w:val="000000"/>
          <w:kern w:val="0"/>
          <w:sz w:val="32"/>
          <w:szCs w:val="32"/>
          <w:lang w:val="en-US" w:eastAsia="zh-CN"/>
        </w:rPr>
        <w:t>和市政府《关于印发南昌市燃气安全专项整治行动实施方案的通知》</w:t>
      </w:r>
      <w:r>
        <w:rPr>
          <w:rFonts w:hint="eastAsia" w:ascii="方正仿宋简体" w:hAnsi="方正仿宋简体" w:eastAsia="方正仿宋简体" w:cs="方正仿宋简体"/>
          <w:color w:val="000000"/>
          <w:kern w:val="0"/>
          <w:sz w:val="32"/>
          <w:szCs w:val="32"/>
        </w:rPr>
        <w:t>以及区委区政府统一部署,结合我区实际，制定本方案。</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24" w:firstLineChars="200"/>
        <w:textAlignment w:val="auto"/>
        <w:outlineLvl w:val="0"/>
        <w:rPr>
          <w:rFonts w:ascii="黑体" w:hAnsi="黑体" w:eastAsia="黑体"/>
          <w:b w:val="0"/>
          <w:bCs w:val="0"/>
          <w:color w:val="000000"/>
          <w:kern w:val="0"/>
          <w:sz w:val="32"/>
          <w:szCs w:val="32"/>
        </w:rPr>
      </w:pPr>
      <w:r>
        <w:rPr>
          <w:rFonts w:hint="eastAsia" w:ascii="黑体" w:hAnsi="黑体" w:eastAsia="黑体"/>
          <w:b w:val="0"/>
          <w:bCs w:val="0"/>
          <w:color w:val="000000"/>
          <w:kern w:val="0"/>
          <w:sz w:val="32"/>
          <w:szCs w:val="32"/>
        </w:rPr>
        <w:t>一、工作目标</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一是全面完成老旧燃气管道改造和违章压占燃气管道整改。二是加快落实非居民燃气用户安装可燃气体安全装置，鼓励居民用户安装可燃气体安装装置。要建章立制，确保专项整治行动取得积极成效</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rPr>
        <w:t>切实减少一般事故，有效控制较大事故，坚决遏制重特大事故发生，确保人民群众生命财产安全。</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24" w:firstLineChars="200"/>
        <w:textAlignment w:val="auto"/>
        <w:outlineLvl w:val="0"/>
        <w:rPr>
          <w:rFonts w:hint="eastAsia" w:ascii="黑体" w:hAnsi="黑体" w:eastAsia="黑体" w:cs="Times New Roman"/>
          <w:b w:val="0"/>
          <w:bCs w:val="0"/>
          <w:color w:val="000000"/>
          <w:kern w:val="0"/>
          <w:sz w:val="32"/>
          <w:szCs w:val="32"/>
        </w:rPr>
      </w:pPr>
      <w:r>
        <w:rPr>
          <w:rFonts w:hint="eastAsia" w:ascii="黑体" w:hAnsi="黑体" w:eastAsia="黑体" w:cs="Times New Roman"/>
          <w:b w:val="0"/>
          <w:bCs w:val="0"/>
          <w:color w:val="000000"/>
          <w:kern w:val="0"/>
          <w:sz w:val="32"/>
          <w:szCs w:val="32"/>
        </w:rPr>
        <w:t>二、</w:t>
      </w:r>
      <w:r>
        <w:rPr>
          <w:rFonts w:hint="eastAsia" w:ascii="黑体" w:hAnsi="黑体" w:eastAsia="黑体" w:cs="Times New Roman"/>
          <w:b w:val="0"/>
          <w:bCs w:val="0"/>
          <w:color w:val="000000"/>
          <w:kern w:val="0"/>
          <w:sz w:val="32"/>
          <w:szCs w:val="32"/>
          <w:lang w:val="en-US" w:eastAsia="zh-CN"/>
        </w:rPr>
        <w:t>主要</w:t>
      </w:r>
      <w:r>
        <w:rPr>
          <w:rFonts w:hint="eastAsia" w:ascii="黑体" w:hAnsi="黑体" w:eastAsia="黑体" w:cs="Times New Roman"/>
          <w:b w:val="0"/>
          <w:bCs w:val="0"/>
          <w:color w:val="000000"/>
          <w:kern w:val="0"/>
          <w:sz w:val="32"/>
          <w:szCs w:val="32"/>
        </w:rPr>
        <w:t>任务</w:t>
      </w:r>
    </w:p>
    <w:p>
      <w:pPr>
        <w:keepNext w:val="0"/>
        <w:keepLines w:val="0"/>
        <w:pageBreakBefore w:val="0"/>
        <w:widowControl w:val="0"/>
        <w:kinsoku/>
        <w:wordWrap/>
        <w:overflowPunct/>
        <w:topLinePunct w:val="0"/>
        <w:autoSpaceDE/>
        <w:autoSpaceDN/>
        <w:bidi w:val="0"/>
        <w:adjustRightInd/>
        <w:snapToGrid/>
        <w:spacing w:line="550" w:lineRule="exact"/>
        <w:ind w:firstLine="627" w:firstLineChars="20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一</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青山湖区老旧燃气管道及违章压占燃气管道安全隐患整治攻坚行动。</w:t>
      </w:r>
      <w:r>
        <w:rPr>
          <w:rFonts w:hint="eastAsia" w:ascii="方正仿宋简体" w:hAnsi="方正仿宋简体" w:eastAsia="方正仿宋简体" w:cs="方正仿宋简体"/>
          <w:color w:val="000000"/>
          <w:kern w:val="0"/>
          <w:sz w:val="32"/>
          <w:szCs w:val="32"/>
        </w:rPr>
        <w:t>2022年12月31日前，全面完成剩余</w:t>
      </w:r>
      <w:r>
        <w:rPr>
          <w:rFonts w:hint="eastAsia" w:ascii="方正仿宋简体" w:hAnsi="方正仿宋简体" w:eastAsia="方正仿宋简体" w:cs="方正仿宋简体"/>
          <w:color w:val="000000"/>
          <w:kern w:val="0"/>
          <w:sz w:val="32"/>
          <w:szCs w:val="32"/>
          <w:lang w:val="en-US" w:eastAsia="zh-CN"/>
        </w:rPr>
        <w:t>40.299</w:t>
      </w:r>
      <w:r>
        <w:rPr>
          <w:rFonts w:hint="eastAsia" w:ascii="方正仿宋简体" w:hAnsi="方正仿宋简体" w:eastAsia="方正仿宋简体" w:cs="方正仿宋简体"/>
          <w:color w:val="000000"/>
          <w:kern w:val="0"/>
          <w:sz w:val="32"/>
          <w:szCs w:val="32"/>
        </w:rPr>
        <w:t>公里老旧燃气管道改造、38处违章压占燃气管道整改，依法组织开展相关燃气压力管道法定检验，消除我区燃气重点安全隐患风险，使我区燃气设施安全运行状况得到根本好转，安全事故得到有效遏制。(区城管和执法局牵头，区市场监管局、区公安分局、区自然资源和规划局、区交警大队、区消防救援大队按职责分工负责，各镇、街、园区，市燃气集团有限公司按要求落实)</w:t>
      </w:r>
    </w:p>
    <w:p>
      <w:pPr>
        <w:keepNext w:val="0"/>
        <w:keepLines w:val="0"/>
        <w:pageBreakBefore w:val="0"/>
        <w:widowControl w:val="0"/>
        <w:kinsoku/>
        <w:wordWrap/>
        <w:overflowPunct/>
        <w:topLinePunct w:val="0"/>
        <w:autoSpaceDE/>
        <w:autoSpaceDN/>
        <w:bidi w:val="0"/>
        <w:adjustRightInd/>
        <w:snapToGrid/>
        <w:spacing w:line="550" w:lineRule="exact"/>
        <w:ind w:firstLine="627" w:firstLineChars="20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bCs/>
          <w:sz w:val="32"/>
          <w:szCs w:val="32"/>
        </w:rPr>
        <w:t>（二）青山湖区城镇燃气用户燃气安全装置工作推进行动。</w:t>
      </w:r>
      <w:r>
        <w:rPr>
          <w:rFonts w:hint="eastAsia" w:ascii="方正仿宋简体" w:hAnsi="方正仿宋简体" w:eastAsia="方正仿宋简体" w:cs="方正仿宋简体"/>
          <w:color w:val="000000"/>
          <w:kern w:val="0"/>
          <w:sz w:val="32"/>
          <w:szCs w:val="32"/>
        </w:rPr>
        <w:t>一是到2022年6月底，全区非居民燃气（天然气、液化石油气）用户，包括使用燃气的餐饮场所、商业综合体、学校、医院、机关、企事业单位食堂等生产经营单位，全部完成可燃气体安全装置安装工作，并确保正常使用。二是鼓励居民用户安装可燃气体安全装置，特别是城中村出租房，原则上用气空间内均安装到位，从本质上改善我区燃气用户户内安全形势。(区城管和执法局牵头，区教体局、区民政局、区财政局、区住建局、区商务局、区文广新旅局、区卫健委、区应急局、区市场监管局、区机关事务局、区公安分局、区交警大队、区消防救援大队按职责分工负责，各镇街园区负责，各城镇非居民燃气用户按要求落实)</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24" w:firstLineChars="200"/>
        <w:textAlignment w:val="auto"/>
        <w:outlineLvl w:val="0"/>
        <w:rPr>
          <w:rFonts w:hint="eastAsia" w:ascii="黑体" w:hAnsi="黑体" w:eastAsia="黑体" w:cs="Times New Roman"/>
          <w:b w:val="0"/>
          <w:bCs w:val="0"/>
          <w:color w:val="000000"/>
          <w:kern w:val="0"/>
          <w:sz w:val="32"/>
          <w:szCs w:val="32"/>
          <w:lang w:val="en-US" w:eastAsia="zh-CN"/>
        </w:rPr>
      </w:pPr>
      <w:r>
        <w:rPr>
          <w:rFonts w:hint="eastAsia" w:ascii="黑体" w:hAnsi="黑体" w:eastAsia="黑体" w:cs="Times New Roman"/>
          <w:b w:val="0"/>
          <w:bCs w:val="0"/>
          <w:color w:val="000000"/>
          <w:kern w:val="0"/>
          <w:sz w:val="32"/>
          <w:szCs w:val="32"/>
        </w:rPr>
        <w:t>三、</w:t>
      </w:r>
      <w:r>
        <w:rPr>
          <w:rFonts w:hint="eastAsia" w:ascii="黑体" w:hAnsi="黑体" w:eastAsia="黑体" w:cs="Times New Roman"/>
          <w:b w:val="0"/>
          <w:bCs w:val="0"/>
          <w:color w:val="000000"/>
          <w:kern w:val="0"/>
          <w:sz w:val="32"/>
          <w:szCs w:val="32"/>
          <w:lang w:val="en-US" w:eastAsia="zh-CN"/>
        </w:rPr>
        <w:t>组织机构</w:t>
      </w:r>
    </w:p>
    <w:p>
      <w:pPr>
        <w:keepNext w:val="0"/>
        <w:keepLines w:val="0"/>
        <w:pageBreakBefore w:val="0"/>
        <w:widowControl w:val="0"/>
        <w:kinsoku/>
        <w:wordWrap/>
        <w:overflowPunct/>
        <w:topLinePunct w:val="0"/>
        <w:autoSpaceDE/>
        <w:autoSpaceDN/>
        <w:bidi w:val="0"/>
        <w:adjustRightInd/>
        <w:snapToGrid/>
        <w:spacing w:line="55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为有效推进燃气安全专项整治行动，建立上下协调、政企联动、高效运转的工作机制，成立燃气安全专项整治行动指挥部，指挥部组成人员如下：</w:t>
      </w:r>
    </w:p>
    <w:p>
      <w:pPr>
        <w:keepNext w:val="0"/>
        <w:keepLines w:val="0"/>
        <w:pageBreakBefore w:val="0"/>
        <w:widowControl w:val="0"/>
        <w:kinsoku/>
        <w:wordWrap/>
        <w:overflowPunct/>
        <w:topLinePunct w:val="0"/>
        <w:autoSpaceDE/>
        <w:autoSpaceDN/>
        <w:bidi w:val="0"/>
        <w:adjustRightInd/>
        <w:snapToGrid/>
        <w:spacing w:line="55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 xml:space="preserve">指 挥 长：毛演斌 </w:t>
      </w:r>
      <w:r>
        <w:rPr>
          <w:rFonts w:hint="eastAsia" w:ascii="方正仿宋简体" w:hAnsi="方正仿宋简体" w:eastAsia="方正仿宋简体" w:cs="方正仿宋简体"/>
          <w:color w:val="000000"/>
          <w:kern w:val="0"/>
          <w:sz w:val="32"/>
          <w:szCs w:val="32"/>
          <w:lang w:val="en-US" w:eastAsia="zh-CN"/>
        </w:rPr>
        <w:t xml:space="preserve"> </w:t>
      </w:r>
      <w:r>
        <w:rPr>
          <w:rFonts w:hint="eastAsia" w:ascii="方正仿宋简体" w:hAnsi="方正仿宋简体" w:eastAsia="方正仿宋简体" w:cs="方正仿宋简体"/>
          <w:color w:val="000000"/>
          <w:kern w:val="0"/>
          <w:sz w:val="32"/>
          <w:szCs w:val="32"/>
        </w:rPr>
        <w:t>区政府副区长</w:t>
      </w:r>
    </w:p>
    <w:p>
      <w:pPr>
        <w:keepNext w:val="0"/>
        <w:keepLines w:val="0"/>
        <w:pageBreakBefore w:val="0"/>
        <w:widowControl w:val="0"/>
        <w:kinsoku/>
        <w:wordWrap/>
        <w:overflowPunct/>
        <w:topLinePunct w:val="0"/>
        <w:autoSpaceDE/>
        <w:autoSpaceDN/>
        <w:bidi w:val="0"/>
        <w:adjustRightInd/>
        <w:snapToGrid/>
        <w:spacing w:line="55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 xml:space="preserve">副指挥长：成钦龙 </w:t>
      </w:r>
      <w:r>
        <w:rPr>
          <w:rFonts w:hint="eastAsia" w:ascii="方正仿宋简体" w:hAnsi="方正仿宋简体" w:eastAsia="方正仿宋简体" w:cs="方正仿宋简体"/>
          <w:color w:val="000000"/>
          <w:kern w:val="0"/>
          <w:sz w:val="32"/>
          <w:szCs w:val="32"/>
          <w:lang w:val="en-US" w:eastAsia="zh-CN"/>
        </w:rPr>
        <w:t xml:space="preserve"> </w:t>
      </w:r>
      <w:r>
        <w:rPr>
          <w:rFonts w:hint="eastAsia" w:ascii="方正仿宋简体" w:hAnsi="方正仿宋简体" w:eastAsia="方正仿宋简体" w:cs="方正仿宋简体"/>
          <w:color w:val="000000"/>
          <w:kern w:val="0"/>
          <w:sz w:val="32"/>
          <w:szCs w:val="32"/>
        </w:rPr>
        <w:t>区城管和执法局局长</w:t>
      </w:r>
    </w:p>
    <w:p>
      <w:pPr>
        <w:keepNext w:val="0"/>
        <w:keepLines w:val="0"/>
        <w:pageBreakBefore w:val="0"/>
        <w:widowControl w:val="0"/>
        <w:kinsoku/>
        <w:wordWrap/>
        <w:overflowPunct/>
        <w:topLinePunct w:val="0"/>
        <w:autoSpaceDE/>
        <w:autoSpaceDN/>
        <w:bidi w:val="0"/>
        <w:adjustRightInd/>
        <w:snapToGrid/>
        <w:spacing w:line="55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成    员：区教体局、区民政局、区财政局、区住建局、区城管和执法局、区商务局、区文广新旅局、区卫健委、区应急局、区市场监管局、区机关事务局、区公安分局、区自然资源和规划局、区交警大队、区消防救援大队、各镇街（园区）分管领导，管道燃气企业分管领导。</w:t>
      </w:r>
    </w:p>
    <w:p>
      <w:pPr>
        <w:keepNext w:val="0"/>
        <w:keepLines w:val="0"/>
        <w:pageBreakBefore w:val="0"/>
        <w:widowControl w:val="0"/>
        <w:kinsoku/>
        <w:wordWrap/>
        <w:overflowPunct/>
        <w:topLinePunct w:val="0"/>
        <w:autoSpaceDE/>
        <w:autoSpaceDN/>
        <w:bidi w:val="0"/>
        <w:adjustRightInd/>
        <w:snapToGrid/>
        <w:spacing w:line="55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指挥部负责对燃气安全专项整治行动的组织领导，统一指挥调度整治工作，督导各镇街（园区）、各企业，协调区直各有关部门按工作目标要求，安全有序完成整治任务。</w:t>
      </w:r>
    </w:p>
    <w:p>
      <w:pPr>
        <w:keepNext w:val="0"/>
        <w:keepLines w:val="0"/>
        <w:pageBreakBefore w:val="0"/>
        <w:widowControl w:val="0"/>
        <w:kinsoku/>
        <w:wordWrap/>
        <w:overflowPunct/>
        <w:topLinePunct w:val="0"/>
        <w:autoSpaceDE/>
        <w:autoSpaceDN/>
        <w:bidi w:val="0"/>
        <w:adjustRightInd/>
        <w:snapToGrid/>
        <w:spacing w:line="55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指挥部下设办公室，办公室设在区城管和执法局。区城管和执法局副局长魏强为办公室主任，区城管和执法局燃气管理股股长魏德为副主任。</w:t>
      </w:r>
    </w:p>
    <w:p>
      <w:pPr>
        <w:keepNext w:val="0"/>
        <w:keepLines w:val="0"/>
        <w:pageBreakBefore w:val="0"/>
        <w:widowControl w:val="0"/>
        <w:kinsoku/>
        <w:wordWrap/>
        <w:overflowPunct/>
        <w:topLinePunct w:val="0"/>
        <w:autoSpaceDE/>
        <w:autoSpaceDN/>
        <w:bidi w:val="0"/>
        <w:adjustRightInd/>
        <w:snapToGrid/>
        <w:spacing w:line="55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为确保区指挥部办公室高效运转、相关工作协调到位，各镇街（园区）、各企业结合实际，成立燃气安全专项整治行动指挥部，负责工作的协调推进、督导落实。</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24" w:firstLineChars="200"/>
        <w:textAlignment w:val="auto"/>
        <w:outlineLvl w:val="0"/>
        <w:rPr>
          <w:rFonts w:hint="eastAsia" w:ascii="黑体" w:hAnsi="黑体" w:eastAsia="黑体" w:cs="Times New Roman"/>
          <w:b w:val="0"/>
          <w:bCs w:val="0"/>
          <w:color w:val="000000"/>
          <w:kern w:val="0"/>
          <w:sz w:val="32"/>
          <w:szCs w:val="32"/>
        </w:rPr>
      </w:pPr>
      <w:r>
        <w:rPr>
          <w:rFonts w:hint="eastAsia" w:ascii="黑体" w:hAnsi="黑体" w:eastAsia="黑体" w:cs="Times New Roman"/>
          <w:b w:val="0"/>
          <w:bCs w:val="0"/>
          <w:color w:val="000000"/>
          <w:kern w:val="0"/>
          <w:sz w:val="32"/>
          <w:szCs w:val="32"/>
        </w:rPr>
        <w:t>四、保障措施</w:t>
      </w:r>
    </w:p>
    <w:p>
      <w:pPr>
        <w:keepNext w:val="0"/>
        <w:keepLines w:val="0"/>
        <w:pageBreakBefore w:val="0"/>
        <w:widowControl w:val="0"/>
        <w:kinsoku/>
        <w:wordWrap/>
        <w:overflowPunct/>
        <w:topLinePunct w:val="0"/>
        <w:autoSpaceDE/>
        <w:autoSpaceDN/>
        <w:bidi w:val="0"/>
        <w:adjustRightInd/>
        <w:snapToGrid/>
        <w:spacing w:line="550" w:lineRule="exact"/>
        <w:ind w:firstLine="627" w:firstLineChars="200"/>
        <w:jc w:val="left"/>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一</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加强组织领导。</w:t>
      </w:r>
      <w:r>
        <w:rPr>
          <w:rFonts w:hint="eastAsia" w:ascii="方正仿宋简体" w:hAnsi="方正仿宋简体" w:eastAsia="方正仿宋简体" w:cs="方正仿宋简体"/>
          <w:color w:val="000000"/>
          <w:kern w:val="0"/>
          <w:sz w:val="32"/>
          <w:szCs w:val="32"/>
        </w:rPr>
        <w:t>各镇街（园区），各相关职能部门要坚决把思想和行动统一到区委区政府关于开展燃气安全专项整治的决策部署上来,各地要成立专项整治工作领导小组,明确职责分工,细化分解任务,认真抓好部署落实。同时，各单位要配套落实整治经费。</w:t>
      </w:r>
    </w:p>
    <w:p>
      <w:pPr>
        <w:keepNext w:val="0"/>
        <w:keepLines w:val="0"/>
        <w:pageBreakBefore w:val="0"/>
        <w:widowControl w:val="0"/>
        <w:kinsoku/>
        <w:wordWrap/>
        <w:overflowPunct/>
        <w:topLinePunct w:val="0"/>
        <w:autoSpaceDE/>
        <w:autoSpaceDN/>
        <w:bidi w:val="0"/>
        <w:adjustRightInd/>
        <w:snapToGrid/>
        <w:spacing w:line="550" w:lineRule="exact"/>
        <w:ind w:firstLine="627" w:firstLineChars="20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二</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细化方案措施。</w:t>
      </w:r>
      <w:r>
        <w:rPr>
          <w:rFonts w:hint="eastAsia" w:ascii="方正仿宋简体" w:hAnsi="方正仿宋简体" w:eastAsia="方正仿宋简体" w:cs="方正仿宋简体"/>
          <w:color w:val="000000"/>
          <w:kern w:val="0"/>
          <w:sz w:val="32"/>
          <w:szCs w:val="32"/>
        </w:rPr>
        <w:t>各镇街（园区），各相关职能部门要按照燃气安全专项治工作统一部署，结合工作实际,科学确定工作目标,制定具体实施方案,出台实招实策,把专项整治抓出成效,坚决杜绝形式主义、官僚主义。确保安全投入,坚持不安全、不生产,不安全、不运营,绝不能带病生产和运营。</w:t>
      </w:r>
    </w:p>
    <w:p>
      <w:pPr>
        <w:keepNext w:val="0"/>
        <w:keepLines w:val="0"/>
        <w:pageBreakBefore w:val="0"/>
        <w:widowControl w:val="0"/>
        <w:kinsoku/>
        <w:wordWrap/>
        <w:overflowPunct/>
        <w:topLinePunct w:val="0"/>
        <w:autoSpaceDE/>
        <w:autoSpaceDN/>
        <w:bidi w:val="0"/>
        <w:adjustRightInd/>
        <w:snapToGrid/>
        <w:spacing w:line="550" w:lineRule="exact"/>
        <w:ind w:firstLine="627" w:firstLineChars="20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三</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强化督促指导。</w:t>
      </w:r>
      <w:r>
        <w:rPr>
          <w:rFonts w:hint="eastAsia" w:ascii="方正仿宋简体" w:hAnsi="方正仿宋简体" w:eastAsia="方正仿宋简体" w:cs="方正仿宋简体"/>
          <w:color w:val="000000"/>
          <w:kern w:val="0"/>
          <w:sz w:val="32"/>
          <w:szCs w:val="32"/>
        </w:rPr>
        <w:t>各镇街（园区），各相关职能部门要加强动态检查和过程检查,强化责任考核,确保责任实到位、任务完成到位。要切实加强对专项整治开展情况的监督检查,及时研究、协调解决工作中出现的问题。区整治行动指挥部办公室将联合有关成员单位对各镇街（园区）开展随机督导。</w:t>
      </w:r>
    </w:p>
    <w:p>
      <w:pPr>
        <w:keepNext w:val="0"/>
        <w:keepLines w:val="0"/>
        <w:pageBreakBefore w:val="0"/>
        <w:widowControl w:val="0"/>
        <w:kinsoku/>
        <w:wordWrap/>
        <w:overflowPunct/>
        <w:topLinePunct w:val="0"/>
        <w:autoSpaceDE/>
        <w:autoSpaceDN/>
        <w:bidi w:val="0"/>
        <w:adjustRightInd/>
        <w:snapToGrid/>
        <w:spacing w:line="550" w:lineRule="exact"/>
        <w:ind w:firstLine="627" w:firstLineChars="20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四</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严肃问效问责。</w:t>
      </w:r>
      <w:r>
        <w:rPr>
          <w:rFonts w:hint="eastAsia" w:ascii="方正仿宋简体" w:hAnsi="方正仿宋简体" w:eastAsia="方正仿宋简体" w:cs="方正仿宋简体"/>
          <w:color w:val="000000"/>
          <w:kern w:val="0"/>
          <w:sz w:val="32"/>
          <w:szCs w:val="32"/>
        </w:rPr>
        <w:t>各镇街（园区），各相关职能部门要加强对燃气安全整治工作的监督，综合运用通报、约谈、警示、曝光等有效措施,加强督促检查,确保取得实实在在成效。对整治工作不负责、不作为,分工责任不落实、措施不得力,重大问题隐患悬而不决，逾期没有完成目标任务的,依法依规坚决问责。</w:t>
      </w:r>
    </w:p>
    <w:p>
      <w:pPr>
        <w:keepNext w:val="0"/>
        <w:keepLines w:val="0"/>
        <w:pageBreakBefore w:val="0"/>
        <w:widowControl w:val="0"/>
        <w:kinsoku/>
        <w:wordWrap/>
        <w:overflowPunct/>
        <w:topLinePunct w:val="0"/>
        <w:autoSpaceDE/>
        <w:autoSpaceDN/>
        <w:bidi w:val="0"/>
        <w:adjustRightInd/>
        <w:snapToGrid/>
        <w:spacing w:line="550" w:lineRule="exact"/>
        <w:ind w:firstLine="627" w:firstLineChars="20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五</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强化舆论引导。</w:t>
      </w:r>
      <w:r>
        <w:rPr>
          <w:rFonts w:hint="eastAsia" w:ascii="方正仿宋简体" w:hAnsi="方正仿宋简体" w:eastAsia="方正仿宋简体" w:cs="方正仿宋简体"/>
          <w:color w:val="000000"/>
          <w:kern w:val="0"/>
          <w:sz w:val="32"/>
          <w:szCs w:val="32"/>
        </w:rPr>
        <w:t>聚焦可燃气体安全装置安装宣传，区城管和执法局、市燃气集团有限公司提供统一、规范的宣传品。各镇街（园区）、各相关职能部门负责向各自管理对象、服务对象进行发放。充分发挥各类媒体作用,采取多种形式开展宣传报道。加强正向引领和反面警示教育,积极营造浓厚的社会舆论氛围。加强社会监督和舆论监督,努力形成全社会参与支持、齐抓共管、群防群治的良好局面。</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textAlignment w:val="auto"/>
        <w:rPr>
          <w:rFonts w:hint="eastAsia" w:ascii="仿宋_GB2312" w:hAnsi="微软雅黑" w:eastAsia="仿宋_GB2312" w:cs="宋体"/>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left="1452" w:leftChars="204" w:hanging="816" w:hangingChars="300"/>
        <w:textAlignment w:val="auto"/>
        <w:rPr>
          <w:rFonts w:hint="eastAsia" w:ascii="方正仿宋简体" w:hAnsi="方正仿宋简体" w:eastAsia="方正仿宋简体" w:cs="方正仿宋简体"/>
          <w:color w:val="000000"/>
          <w:kern w:val="0"/>
          <w:sz w:val="28"/>
          <w:szCs w:val="28"/>
        </w:rPr>
      </w:pPr>
      <w:r>
        <w:rPr>
          <w:rFonts w:hint="eastAsia" w:ascii="方正仿宋简体" w:hAnsi="方正仿宋简体" w:eastAsia="方正仿宋简体" w:cs="方正仿宋简体"/>
          <w:color w:val="000000"/>
          <w:kern w:val="0"/>
          <w:sz w:val="28"/>
          <w:szCs w:val="28"/>
        </w:rPr>
        <w:t>附</w:t>
      </w:r>
      <w:r>
        <w:rPr>
          <w:rFonts w:hint="eastAsia" w:ascii="方正仿宋简体" w:hAnsi="方正仿宋简体" w:eastAsia="方正仿宋简体" w:cs="方正仿宋简体"/>
          <w:color w:val="000000"/>
          <w:kern w:val="0"/>
          <w:sz w:val="28"/>
          <w:szCs w:val="28"/>
          <w:lang w:val="en-US" w:eastAsia="zh-CN"/>
        </w:rPr>
        <w:t>件</w:t>
      </w:r>
      <w:r>
        <w:rPr>
          <w:rFonts w:hint="eastAsia" w:ascii="方正仿宋简体" w:hAnsi="方正仿宋简体" w:eastAsia="方正仿宋简体" w:cs="方正仿宋简体"/>
          <w:color w:val="000000"/>
          <w:kern w:val="0"/>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15" w:firstLineChars="250"/>
        <w:textAlignment w:val="auto"/>
        <w:rPr>
          <w:rFonts w:hint="eastAsia" w:ascii="方正仿宋简体" w:hAnsi="方正仿宋简体" w:eastAsia="方正仿宋简体" w:cs="方正仿宋简体"/>
          <w:color w:val="000000"/>
          <w:spacing w:val="-17"/>
          <w:kern w:val="0"/>
          <w:sz w:val="28"/>
          <w:szCs w:val="28"/>
        </w:rPr>
      </w:pPr>
      <w:r>
        <w:rPr>
          <w:rFonts w:hint="eastAsia" w:ascii="方正仿宋简体" w:hAnsi="方正仿宋简体" w:eastAsia="方正仿宋简体" w:cs="方正仿宋简体"/>
          <w:color w:val="000000"/>
          <w:spacing w:val="-17"/>
          <w:kern w:val="0"/>
          <w:sz w:val="28"/>
          <w:szCs w:val="28"/>
        </w:rPr>
        <w:t>1.青山湖区老旧燃气管道及违章压占燃气管道安全隐患整治攻坚行动方案</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left="1452" w:leftChars="204" w:hanging="816" w:hangingChars="300"/>
        <w:textAlignment w:val="auto"/>
        <w:rPr>
          <w:rFonts w:hint="eastAsia" w:ascii="方正仿宋简体" w:hAnsi="方正仿宋简体" w:eastAsia="方正仿宋简体" w:cs="方正仿宋简体"/>
          <w:color w:val="000000"/>
          <w:kern w:val="0"/>
          <w:sz w:val="28"/>
          <w:szCs w:val="28"/>
        </w:rPr>
      </w:pPr>
      <w:r>
        <w:rPr>
          <w:rFonts w:hint="eastAsia" w:ascii="方正仿宋简体" w:hAnsi="方正仿宋简体" w:eastAsia="方正仿宋简体" w:cs="方正仿宋简体"/>
          <w:color w:val="000000"/>
          <w:kern w:val="0"/>
          <w:sz w:val="28"/>
          <w:szCs w:val="28"/>
        </w:rPr>
        <w:t>2.青山湖区城镇燃气用户可燃气体安全装置安装工作推进行动方案</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left="1452" w:leftChars="204" w:hanging="816" w:hangingChars="300"/>
        <w:textAlignment w:val="auto"/>
        <w:rPr>
          <w:rFonts w:hint="eastAsia" w:ascii="方正仿宋简体" w:hAnsi="方正仿宋简体" w:eastAsia="方正仿宋简体" w:cs="方正仿宋简体"/>
          <w:color w:val="000000"/>
          <w:kern w:val="0"/>
          <w:sz w:val="28"/>
          <w:szCs w:val="28"/>
        </w:rPr>
        <w:sectPr>
          <w:footerReference r:id="rId3" w:type="default"/>
          <w:pgSz w:w="11906" w:h="16838"/>
          <w:pgMar w:top="1984" w:right="1587" w:bottom="1701" w:left="1587" w:header="851" w:footer="1701" w:gutter="0"/>
          <w:pgNumType w:fmt="decimal" w:start="1"/>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黑体" w:hAnsi="黑体" w:eastAsia="黑体" w:cs="黑体"/>
          <w:b/>
          <w:bCs/>
          <w:kern w:val="0"/>
          <w:sz w:val="28"/>
          <w:szCs w:val="28"/>
          <w:lang w:eastAsia="zh-CN"/>
        </w:rPr>
      </w:pPr>
      <w:r>
        <w:rPr>
          <w:rFonts w:hint="eastAsia" w:ascii="黑体" w:hAnsi="黑体" w:eastAsia="黑体" w:cs="黑体"/>
          <w:b/>
          <w:bCs/>
          <w:kern w:val="0"/>
          <w:sz w:val="28"/>
          <w:szCs w:val="28"/>
        </w:rPr>
        <w:t>附件1</w:t>
      </w:r>
      <w:r>
        <w:rPr>
          <w:rFonts w:hint="eastAsia" w:ascii="黑体" w:hAnsi="黑体" w:eastAsia="黑体" w:cs="黑体"/>
          <w:b/>
          <w:bCs/>
          <w:kern w:val="0"/>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ascii="仿宋_GB2312" w:hAnsi="宋体" w:eastAsia="仿宋_GB2312" w:cs="宋体"/>
          <w:kern w:val="0"/>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青山湖区老旧燃气管道及违章压占燃气</w:t>
      </w:r>
    </w:p>
    <w:p>
      <w:pPr>
        <w:keepNext w:val="0"/>
        <w:keepLines w:val="0"/>
        <w:pageBreakBefore w:val="0"/>
        <w:widowControl w:val="0"/>
        <w:kinsoku/>
        <w:wordWrap/>
        <w:overflowPunct/>
        <w:topLinePunct w:val="0"/>
        <w:bidi w:val="0"/>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管道安全隐患整治攻坚行动方案</w:t>
      </w:r>
    </w:p>
    <w:p>
      <w:pPr>
        <w:keepNext w:val="0"/>
        <w:keepLines w:val="0"/>
        <w:pageBreakBefore w:val="0"/>
        <w:widowControl w:val="0"/>
        <w:kinsoku/>
        <w:wordWrap/>
        <w:overflowPunct/>
        <w:topLinePunct w:val="0"/>
        <w:bidi w:val="0"/>
        <w:snapToGrid/>
        <w:spacing w:line="560" w:lineRule="exact"/>
        <w:textAlignment w:val="auto"/>
        <w:rPr>
          <w:rFonts w:ascii="方正小标宋简体" w:eastAsia="方正小标宋简体"/>
          <w:sz w:val="32"/>
          <w:szCs w:val="32"/>
        </w:rPr>
      </w:pP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仿宋" w:hAnsi="仿宋" w:eastAsia="仿宋"/>
          <w:sz w:val="32"/>
          <w:szCs w:val="32"/>
        </w:rPr>
      </w:pPr>
      <w:r>
        <w:rPr>
          <w:rFonts w:hint="eastAsia" w:ascii="仿宋_GB2312" w:hAnsi="仿宋_GB2312" w:eastAsia="仿宋_GB2312" w:cs="仿宋_GB2312"/>
          <w:sz w:val="32"/>
          <w:szCs w:val="32"/>
        </w:rPr>
        <w:t>为深入贯彻落实习近平总书记关于安全生产工作的一系列重要指示精神和国家、省、市安委会工作部署，依照国务院《全国城镇燃气安全专项整治工作方案》、省安委会《关于印发江西省城镇燃气安全排查整治工作实施方案的通知》（赣安〔2021〕25号），全面消除我区燃气行业重点安全隐患，提升燃气设施安全运行和行业管理水平，最大限度地预防和减少燃气安全事故的发生，全力保障人民群众生命财产安全，结合我区实际，特制定本方案。</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黑体" w:hAnsi="黑体" w:eastAsia="黑体"/>
          <w:sz w:val="32"/>
          <w:szCs w:val="32"/>
        </w:rPr>
      </w:pPr>
      <w:r>
        <w:rPr>
          <w:rFonts w:hint="eastAsia" w:ascii="黑体" w:hAnsi="黑体" w:eastAsia="黑体"/>
          <w:sz w:val="32"/>
          <w:szCs w:val="32"/>
        </w:rPr>
        <w:t>一、总体思路</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总书记关于安全生产重要论述和国务院关于在全国范围内开展为期一年的城镇燃气安全隐患排查整治工作部署精神为指导，以“政府统筹、企业主导、安全有序、高效推进”为原则，以“彻底消除燃气重点安全隐患”为目标，以“优化审批流程、减免相关规费、专项资金补贴”为重点，将老旧燃气管道改造作为重点攻坚工程建设项目，加快推进我区老旧燃气管道改造和违章压占燃气管道整改，依据工作目标明确的时间节点要求，全面完成改造整治任务。</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黑体" w:hAnsi="黑体" w:eastAsia="黑体"/>
          <w:sz w:val="32"/>
          <w:szCs w:val="32"/>
        </w:rPr>
      </w:pPr>
      <w:r>
        <w:rPr>
          <w:rFonts w:hint="eastAsia" w:ascii="黑体" w:hAnsi="黑体" w:eastAsia="黑体"/>
          <w:sz w:val="32"/>
          <w:szCs w:val="32"/>
        </w:rPr>
        <w:t>二、工作目标</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2022年12月31日前，按照季度计划表全面完成剩余</w:t>
      </w:r>
      <w:r>
        <w:rPr>
          <w:rFonts w:hint="eastAsia" w:ascii="仿宋_GB2312" w:hAnsi="仿宋_GB2312" w:eastAsia="仿宋_GB2312" w:cs="仿宋_GB2312"/>
          <w:color w:val="auto"/>
          <w:sz w:val="32"/>
          <w:szCs w:val="32"/>
          <w:lang w:val="en-US" w:eastAsia="zh-CN"/>
        </w:rPr>
        <w:t>40.299</w:t>
      </w:r>
      <w:r>
        <w:rPr>
          <w:rFonts w:hint="eastAsia" w:ascii="仿宋_GB2312" w:hAnsi="仿宋_GB2312" w:eastAsia="仿宋_GB2312" w:cs="仿宋_GB2312"/>
          <w:sz w:val="32"/>
          <w:szCs w:val="32"/>
        </w:rPr>
        <w:t>公里老旧燃气管道改造、38处违章压占燃气管道整改（详见附件1.1），依法组织开展相关燃气压力管道法定检验，消除我区燃气重点安全隐患风险，使我区燃气设施安全运行状况得到根本好转，安全事故得到有效遏制。</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黑体" w:hAnsi="黑体" w:eastAsia="黑体"/>
          <w:sz w:val="32"/>
          <w:szCs w:val="32"/>
        </w:rPr>
      </w:pPr>
      <w:r>
        <w:rPr>
          <w:rFonts w:hint="eastAsia" w:ascii="黑体" w:hAnsi="黑体" w:eastAsia="黑体"/>
          <w:sz w:val="32"/>
          <w:szCs w:val="32"/>
        </w:rPr>
        <w:t>三、组织机构</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有效推进燃气安全隐患攻坚整治行动，建立上下协调、政企联动、联审联办、高效运转的工作机制，成立青山湖区老旧燃气管道及压占燃气管道安全隐患攻坚整治行动专班，由区城管和执法局、区自然资源和规划局、区交警大队、区市场监管局、各镇街（园区）、燃气企业各指派一名同志，在指挥部统一领导下，负责协调落实本单位职责范围内的整治工作。专班由区城管和执法局牵头，办公地点设在学院路160号，各单位名单报区城管和执法局周健，联系电话：13879136990。   </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专班负责日常事务的处理，定期组织召开调度会议，协调解决攻坚整治行动中遇到的困难和问题，通报各单位整治工作的亮点和问题。对未按期限完成整治任务的单位实行挂牌督办，督促整改销号。适时对各责任部门按工作目标计划完成整治任务情况进行检查、督导、考核，印发检查督导考核通报。</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黑体" w:hAnsi="黑体" w:eastAsia="黑体"/>
          <w:sz w:val="32"/>
          <w:szCs w:val="32"/>
        </w:rPr>
      </w:pPr>
      <w:r>
        <w:rPr>
          <w:rFonts w:hint="eastAsia" w:ascii="黑体" w:hAnsi="黑体" w:eastAsia="黑体"/>
          <w:sz w:val="32"/>
          <w:szCs w:val="32"/>
        </w:rPr>
        <w:t>四、政策举措</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楷体" w:hAnsi="楷体" w:eastAsia="楷体"/>
          <w:b/>
          <w:sz w:val="32"/>
          <w:szCs w:val="32"/>
        </w:rPr>
      </w:pPr>
      <w:r>
        <w:rPr>
          <w:rFonts w:hint="eastAsia" w:ascii="楷体" w:hAnsi="楷体" w:eastAsia="楷体"/>
          <w:b/>
          <w:sz w:val="32"/>
          <w:szCs w:val="32"/>
        </w:rPr>
        <w:t>（一）优化审批流程</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_GB2312" w:hAnsi="仿宋_GB2312" w:eastAsia="仿宋_GB2312" w:cs="仿宋_GB2312"/>
          <w:sz w:val="32"/>
          <w:szCs w:val="32"/>
          <w:u w:val="single"/>
        </w:rPr>
      </w:pPr>
      <w:r>
        <w:rPr>
          <w:rFonts w:hint="eastAsia" w:ascii="仿宋" w:hAnsi="仿宋" w:eastAsia="仿宋"/>
          <w:b/>
          <w:sz w:val="32"/>
          <w:szCs w:val="32"/>
        </w:rPr>
        <w:t>1</w:t>
      </w:r>
      <w:r>
        <w:rPr>
          <w:rFonts w:ascii="仿宋" w:hAnsi="仿宋" w:eastAsia="仿宋"/>
          <w:b/>
          <w:sz w:val="32"/>
          <w:szCs w:val="32"/>
        </w:rPr>
        <w:t>.</w:t>
      </w:r>
      <w:r>
        <w:rPr>
          <w:rFonts w:hint="eastAsia" w:ascii="仿宋" w:hAnsi="仿宋" w:eastAsia="仿宋"/>
          <w:b/>
          <w:sz w:val="32"/>
          <w:szCs w:val="32"/>
        </w:rPr>
        <w:t>实行</w:t>
      </w:r>
      <w:r>
        <w:rPr>
          <w:rFonts w:ascii="仿宋" w:hAnsi="仿宋" w:eastAsia="仿宋"/>
          <w:b/>
          <w:sz w:val="32"/>
          <w:szCs w:val="32"/>
        </w:rPr>
        <w:t>备案告知制</w:t>
      </w:r>
      <w:r>
        <w:rPr>
          <w:rFonts w:hint="eastAsia" w:ascii="仿宋" w:hAnsi="仿宋" w:eastAsia="仿宋"/>
          <w:b/>
          <w:sz w:val="32"/>
          <w:szCs w:val="32"/>
        </w:rPr>
        <w:t>的</w:t>
      </w:r>
      <w:r>
        <w:rPr>
          <w:rFonts w:ascii="仿宋" w:hAnsi="仿宋" w:eastAsia="仿宋"/>
          <w:b/>
          <w:sz w:val="32"/>
          <w:szCs w:val="32"/>
        </w:rPr>
        <w:t>项目</w:t>
      </w:r>
      <w:r>
        <w:rPr>
          <w:rFonts w:hint="eastAsia" w:ascii="仿宋_GB2312" w:hAnsi="仿宋_GB2312" w:eastAsia="仿宋_GB2312" w:cs="仿宋_GB2312"/>
          <w:sz w:val="32"/>
          <w:szCs w:val="32"/>
        </w:rPr>
        <w:t>（详见附件1.2）。对在市政道路原老旧燃气管道管位或附近进行老旧燃气管道改造的项目，按照《关于进一步推行告知承诺备案制度 优化获得用水用气营商环境的通知》（洪营商办〔2021〕15号）及《南昌市获得用水、用气外线审批告知承诺备案制实施细则[办事指南]》对符合条件的项目免予办理规划、占道、掘路、伐移树木等行政许可，实行备案告知制。依据道路管理权属关系，施工前3个工作日由燃气企业分别告知区指挥部办公室，指挥部办公室受理后统一告知资规、城管（市政、园林）、交管等部门，对符合条件的，被告知单位3个工作日内完成备案程序。</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庭院老旧燃气管道改造项目</w:t>
      </w:r>
      <w:r>
        <w:rPr>
          <w:rFonts w:hint="eastAsia" w:ascii="仿宋_GB2312" w:hAnsi="仿宋_GB2312" w:eastAsia="仿宋_GB2312" w:cs="仿宋_GB2312"/>
          <w:sz w:val="32"/>
          <w:szCs w:val="32"/>
        </w:rPr>
        <w:t>（详见附件1.3）。庭院老旧燃气管道改造施工前3个工作日，由燃气企业将改造方案报区指挥部办公室，区指挥部统一负责协调，无需办理相关行政许可。改造完成后，按照不低于原道路、绿化等设施的标准，由燃气企业负责，限期恢复。严禁乱收费和阻工，任何单位不得向燃气企业收取任何名义的相关规费、押金和设施恢复补偿费。涉及物业或业主阻工的，由区指挥部组织公安、城管、镇街(园区）等部门协调处置，务必采取有力措施，确保庭院老旧燃气管道改造顺利推进。</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_GB2312" w:hAnsi="仿宋_GB2312" w:eastAsia="仿宋_GB2312" w:cs="仿宋_GB2312"/>
          <w:sz w:val="32"/>
          <w:szCs w:val="32"/>
        </w:rPr>
      </w:pPr>
      <w:r>
        <w:rPr>
          <w:rFonts w:hint="eastAsia" w:ascii="仿宋" w:hAnsi="仿宋" w:eastAsia="仿宋"/>
          <w:b/>
          <w:sz w:val="32"/>
          <w:szCs w:val="32"/>
        </w:rPr>
        <w:t>3.</w:t>
      </w:r>
      <w:r>
        <w:rPr>
          <w:rFonts w:ascii="仿宋" w:hAnsi="仿宋" w:eastAsia="仿宋"/>
          <w:b/>
          <w:sz w:val="32"/>
          <w:szCs w:val="32"/>
        </w:rPr>
        <w:t>违章压占燃气管道</w:t>
      </w:r>
      <w:r>
        <w:rPr>
          <w:rFonts w:hint="eastAsia" w:ascii="仿宋" w:hAnsi="仿宋" w:eastAsia="仿宋"/>
          <w:b/>
          <w:sz w:val="32"/>
          <w:szCs w:val="32"/>
        </w:rPr>
        <w:t>整改</w:t>
      </w:r>
      <w:r>
        <w:rPr>
          <w:rFonts w:ascii="仿宋" w:hAnsi="仿宋" w:eastAsia="仿宋"/>
          <w:b/>
          <w:sz w:val="32"/>
          <w:szCs w:val="32"/>
        </w:rPr>
        <w:t>项目</w:t>
      </w:r>
      <w:r>
        <w:rPr>
          <w:rFonts w:hint="eastAsia" w:ascii="仿宋_GB2312" w:hAnsi="仿宋_GB2312" w:eastAsia="仿宋_GB2312" w:cs="仿宋_GB2312"/>
          <w:sz w:val="32"/>
          <w:szCs w:val="32"/>
        </w:rPr>
        <w:t>（详见附件1.4）。由各镇街（园区）组织辖区内违章压占燃气管道的整改，燃气企业协助配合。整改的原则是</w:t>
      </w:r>
      <w:r>
        <w:rPr>
          <w:rFonts w:hint="eastAsia" w:ascii="仿宋_GB2312" w:hAnsi="仿宋_GB2312" w:eastAsia="仿宋_GB2312" w:cs="仿宋_GB2312"/>
          <w:b/>
          <w:sz w:val="32"/>
          <w:szCs w:val="32"/>
        </w:rPr>
        <w:t>“谁压占、谁负责、谁出资”</w:t>
      </w:r>
      <w:r>
        <w:rPr>
          <w:rFonts w:hint="eastAsia" w:ascii="仿宋_GB2312" w:hAnsi="仿宋_GB2312" w:eastAsia="仿宋_GB2312" w:cs="仿宋_GB2312"/>
          <w:sz w:val="32"/>
          <w:szCs w:val="32"/>
        </w:rPr>
        <w:t>。涉及业主拒改的，所属镇街（园区）要组织专人及执法人员上门做工作，协调解决矛盾和问题，必要时下达执法整改通知书，依法进行处置，要多措并举，强力推进，确保如期完成整改任务。</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楷体" w:hAnsi="楷体" w:eastAsia="楷体"/>
          <w:b/>
          <w:sz w:val="32"/>
          <w:szCs w:val="32"/>
        </w:rPr>
      </w:pPr>
      <w:r>
        <w:rPr>
          <w:rFonts w:hint="eastAsia" w:ascii="楷体" w:hAnsi="楷体" w:eastAsia="楷体"/>
          <w:b/>
          <w:sz w:val="32"/>
          <w:szCs w:val="32"/>
        </w:rPr>
        <w:t>（二）减免相关费用</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老旧燃气管道改造项目中的掘路修复、绿化恢复工作由燃气企业自行组织实施，按照不低于原道路和绿化设施标准进行恢复，燃气企业不再向道路、绿化等管理部门另行缴纳相关费用及设施恢复补偿费。</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职责</w:t>
      </w:r>
      <w:r>
        <w:rPr>
          <w:rFonts w:ascii="黑体" w:hAnsi="黑体" w:eastAsia="黑体"/>
          <w:sz w:val="32"/>
          <w:szCs w:val="32"/>
        </w:rPr>
        <w:t>分工</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 w:hAnsi="仿宋" w:eastAsia="仿宋"/>
          <w:sz w:val="32"/>
          <w:szCs w:val="32"/>
        </w:rPr>
      </w:pPr>
      <w:r>
        <w:rPr>
          <w:rFonts w:hint="eastAsia" w:ascii="仿宋" w:hAnsi="仿宋" w:eastAsia="仿宋"/>
          <w:b/>
          <w:sz w:val="32"/>
          <w:szCs w:val="32"/>
        </w:rPr>
        <w:t>1.管道燃气企业：</w:t>
      </w:r>
      <w:r>
        <w:rPr>
          <w:rFonts w:hint="eastAsia" w:ascii="仿宋_GB2312" w:hAnsi="仿宋_GB2312" w:eastAsia="仿宋_GB2312" w:cs="仿宋_GB2312"/>
          <w:sz w:val="32"/>
          <w:szCs w:val="32"/>
        </w:rPr>
        <w:t>落实企业主体责任。按照</w:t>
      </w:r>
      <w:r>
        <w:rPr>
          <w:rFonts w:hint="eastAsia" w:ascii="仿宋_GB2312" w:hAnsi="仿宋_GB2312" w:eastAsia="仿宋_GB2312" w:cs="仿宋_GB2312"/>
          <w:b/>
          <w:sz w:val="32"/>
          <w:szCs w:val="32"/>
        </w:rPr>
        <w:t>“安全第一、应改必改”</w:t>
      </w:r>
      <w:r>
        <w:rPr>
          <w:rFonts w:hint="eastAsia" w:ascii="仿宋_GB2312" w:hAnsi="仿宋_GB2312" w:eastAsia="仿宋_GB2312" w:cs="仿宋_GB2312"/>
          <w:sz w:val="32"/>
          <w:szCs w:val="32"/>
        </w:rPr>
        <w:t>的原则，负责老旧燃气管道改造和违章压占燃气管道整改，制定整改方案，申报行政审批手续，</w:t>
      </w:r>
      <w:r>
        <w:rPr>
          <w:rFonts w:hint="eastAsia" w:ascii="仿宋" w:hAnsi="仿宋" w:eastAsia="仿宋"/>
          <w:sz w:val="32"/>
          <w:szCs w:val="32"/>
        </w:rPr>
        <w:t>分阶段</w:t>
      </w:r>
      <w:r>
        <w:rPr>
          <w:rFonts w:hint="eastAsia" w:ascii="仿宋_GB2312" w:hAnsi="仿宋_GB2312" w:eastAsia="仿宋_GB2312" w:cs="仿宋_GB2312"/>
          <w:sz w:val="32"/>
          <w:szCs w:val="32"/>
        </w:rPr>
        <w:t>制定施工计划，落实隐患问题整改前的安全防控措施，根据工程现场实际情况，编制安全文明施工方案，完善整改施工中安全管控措施，确保安全施工、文明施工，工程质量必须达到国家规范标准。</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_GB2312" w:hAnsi="仿宋_GB2312" w:eastAsia="仿宋_GB2312" w:cs="仿宋_GB2312"/>
          <w:sz w:val="32"/>
          <w:szCs w:val="32"/>
        </w:rPr>
      </w:pPr>
      <w:r>
        <w:rPr>
          <w:rFonts w:ascii="仿宋" w:hAnsi="仿宋" w:eastAsia="仿宋"/>
          <w:b/>
          <w:sz w:val="32"/>
          <w:szCs w:val="32"/>
        </w:rPr>
        <w:t>2.</w:t>
      </w:r>
      <w:r>
        <w:rPr>
          <w:rFonts w:hint="eastAsia" w:ascii="仿宋" w:hAnsi="仿宋" w:eastAsia="仿宋"/>
          <w:b/>
          <w:sz w:val="32"/>
          <w:szCs w:val="32"/>
        </w:rPr>
        <w:t>各镇街（园区）</w:t>
      </w:r>
      <w:r>
        <w:rPr>
          <w:rFonts w:hint="eastAsia" w:ascii="仿宋" w:hAnsi="仿宋" w:eastAsia="仿宋"/>
          <w:sz w:val="32"/>
          <w:szCs w:val="32"/>
        </w:rPr>
        <w:t>：</w:t>
      </w:r>
      <w:r>
        <w:rPr>
          <w:rFonts w:hint="eastAsia" w:ascii="仿宋_GB2312" w:hAnsi="仿宋_GB2312" w:eastAsia="仿宋_GB2312" w:cs="仿宋_GB2312"/>
          <w:sz w:val="32"/>
          <w:szCs w:val="32"/>
        </w:rPr>
        <w:t>落实属地管理责任，负责组织辖区内燃气重点安全隐患攻坚整治任务，协调、督促城管执法、村社支持协助燃气企业实施老旧燃气管道改造；协调处置燃气企业在施工过程中遇到的矛盾和阻力。负责辖区内违章压占燃气管道的整改工作。</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_GB2312" w:hAnsi="仿宋_GB2312" w:eastAsia="仿宋_GB2312" w:cs="仿宋_GB2312"/>
          <w:sz w:val="32"/>
          <w:szCs w:val="32"/>
        </w:rPr>
      </w:pPr>
      <w:r>
        <w:rPr>
          <w:rFonts w:ascii="仿宋" w:hAnsi="仿宋" w:eastAsia="仿宋"/>
          <w:b/>
          <w:sz w:val="32"/>
          <w:szCs w:val="32"/>
        </w:rPr>
        <w:t>3.</w:t>
      </w:r>
      <w:r>
        <w:rPr>
          <w:rFonts w:hint="eastAsia" w:ascii="仿宋" w:hAnsi="仿宋" w:eastAsia="仿宋"/>
          <w:b/>
          <w:sz w:val="32"/>
          <w:szCs w:val="32"/>
        </w:rPr>
        <w:t>区城管和执法局</w:t>
      </w:r>
      <w:r>
        <w:rPr>
          <w:rFonts w:hint="eastAsia" w:ascii="仿宋" w:hAnsi="仿宋" w:eastAsia="仿宋"/>
          <w:sz w:val="32"/>
          <w:szCs w:val="32"/>
        </w:rPr>
        <w:t>：</w:t>
      </w:r>
      <w:r>
        <w:rPr>
          <w:rFonts w:hint="eastAsia" w:ascii="仿宋_GB2312" w:hAnsi="仿宋_GB2312" w:eastAsia="仿宋_GB2312" w:cs="仿宋_GB2312"/>
          <w:sz w:val="32"/>
          <w:szCs w:val="32"/>
        </w:rPr>
        <w:t>在区政府的领导下，协调调度全区老旧燃气管道及违章压占燃气管道安全隐患整治攻坚行动，督促各镇街（园区）、燃气企业依照职责开展老旧燃气管道改造和违章压占燃气管道整改工作，对重大燃气安全问题进行挂牌督办、跟踪问效，督促整改销号，协助解决整治攻坚行动中的困难和问题。</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_GB2312" w:hAnsi="仿宋_GB2312" w:eastAsia="仿宋_GB2312" w:cs="仿宋_GB2312"/>
          <w:sz w:val="32"/>
          <w:szCs w:val="32"/>
        </w:rPr>
      </w:pPr>
      <w:r>
        <w:rPr>
          <w:rFonts w:hint="eastAsia" w:ascii="仿宋" w:hAnsi="仿宋" w:eastAsia="仿宋"/>
          <w:b/>
          <w:sz w:val="32"/>
          <w:szCs w:val="32"/>
        </w:rPr>
        <w:t>4</w:t>
      </w:r>
      <w:r>
        <w:rPr>
          <w:rFonts w:ascii="仿宋" w:hAnsi="仿宋" w:eastAsia="仿宋"/>
          <w:b/>
          <w:sz w:val="32"/>
          <w:szCs w:val="32"/>
        </w:rPr>
        <w:t>.</w:t>
      </w:r>
      <w:r>
        <w:rPr>
          <w:rFonts w:hint="eastAsia" w:ascii="仿宋" w:hAnsi="仿宋" w:eastAsia="仿宋"/>
          <w:b/>
          <w:sz w:val="32"/>
          <w:szCs w:val="32"/>
        </w:rPr>
        <w:t>区自然资源和规划局、区城管和执法局、区交警大队</w:t>
      </w:r>
      <w:r>
        <w:rPr>
          <w:rFonts w:hint="eastAsia" w:ascii="仿宋" w:hAnsi="仿宋" w:eastAsia="仿宋"/>
          <w:sz w:val="32"/>
          <w:szCs w:val="32"/>
        </w:rPr>
        <w:t>：</w:t>
      </w:r>
      <w:r>
        <w:rPr>
          <w:rFonts w:hint="eastAsia" w:ascii="仿宋_GB2312" w:hAnsi="仿宋_GB2312" w:eastAsia="仿宋_GB2312" w:cs="仿宋_GB2312"/>
          <w:sz w:val="32"/>
          <w:szCs w:val="32"/>
        </w:rPr>
        <w:t>分别根据各自职责，依据本方案确定的政策举措，支持燃气企业及时办理规划、占道、掘路、占绿、交通组织等相关审批手续，对施工中出现的问题给予必要的支持。</w:t>
      </w:r>
    </w:p>
    <w:p>
      <w:pPr>
        <w:pStyle w:val="16"/>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color w:val="auto"/>
          <w:sz w:val="32"/>
          <w:szCs w:val="32"/>
        </w:rPr>
      </w:pPr>
      <w:r>
        <w:rPr>
          <w:rFonts w:hint="eastAsia" w:ascii="仿宋" w:hAnsi="仿宋" w:eastAsia="仿宋"/>
          <w:b/>
          <w:bCs/>
          <w:color w:val="auto"/>
          <w:sz w:val="32"/>
          <w:szCs w:val="32"/>
        </w:rPr>
        <w:t>5</w:t>
      </w:r>
      <w:r>
        <w:rPr>
          <w:rFonts w:hint="eastAsia" w:ascii="仿宋" w:hAnsi="仿宋" w:eastAsia="仿宋"/>
          <w:b/>
          <w:bCs/>
          <w:color w:val="auto"/>
          <w:sz w:val="32"/>
          <w:szCs w:val="32"/>
          <w:lang w:val="en-US" w:eastAsia="zh-CN"/>
        </w:rPr>
        <w:t>.</w:t>
      </w:r>
      <w:r>
        <w:rPr>
          <w:rFonts w:hint="eastAsia" w:ascii="仿宋" w:hAnsi="仿宋" w:eastAsia="仿宋"/>
          <w:b/>
          <w:bCs/>
          <w:color w:val="auto"/>
          <w:sz w:val="32"/>
          <w:szCs w:val="32"/>
        </w:rPr>
        <w:t>区市场监管局：</w:t>
      </w:r>
      <w:r>
        <w:rPr>
          <w:rFonts w:hint="eastAsia" w:ascii="仿宋_GB2312" w:hAnsi="仿宋_GB2312" w:eastAsia="仿宋_GB2312" w:cs="仿宋_GB2312"/>
          <w:color w:val="auto"/>
          <w:sz w:val="32"/>
          <w:szCs w:val="32"/>
        </w:rPr>
        <w:t>负责依法组织开展相关燃气压力管道法定检验工作。</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黑体" w:hAnsi="黑体" w:eastAsia="黑体"/>
          <w:sz w:val="32"/>
          <w:szCs w:val="32"/>
        </w:rPr>
      </w:pPr>
      <w:r>
        <w:rPr>
          <w:rFonts w:hint="eastAsia" w:ascii="仿宋" w:hAnsi="仿宋" w:eastAsia="仿宋" w:cs="仿宋_GB2312"/>
          <w:b/>
          <w:bCs/>
          <w:sz w:val="32"/>
          <w:szCs w:val="32"/>
        </w:rPr>
        <w:t>6</w:t>
      </w:r>
      <w:r>
        <w:rPr>
          <w:rFonts w:hint="eastAsia" w:ascii="仿宋" w:hAnsi="仿宋" w:cs="仿宋_GB2312"/>
          <w:b/>
          <w:bCs/>
          <w:sz w:val="32"/>
          <w:szCs w:val="32"/>
          <w:lang w:val="en-US" w:eastAsia="zh-CN"/>
        </w:rPr>
        <w:t>.</w:t>
      </w:r>
      <w:r>
        <w:rPr>
          <w:rFonts w:hint="eastAsia" w:ascii="仿宋" w:hAnsi="仿宋" w:eastAsia="仿宋" w:cs="仿宋_GB2312"/>
          <w:b/>
          <w:bCs/>
          <w:sz w:val="32"/>
          <w:szCs w:val="32"/>
        </w:rPr>
        <w:t>区消防救援大队:</w:t>
      </w:r>
      <w:r>
        <w:rPr>
          <w:rFonts w:hint="eastAsia" w:ascii="仿宋_GB2312" w:hAnsi="仿宋_GB2312" w:eastAsia="仿宋_GB2312" w:cs="仿宋_GB2312"/>
          <w:sz w:val="32"/>
          <w:szCs w:val="32"/>
        </w:rPr>
        <w:t>配合有关部门做好燃气重大施工项目现场安全保护工作。</w:t>
      </w:r>
    </w:p>
    <w:p>
      <w:pPr>
        <w:keepNext w:val="0"/>
        <w:keepLines w:val="0"/>
        <w:pageBreakBefore w:val="0"/>
        <w:widowControl w:val="0"/>
        <w:kinsoku/>
        <w:wordWrap/>
        <w:overflowPunct/>
        <w:topLinePunct w:val="0"/>
        <w:bidi w:val="0"/>
        <w:snapToGrid/>
        <w:spacing w:line="560" w:lineRule="exact"/>
        <w:ind w:firstLine="624" w:firstLineChars="200"/>
        <w:textAlignment w:val="auto"/>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工作要求</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_GB2312" w:hAnsi="仿宋_GB2312" w:eastAsia="仿宋_GB2312" w:cs="仿宋_GB2312"/>
          <w:sz w:val="32"/>
          <w:szCs w:val="32"/>
        </w:rPr>
      </w:pPr>
      <w:r>
        <w:rPr>
          <w:rFonts w:hint="eastAsia" w:ascii="仿宋" w:hAnsi="仿宋" w:eastAsia="仿宋"/>
          <w:b/>
          <w:sz w:val="32"/>
          <w:szCs w:val="32"/>
        </w:rPr>
        <w:t>1</w:t>
      </w:r>
      <w:r>
        <w:rPr>
          <w:rFonts w:ascii="仿宋" w:hAnsi="仿宋" w:eastAsia="仿宋"/>
          <w:b/>
          <w:sz w:val="32"/>
          <w:szCs w:val="32"/>
        </w:rPr>
        <w:t>.加强领导</w:t>
      </w:r>
      <w:r>
        <w:rPr>
          <w:rFonts w:hint="eastAsia" w:ascii="仿宋" w:hAnsi="仿宋" w:eastAsia="仿宋"/>
          <w:b/>
          <w:sz w:val="32"/>
          <w:szCs w:val="32"/>
        </w:rPr>
        <w:t>，统一思想。</w:t>
      </w:r>
      <w:r>
        <w:rPr>
          <w:rFonts w:hint="eastAsia" w:ascii="仿宋_GB2312" w:hAnsi="仿宋_GB2312" w:eastAsia="仿宋_GB2312" w:cs="仿宋_GB2312"/>
          <w:sz w:val="32"/>
          <w:szCs w:val="32"/>
        </w:rPr>
        <w:t>指挥部各成员单位要始终做到警钟长鸣，牢固树立“责任重于泰山、安全压倒一切”的忧患意识，高度重视燃气安全隐患整治攻坚行动工作，切实加强组织领导，统一思想，充分发挥区、镇街（园区）两级指挥部综合协调的调度作用。成员单位要担当履责、齐抓共管，制定方案，主要领导要亲自过问，分管领导要具体负责，责任部门要狠抓落实，真正把推进老旧燃气管道改造和违章压占燃气管道整改工作作为本单位、本部门一项重大安全隐患整改项目狠抓落实。</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_GB2312" w:hAnsi="仿宋_GB2312" w:eastAsia="仿宋_GB2312" w:cs="仿宋_GB2312"/>
          <w:sz w:val="32"/>
          <w:szCs w:val="32"/>
        </w:rPr>
      </w:pPr>
      <w:r>
        <w:rPr>
          <w:rFonts w:hint="eastAsia" w:ascii="仿宋" w:hAnsi="仿宋" w:eastAsia="仿宋"/>
          <w:b/>
          <w:sz w:val="32"/>
          <w:szCs w:val="32"/>
        </w:rPr>
        <w:t>2</w:t>
      </w:r>
      <w:r>
        <w:rPr>
          <w:rFonts w:ascii="仿宋" w:hAnsi="仿宋" w:eastAsia="仿宋"/>
          <w:b/>
          <w:sz w:val="32"/>
          <w:szCs w:val="32"/>
        </w:rPr>
        <w:t>.</w:t>
      </w:r>
      <w:r>
        <w:rPr>
          <w:rFonts w:hint="eastAsia" w:ascii="仿宋" w:hAnsi="仿宋" w:eastAsia="仿宋"/>
          <w:b/>
          <w:sz w:val="32"/>
          <w:szCs w:val="32"/>
        </w:rPr>
        <w:t>政企联动，快速推进。</w:t>
      </w:r>
      <w:r>
        <w:rPr>
          <w:rFonts w:hint="eastAsia" w:ascii="仿宋_GB2312" w:hAnsi="仿宋_GB2312" w:eastAsia="仿宋_GB2312" w:cs="仿宋_GB2312"/>
          <w:sz w:val="32"/>
          <w:szCs w:val="32"/>
        </w:rPr>
        <w:t>各单位、各部门要上下同心、左右同步、协调联动、优化流程、快捷办理相关手续。按工作目标的要求，如期完成老旧燃气管道改造和违章压占燃气管道整改攻坚任务。</w:t>
      </w:r>
    </w:p>
    <w:p>
      <w:pPr>
        <w:keepNext w:val="0"/>
        <w:keepLines w:val="0"/>
        <w:pageBreakBefore w:val="0"/>
        <w:widowControl w:val="0"/>
        <w:kinsoku/>
        <w:wordWrap/>
        <w:overflowPunct/>
        <w:topLinePunct w:val="0"/>
        <w:bidi w:val="0"/>
        <w:snapToGrid/>
        <w:spacing w:line="560" w:lineRule="exact"/>
        <w:ind w:firstLine="627" w:firstLineChars="200"/>
        <w:textAlignment w:val="auto"/>
        <w:rPr>
          <w:rFonts w:ascii="仿宋_GB2312" w:hAnsi="仿宋_GB2312" w:eastAsia="仿宋_GB2312" w:cs="仿宋_GB2312"/>
          <w:sz w:val="32"/>
          <w:szCs w:val="32"/>
        </w:rPr>
      </w:pPr>
      <w:r>
        <w:rPr>
          <w:rFonts w:hint="eastAsia" w:ascii="仿宋" w:hAnsi="仿宋" w:eastAsia="仿宋"/>
          <w:b/>
          <w:sz w:val="32"/>
          <w:szCs w:val="32"/>
        </w:rPr>
        <w:t>3</w:t>
      </w:r>
      <w:r>
        <w:rPr>
          <w:rFonts w:ascii="仿宋" w:hAnsi="仿宋" w:eastAsia="仿宋"/>
          <w:b/>
          <w:sz w:val="32"/>
          <w:szCs w:val="32"/>
        </w:rPr>
        <w:t>.严格督查</w:t>
      </w:r>
      <w:r>
        <w:rPr>
          <w:rFonts w:hint="eastAsia" w:ascii="仿宋" w:hAnsi="仿宋" w:eastAsia="仿宋"/>
          <w:b/>
          <w:sz w:val="32"/>
          <w:szCs w:val="32"/>
        </w:rPr>
        <w:t>，</w:t>
      </w:r>
      <w:r>
        <w:rPr>
          <w:rFonts w:ascii="仿宋" w:hAnsi="仿宋" w:eastAsia="仿宋"/>
          <w:b/>
          <w:sz w:val="32"/>
          <w:szCs w:val="32"/>
        </w:rPr>
        <w:t>落实责任</w:t>
      </w:r>
      <w:r>
        <w:rPr>
          <w:rFonts w:hint="eastAsia" w:ascii="仿宋" w:hAnsi="仿宋" w:eastAsia="仿宋"/>
          <w:b/>
          <w:sz w:val="32"/>
          <w:szCs w:val="32"/>
        </w:rPr>
        <w:t>。</w:t>
      </w:r>
      <w:r>
        <w:rPr>
          <w:rFonts w:hint="eastAsia" w:ascii="仿宋_GB2312" w:hAnsi="仿宋_GB2312" w:eastAsia="仿宋_GB2312" w:cs="仿宋_GB2312"/>
          <w:sz w:val="32"/>
          <w:szCs w:val="32"/>
        </w:rPr>
        <w:t>指挥部办公室要结合改造整治推进工作实际，适时召开工作会议，协调解决项目推进中遇到的困难和问题，强化督查考核，依据整改方案明确的整改责任、整改任务、整改时限，对各镇街（园区）在项目推进中的履责情况进行督查考核，考核成绩计入城市管理综合考核成绩，并在全区进行通报。</w:t>
      </w:r>
    </w:p>
    <w:p>
      <w:pPr>
        <w:keepNext w:val="0"/>
        <w:keepLines w:val="0"/>
        <w:pageBreakBefore w:val="0"/>
        <w:widowControl w:val="0"/>
        <w:kinsoku/>
        <w:wordWrap/>
        <w:overflowPunct/>
        <w:topLinePunct w:val="0"/>
        <w:bidi w:val="0"/>
        <w:snapToGrid/>
        <w:spacing w:line="560" w:lineRule="exact"/>
        <w:ind w:left="2196" w:leftChars="304" w:hanging="1248" w:hangingChars="400"/>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60" w:lineRule="exact"/>
        <w:ind w:left="2036" w:leftChars="304" w:hanging="1088" w:hangingChars="400"/>
        <w:textAlignment w:val="auto"/>
        <w:rPr>
          <w:rFonts w:hint="eastAsia" w:ascii="仿宋" w:hAnsi="仿宋" w:eastAsia="仿宋"/>
          <w:sz w:val="28"/>
          <w:szCs w:val="28"/>
        </w:rPr>
      </w:pPr>
      <w:r>
        <w:rPr>
          <w:rFonts w:ascii="仿宋" w:hAnsi="仿宋" w:eastAsia="仿宋"/>
          <w:sz w:val="28"/>
          <w:szCs w:val="28"/>
        </w:rPr>
        <w:t>附件</w:t>
      </w:r>
      <w:r>
        <w:rPr>
          <w:rFonts w:hint="eastAsia" w:ascii="仿宋" w:hAnsi="仿宋" w:eastAsia="仿宋"/>
          <w:sz w:val="28"/>
          <w:szCs w:val="28"/>
        </w:rPr>
        <w:t>：</w:t>
      </w:r>
    </w:p>
    <w:p>
      <w:pPr>
        <w:keepNext w:val="0"/>
        <w:keepLines w:val="0"/>
        <w:pageBreakBefore w:val="0"/>
        <w:widowControl w:val="0"/>
        <w:kinsoku/>
        <w:wordWrap/>
        <w:overflowPunct/>
        <w:topLinePunct w:val="0"/>
        <w:bidi w:val="0"/>
        <w:snapToGrid/>
        <w:spacing w:line="560" w:lineRule="exact"/>
        <w:ind w:left="2036" w:leftChars="304" w:hanging="1088" w:hangingChars="400"/>
        <w:textAlignment w:val="auto"/>
        <w:rPr>
          <w:rFonts w:hint="eastAsia" w:ascii="仿宋" w:hAnsi="仿宋" w:eastAsia="仿宋"/>
          <w:sz w:val="28"/>
          <w:szCs w:val="28"/>
          <w:lang w:eastAsia="zh-CN"/>
        </w:rPr>
      </w:pPr>
      <w:r>
        <w:rPr>
          <w:rFonts w:hint="eastAsia" w:ascii="仿宋" w:hAnsi="仿宋" w:eastAsia="仿宋"/>
          <w:sz w:val="28"/>
          <w:szCs w:val="28"/>
        </w:rPr>
        <w:t>1.1.</w:t>
      </w:r>
      <w:r>
        <w:rPr>
          <w:rFonts w:ascii="仿宋" w:hAnsi="仿宋" w:eastAsia="仿宋"/>
          <w:sz w:val="28"/>
          <w:szCs w:val="28"/>
        </w:rPr>
        <w:t>老旧燃气管道</w:t>
      </w:r>
      <w:r>
        <w:rPr>
          <w:rFonts w:hint="eastAsia" w:ascii="仿宋" w:hAnsi="仿宋" w:eastAsia="仿宋"/>
          <w:sz w:val="28"/>
          <w:szCs w:val="28"/>
        </w:rPr>
        <w:t>改造、</w:t>
      </w:r>
      <w:r>
        <w:rPr>
          <w:rFonts w:ascii="仿宋" w:hAnsi="仿宋" w:eastAsia="仿宋"/>
          <w:sz w:val="28"/>
          <w:szCs w:val="28"/>
        </w:rPr>
        <w:t>违章压占</w:t>
      </w:r>
      <w:r>
        <w:rPr>
          <w:rFonts w:hint="eastAsia" w:ascii="仿宋" w:hAnsi="仿宋" w:eastAsia="仿宋"/>
          <w:sz w:val="28"/>
          <w:szCs w:val="28"/>
        </w:rPr>
        <w:t>燃气</w:t>
      </w:r>
      <w:r>
        <w:rPr>
          <w:rFonts w:ascii="仿宋" w:hAnsi="仿宋" w:eastAsia="仿宋"/>
          <w:sz w:val="28"/>
          <w:szCs w:val="28"/>
        </w:rPr>
        <w:t>管道整改季</w:t>
      </w:r>
      <w:r>
        <w:rPr>
          <w:rFonts w:hint="eastAsia" w:ascii="仿宋" w:hAnsi="仿宋" w:eastAsia="仿宋"/>
          <w:sz w:val="28"/>
          <w:szCs w:val="28"/>
        </w:rPr>
        <w:t>度</w:t>
      </w:r>
      <w:r>
        <w:rPr>
          <w:rFonts w:hint="eastAsia" w:ascii="仿宋" w:hAnsi="仿宋"/>
          <w:sz w:val="28"/>
          <w:szCs w:val="28"/>
          <w:lang w:val="en-US" w:eastAsia="zh-CN"/>
        </w:rPr>
        <w:t>计划</w:t>
      </w:r>
    </w:p>
    <w:p>
      <w:pPr>
        <w:keepNext w:val="0"/>
        <w:keepLines w:val="0"/>
        <w:pageBreakBefore w:val="0"/>
        <w:widowControl w:val="0"/>
        <w:kinsoku/>
        <w:wordWrap/>
        <w:overflowPunct/>
        <w:topLinePunct w:val="0"/>
        <w:bidi w:val="0"/>
        <w:snapToGrid/>
        <w:spacing w:line="560" w:lineRule="exact"/>
        <w:ind w:left="2036" w:leftChars="304" w:hanging="1088" w:hangingChars="400"/>
        <w:textAlignment w:val="auto"/>
        <w:rPr>
          <w:rFonts w:ascii="仿宋" w:hAnsi="仿宋" w:eastAsia="仿宋"/>
          <w:sz w:val="28"/>
          <w:szCs w:val="28"/>
        </w:rPr>
      </w:pPr>
      <w:r>
        <w:rPr>
          <w:rFonts w:hint="eastAsia" w:ascii="仿宋" w:hAnsi="仿宋" w:eastAsia="仿宋"/>
          <w:sz w:val="28"/>
          <w:szCs w:val="28"/>
        </w:rPr>
        <w:t>1.2</w:t>
      </w:r>
      <w:r>
        <w:rPr>
          <w:rFonts w:ascii="仿宋" w:hAnsi="仿宋" w:eastAsia="仿宋"/>
          <w:sz w:val="28"/>
          <w:szCs w:val="28"/>
        </w:rPr>
        <w:t>.老旧</w:t>
      </w:r>
      <w:r>
        <w:rPr>
          <w:rFonts w:hint="eastAsia" w:ascii="仿宋" w:hAnsi="仿宋" w:eastAsia="仿宋"/>
          <w:sz w:val="28"/>
          <w:szCs w:val="28"/>
        </w:rPr>
        <w:t>燃气</w:t>
      </w:r>
      <w:r>
        <w:rPr>
          <w:rFonts w:ascii="仿宋" w:hAnsi="仿宋" w:eastAsia="仿宋"/>
          <w:sz w:val="28"/>
          <w:szCs w:val="28"/>
        </w:rPr>
        <w:t>管道</w:t>
      </w:r>
      <w:r>
        <w:rPr>
          <w:rFonts w:hint="eastAsia" w:ascii="仿宋" w:hAnsi="仿宋" w:eastAsia="仿宋"/>
          <w:sz w:val="28"/>
          <w:szCs w:val="28"/>
        </w:rPr>
        <w:t>改造实行备案告知制项目明细表</w:t>
      </w:r>
    </w:p>
    <w:p>
      <w:pPr>
        <w:keepNext w:val="0"/>
        <w:keepLines w:val="0"/>
        <w:pageBreakBefore w:val="0"/>
        <w:widowControl w:val="0"/>
        <w:kinsoku/>
        <w:wordWrap/>
        <w:overflowPunct/>
        <w:topLinePunct w:val="0"/>
        <w:bidi w:val="0"/>
        <w:snapToGrid/>
        <w:spacing w:line="560" w:lineRule="exact"/>
        <w:ind w:left="2036" w:leftChars="304" w:hanging="1088" w:hangingChars="400"/>
        <w:textAlignment w:val="auto"/>
        <w:rPr>
          <w:rFonts w:ascii="仿宋" w:hAnsi="仿宋" w:eastAsia="仿宋"/>
          <w:sz w:val="28"/>
          <w:szCs w:val="28"/>
        </w:rPr>
      </w:pPr>
      <w:r>
        <w:rPr>
          <w:rFonts w:hint="eastAsia" w:ascii="仿宋" w:hAnsi="仿宋" w:eastAsia="仿宋"/>
          <w:sz w:val="28"/>
          <w:szCs w:val="28"/>
        </w:rPr>
        <w:t>1.3.庭院</w:t>
      </w:r>
      <w:r>
        <w:rPr>
          <w:rFonts w:ascii="仿宋" w:hAnsi="仿宋" w:eastAsia="仿宋"/>
          <w:sz w:val="28"/>
          <w:szCs w:val="28"/>
        </w:rPr>
        <w:t>老旧燃气管道改造计划明细表</w:t>
      </w:r>
    </w:p>
    <w:p>
      <w:pPr>
        <w:keepNext w:val="0"/>
        <w:keepLines w:val="0"/>
        <w:pageBreakBefore w:val="0"/>
        <w:widowControl w:val="0"/>
        <w:kinsoku/>
        <w:wordWrap/>
        <w:overflowPunct/>
        <w:topLinePunct w:val="0"/>
        <w:bidi w:val="0"/>
        <w:snapToGrid/>
        <w:spacing w:line="560" w:lineRule="exact"/>
        <w:ind w:left="2036" w:leftChars="304" w:hanging="1088" w:hangingChars="400"/>
        <w:textAlignment w:val="auto"/>
        <w:rPr>
          <w:rFonts w:ascii="仿宋" w:hAnsi="仿宋" w:eastAsia="仿宋"/>
          <w:sz w:val="28"/>
          <w:szCs w:val="28"/>
        </w:rPr>
      </w:pPr>
      <w:r>
        <w:rPr>
          <w:rFonts w:hint="eastAsia" w:ascii="仿宋" w:hAnsi="仿宋" w:eastAsia="仿宋"/>
          <w:sz w:val="28"/>
          <w:szCs w:val="28"/>
        </w:rPr>
        <w:t>1.4</w:t>
      </w:r>
      <w:r>
        <w:rPr>
          <w:rFonts w:ascii="仿宋" w:hAnsi="仿宋" w:eastAsia="仿宋"/>
          <w:sz w:val="28"/>
          <w:szCs w:val="28"/>
        </w:rPr>
        <w:t>.违章压占燃气管道整改计划明细表</w:t>
      </w:r>
    </w:p>
    <w:p>
      <w:pPr>
        <w:keepNext w:val="0"/>
        <w:keepLines w:val="0"/>
        <w:pageBreakBefore w:val="0"/>
        <w:widowControl w:val="0"/>
        <w:kinsoku/>
        <w:wordWrap/>
        <w:overflowPunct/>
        <w:topLinePunct w:val="0"/>
        <w:bidi w:val="0"/>
        <w:snapToGrid/>
        <w:spacing w:line="560" w:lineRule="exact"/>
        <w:ind w:left="2036" w:leftChars="304" w:hanging="1088" w:hangingChars="400"/>
        <w:textAlignment w:val="auto"/>
        <w:rPr>
          <w:rFonts w:hint="eastAsia" w:ascii="仿宋" w:hAnsi="仿宋" w:eastAsia="仿宋"/>
          <w:sz w:val="28"/>
          <w:szCs w:val="28"/>
        </w:rPr>
      </w:pPr>
      <w:r>
        <w:rPr>
          <w:rFonts w:hint="eastAsia" w:ascii="仿宋" w:hAnsi="仿宋" w:eastAsia="仿宋"/>
          <w:sz w:val="28"/>
          <w:szCs w:val="28"/>
        </w:rPr>
        <w:br w:type="page"/>
      </w:r>
    </w:p>
    <w:p>
      <w:pPr>
        <w:rPr>
          <w:rFonts w:ascii="仿宋" w:hAnsi="仿宋" w:eastAsia="仿宋" w:cs="仿宋"/>
          <w:sz w:val="32"/>
          <w:szCs w:val="32"/>
        </w:rPr>
      </w:pPr>
      <w:r>
        <w:rPr>
          <w:rFonts w:hint="eastAsia" w:ascii="仿宋" w:hAnsi="仿宋" w:eastAsia="仿宋" w:cs="仿宋"/>
          <w:sz w:val="32"/>
          <w:szCs w:val="32"/>
        </w:rPr>
        <w:t>附件1.1：</w:t>
      </w:r>
    </w:p>
    <w:p>
      <w:pPr>
        <w:spacing w:line="5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老旧燃气管道改造季度计划</w:t>
      </w:r>
    </w:p>
    <w:p>
      <w:pPr>
        <w:spacing w:line="500" w:lineRule="exact"/>
        <w:jc w:val="right"/>
        <w:rPr>
          <w:rFonts w:ascii="宋体" w:hAnsi="宋体" w:cs="宋体"/>
          <w:b/>
          <w:color w:val="000000"/>
          <w:kern w:val="0"/>
          <w:sz w:val="28"/>
          <w:szCs w:val="28"/>
        </w:rPr>
      </w:pPr>
      <w:r>
        <w:rPr>
          <w:rFonts w:hint="eastAsia" w:ascii="宋体" w:hAnsi="宋体" w:cs="宋体"/>
          <w:b/>
          <w:color w:val="000000"/>
          <w:kern w:val="0"/>
          <w:sz w:val="28"/>
          <w:szCs w:val="28"/>
        </w:rPr>
        <w:t>单位</w:t>
      </w:r>
      <w:r>
        <w:rPr>
          <w:rFonts w:ascii="宋体" w:hAnsi="宋体" w:cs="宋体"/>
          <w:b/>
          <w:color w:val="000000"/>
          <w:kern w:val="0"/>
          <w:sz w:val="28"/>
          <w:szCs w:val="28"/>
        </w:rPr>
        <w:t>：公里</w:t>
      </w:r>
    </w:p>
    <w:tbl>
      <w:tblPr>
        <w:tblStyle w:val="12"/>
        <w:tblW w:w="9921" w:type="dxa"/>
        <w:jc w:val="center"/>
        <w:tblLayout w:type="fixed"/>
        <w:tblCellMar>
          <w:top w:w="0" w:type="dxa"/>
          <w:left w:w="108" w:type="dxa"/>
          <w:bottom w:w="0" w:type="dxa"/>
          <w:right w:w="108" w:type="dxa"/>
        </w:tblCellMar>
      </w:tblPr>
      <w:tblGrid>
        <w:gridCol w:w="2707"/>
        <w:gridCol w:w="2178"/>
        <w:gridCol w:w="2113"/>
        <w:gridCol w:w="2923"/>
      </w:tblGrid>
      <w:tr>
        <w:tblPrEx>
          <w:tblCellMar>
            <w:top w:w="0" w:type="dxa"/>
            <w:left w:w="108" w:type="dxa"/>
            <w:bottom w:w="0" w:type="dxa"/>
            <w:right w:w="108" w:type="dxa"/>
          </w:tblCellMar>
        </w:tblPrEx>
        <w:trPr>
          <w:trHeight w:val="845" w:hRule="atLeast"/>
          <w:jc w:val="center"/>
        </w:trPr>
        <w:tc>
          <w:tcPr>
            <w:tcW w:w="2707" w:type="dxa"/>
            <w:vMerge w:val="restart"/>
            <w:tcBorders>
              <w:top w:val="single" w:color="auto" w:sz="4" w:space="0"/>
              <w:left w:val="single" w:color="auto" w:sz="4" w:space="0"/>
              <w:right w:val="single" w:color="auto" w:sz="4" w:space="0"/>
            </w:tcBorders>
            <w:noWrap w:val="0"/>
            <w:vAlign w:val="center"/>
          </w:tcPr>
          <w:p>
            <w:pPr>
              <w:jc w:val="center"/>
              <w:rPr>
                <w:rFonts w:ascii="Tahoma" w:hAnsi="Tahoma" w:cs="Tahoma"/>
                <w:b/>
                <w:color w:val="000000"/>
                <w:kern w:val="0"/>
                <w:sz w:val="28"/>
              </w:rPr>
            </w:pPr>
            <w:r>
              <w:rPr>
                <w:rFonts w:hint="eastAsia" w:ascii="Tahoma" w:hAnsi="Tahoma" w:cs="Tahoma"/>
                <w:b/>
                <w:color w:val="000000"/>
                <w:kern w:val="0"/>
                <w:sz w:val="28"/>
              </w:rPr>
              <w:t>时间</w:t>
            </w:r>
          </w:p>
        </w:tc>
        <w:tc>
          <w:tcPr>
            <w:tcW w:w="42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ahoma" w:hAnsi="Tahoma" w:cs="Tahoma"/>
                <w:b/>
                <w:color w:val="000000"/>
                <w:kern w:val="0"/>
                <w:sz w:val="28"/>
              </w:rPr>
            </w:pPr>
            <w:r>
              <w:rPr>
                <w:rFonts w:ascii="Tahoma" w:hAnsi="Tahoma" w:cs="Tahoma"/>
                <w:b/>
                <w:color w:val="000000"/>
                <w:kern w:val="0"/>
                <w:sz w:val="28"/>
              </w:rPr>
              <w:t>青山湖区</w:t>
            </w:r>
          </w:p>
        </w:tc>
        <w:tc>
          <w:tcPr>
            <w:tcW w:w="2923" w:type="dxa"/>
            <w:vMerge w:val="restart"/>
            <w:tcBorders>
              <w:top w:val="single" w:color="auto" w:sz="4" w:space="0"/>
              <w:left w:val="nil"/>
              <w:right w:val="single" w:color="auto" w:sz="4" w:space="0"/>
            </w:tcBorders>
            <w:noWrap w:val="0"/>
            <w:vAlign w:val="center"/>
          </w:tcPr>
          <w:p>
            <w:pPr>
              <w:widowControl/>
              <w:jc w:val="center"/>
              <w:rPr>
                <w:rFonts w:ascii="宋体" w:hAnsi="宋体" w:cs="Tahoma"/>
                <w:b/>
                <w:color w:val="000000"/>
                <w:kern w:val="0"/>
                <w:sz w:val="28"/>
              </w:rPr>
            </w:pPr>
            <w:r>
              <w:rPr>
                <w:rFonts w:hint="eastAsia" w:ascii="宋体" w:hAnsi="宋体" w:cs="Tahoma"/>
                <w:b/>
                <w:color w:val="000000"/>
                <w:kern w:val="0"/>
                <w:sz w:val="28"/>
              </w:rPr>
              <w:t>合计</w:t>
            </w:r>
          </w:p>
        </w:tc>
      </w:tr>
      <w:tr>
        <w:tblPrEx>
          <w:tblCellMar>
            <w:top w:w="0" w:type="dxa"/>
            <w:left w:w="108" w:type="dxa"/>
            <w:bottom w:w="0" w:type="dxa"/>
            <w:right w:w="108" w:type="dxa"/>
          </w:tblCellMar>
        </w:tblPrEx>
        <w:trPr>
          <w:trHeight w:val="763" w:hRule="atLeast"/>
          <w:jc w:val="center"/>
        </w:trPr>
        <w:tc>
          <w:tcPr>
            <w:tcW w:w="2707" w:type="dxa"/>
            <w:vMerge w:val="continue"/>
            <w:tcBorders>
              <w:left w:val="single" w:color="auto" w:sz="4" w:space="0"/>
              <w:bottom w:val="single" w:color="auto" w:sz="4" w:space="0"/>
              <w:right w:val="single" w:color="auto" w:sz="4" w:space="0"/>
            </w:tcBorders>
            <w:noWrap w:val="0"/>
            <w:vAlign w:val="center"/>
          </w:tcPr>
          <w:p>
            <w:pPr>
              <w:widowControl/>
              <w:jc w:val="center"/>
              <w:rPr>
                <w:rFonts w:ascii="Tahoma" w:hAnsi="Tahoma" w:cs="Tahoma"/>
                <w:b/>
                <w:color w:val="000000"/>
                <w:kern w:val="0"/>
                <w:sz w:val="22"/>
              </w:rPr>
            </w:pPr>
          </w:p>
        </w:tc>
        <w:tc>
          <w:tcPr>
            <w:tcW w:w="2178" w:type="dxa"/>
            <w:tcBorders>
              <w:top w:val="nil"/>
              <w:left w:val="nil"/>
              <w:bottom w:val="single" w:color="auto" w:sz="4" w:space="0"/>
              <w:right w:val="single" w:color="auto" w:sz="4" w:space="0"/>
            </w:tcBorders>
            <w:noWrap w:val="0"/>
            <w:vAlign w:val="center"/>
          </w:tcPr>
          <w:p>
            <w:pPr>
              <w:widowControl/>
              <w:jc w:val="center"/>
              <w:rPr>
                <w:rFonts w:ascii="Tahoma" w:hAnsi="Tahoma" w:cs="Tahoma"/>
                <w:b/>
                <w:color w:val="000000"/>
                <w:kern w:val="0"/>
                <w:sz w:val="28"/>
              </w:rPr>
            </w:pPr>
            <w:r>
              <w:rPr>
                <w:rFonts w:ascii="Tahoma" w:hAnsi="Tahoma" w:cs="Tahoma"/>
                <w:b/>
                <w:color w:val="000000"/>
                <w:kern w:val="0"/>
                <w:sz w:val="28"/>
              </w:rPr>
              <w:t>市政</w:t>
            </w:r>
          </w:p>
        </w:tc>
        <w:tc>
          <w:tcPr>
            <w:tcW w:w="2113" w:type="dxa"/>
            <w:tcBorders>
              <w:top w:val="nil"/>
              <w:left w:val="nil"/>
              <w:bottom w:val="single" w:color="auto" w:sz="4" w:space="0"/>
              <w:right w:val="single" w:color="auto" w:sz="4" w:space="0"/>
            </w:tcBorders>
            <w:noWrap w:val="0"/>
            <w:vAlign w:val="center"/>
          </w:tcPr>
          <w:p>
            <w:pPr>
              <w:widowControl/>
              <w:jc w:val="center"/>
              <w:rPr>
                <w:rFonts w:ascii="Tahoma" w:hAnsi="Tahoma" w:cs="Tahoma"/>
                <w:b/>
                <w:color w:val="000000"/>
                <w:kern w:val="0"/>
                <w:sz w:val="28"/>
              </w:rPr>
            </w:pPr>
            <w:r>
              <w:rPr>
                <w:rFonts w:ascii="Tahoma" w:hAnsi="Tahoma" w:cs="Tahoma"/>
                <w:b/>
                <w:color w:val="000000"/>
                <w:kern w:val="0"/>
                <w:sz w:val="28"/>
              </w:rPr>
              <w:t>庭院</w:t>
            </w:r>
          </w:p>
        </w:tc>
        <w:tc>
          <w:tcPr>
            <w:tcW w:w="2923" w:type="dxa"/>
            <w:vMerge w:val="continue"/>
            <w:tcBorders>
              <w:left w:val="nil"/>
              <w:bottom w:val="single" w:color="auto" w:sz="4" w:space="0"/>
              <w:right w:val="single" w:color="auto" w:sz="4" w:space="0"/>
            </w:tcBorders>
            <w:noWrap w:val="0"/>
            <w:vAlign w:val="center"/>
          </w:tcPr>
          <w:p>
            <w:pPr>
              <w:widowControl/>
              <w:jc w:val="center"/>
              <w:rPr>
                <w:rFonts w:ascii="Tahoma" w:hAnsi="Tahoma" w:cs="Tahoma"/>
                <w:color w:val="000000"/>
                <w:kern w:val="0"/>
                <w:sz w:val="22"/>
              </w:rPr>
            </w:pPr>
          </w:p>
        </w:tc>
      </w:tr>
      <w:tr>
        <w:tblPrEx>
          <w:tblCellMar>
            <w:top w:w="0" w:type="dxa"/>
            <w:left w:w="108" w:type="dxa"/>
            <w:bottom w:w="0" w:type="dxa"/>
            <w:right w:w="108" w:type="dxa"/>
          </w:tblCellMar>
        </w:tblPrEx>
        <w:trPr>
          <w:trHeight w:val="845" w:hRule="atLeast"/>
          <w:jc w:val="center"/>
        </w:trPr>
        <w:tc>
          <w:tcPr>
            <w:tcW w:w="2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Tahoma"/>
                <w:b/>
                <w:color w:val="000000"/>
                <w:kern w:val="0"/>
                <w:sz w:val="28"/>
              </w:rPr>
            </w:pPr>
            <w:r>
              <w:rPr>
                <w:rFonts w:hint="eastAsia" w:ascii="宋体" w:hAnsi="宋体" w:cs="Tahoma"/>
                <w:b/>
                <w:color w:val="000000"/>
                <w:kern w:val="0"/>
                <w:sz w:val="28"/>
              </w:rPr>
              <w:t>第</w:t>
            </w:r>
            <w:r>
              <w:rPr>
                <w:rFonts w:ascii="宋体" w:hAnsi="宋体" w:cs="Tahoma"/>
                <w:b/>
                <w:color w:val="000000"/>
                <w:kern w:val="0"/>
                <w:sz w:val="28"/>
              </w:rPr>
              <w:t>1</w:t>
            </w:r>
            <w:r>
              <w:rPr>
                <w:rFonts w:hint="eastAsia" w:ascii="宋体" w:hAnsi="宋体" w:cs="Tahoma"/>
                <w:b/>
                <w:color w:val="000000"/>
                <w:kern w:val="0"/>
                <w:sz w:val="28"/>
              </w:rPr>
              <w:t>季度</w:t>
            </w:r>
          </w:p>
        </w:tc>
        <w:tc>
          <w:tcPr>
            <w:tcW w:w="2178"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rPr>
            </w:pPr>
            <w:r>
              <w:rPr>
                <w:rFonts w:ascii="Tahoma" w:hAnsi="Tahoma" w:cs="Tahoma"/>
                <w:color w:val="000000"/>
                <w:kern w:val="0"/>
                <w:sz w:val="22"/>
              </w:rPr>
              <w:t>1.138</w:t>
            </w:r>
          </w:p>
        </w:tc>
        <w:tc>
          <w:tcPr>
            <w:tcW w:w="2113" w:type="dxa"/>
            <w:tcBorders>
              <w:top w:val="nil"/>
              <w:left w:val="nil"/>
              <w:bottom w:val="single" w:color="auto" w:sz="4" w:space="0"/>
              <w:right w:val="single" w:color="auto" w:sz="4" w:space="0"/>
            </w:tcBorders>
            <w:noWrap w:val="0"/>
            <w:vAlign w:val="center"/>
          </w:tcPr>
          <w:p>
            <w:pPr>
              <w:widowControl/>
              <w:jc w:val="center"/>
              <w:rPr>
                <w:rFonts w:hint="default" w:ascii="Tahoma" w:hAnsi="Tahoma" w:eastAsia="宋体" w:cs="Tahoma"/>
                <w:color w:val="000000"/>
                <w:kern w:val="0"/>
                <w:sz w:val="22"/>
                <w:lang w:val="en-US" w:eastAsia="zh-CN"/>
              </w:rPr>
            </w:pPr>
            <w:r>
              <w:rPr>
                <w:rFonts w:hint="eastAsia" w:ascii="Tahoma" w:hAnsi="Tahoma" w:cs="Tahoma"/>
                <w:color w:val="000000"/>
                <w:kern w:val="0"/>
                <w:sz w:val="22"/>
                <w:lang w:val="en-US" w:eastAsia="zh-CN"/>
              </w:rPr>
              <w:t>1.68</w:t>
            </w:r>
          </w:p>
        </w:tc>
        <w:tc>
          <w:tcPr>
            <w:tcW w:w="2923" w:type="dxa"/>
            <w:tcBorders>
              <w:top w:val="nil"/>
              <w:left w:val="nil"/>
              <w:bottom w:val="single" w:color="auto" w:sz="4" w:space="0"/>
              <w:right w:val="single" w:color="auto" w:sz="4" w:space="0"/>
            </w:tcBorders>
            <w:noWrap w:val="0"/>
            <w:vAlign w:val="center"/>
          </w:tcPr>
          <w:p>
            <w:pPr>
              <w:widowControl/>
              <w:jc w:val="center"/>
              <w:rPr>
                <w:rFonts w:hint="default" w:ascii="Tahoma" w:hAnsi="Tahoma" w:eastAsia="宋体" w:cs="Tahoma"/>
                <w:color w:val="000000"/>
                <w:kern w:val="0"/>
                <w:sz w:val="22"/>
                <w:lang w:val="en-US" w:eastAsia="zh-CN"/>
              </w:rPr>
            </w:pPr>
            <w:r>
              <w:rPr>
                <w:rFonts w:hint="eastAsia" w:ascii="Tahoma" w:hAnsi="Tahoma" w:cs="Tahoma"/>
                <w:color w:val="000000"/>
                <w:kern w:val="0"/>
                <w:sz w:val="22"/>
                <w:lang w:val="en-US" w:eastAsia="zh-CN"/>
              </w:rPr>
              <w:t>2.818</w:t>
            </w:r>
          </w:p>
        </w:tc>
      </w:tr>
      <w:tr>
        <w:tblPrEx>
          <w:tblCellMar>
            <w:top w:w="0" w:type="dxa"/>
            <w:left w:w="108" w:type="dxa"/>
            <w:bottom w:w="0" w:type="dxa"/>
            <w:right w:w="108" w:type="dxa"/>
          </w:tblCellMar>
        </w:tblPrEx>
        <w:trPr>
          <w:trHeight w:val="776" w:hRule="atLeast"/>
          <w:jc w:val="center"/>
        </w:trPr>
        <w:tc>
          <w:tcPr>
            <w:tcW w:w="2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Tahoma"/>
                <w:b/>
                <w:color w:val="000000"/>
                <w:kern w:val="0"/>
                <w:sz w:val="28"/>
              </w:rPr>
            </w:pPr>
            <w:r>
              <w:rPr>
                <w:rFonts w:hint="eastAsia" w:ascii="宋体" w:hAnsi="宋体" w:cs="Tahoma"/>
                <w:b/>
                <w:color w:val="000000"/>
                <w:kern w:val="0"/>
                <w:sz w:val="28"/>
              </w:rPr>
              <w:t>第</w:t>
            </w:r>
            <w:r>
              <w:rPr>
                <w:rFonts w:ascii="宋体" w:hAnsi="宋体" w:cs="Tahoma"/>
                <w:b/>
                <w:color w:val="000000"/>
                <w:kern w:val="0"/>
                <w:sz w:val="28"/>
              </w:rPr>
              <w:t>2</w:t>
            </w:r>
            <w:r>
              <w:rPr>
                <w:rFonts w:hint="eastAsia" w:ascii="宋体" w:hAnsi="宋体" w:cs="Tahoma"/>
                <w:b/>
                <w:color w:val="000000"/>
                <w:kern w:val="0"/>
                <w:sz w:val="28"/>
              </w:rPr>
              <w:t>季度</w:t>
            </w:r>
          </w:p>
        </w:tc>
        <w:tc>
          <w:tcPr>
            <w:tcW w:w="2178" w:type="dxa"/>
            <w:tcBorders>
              <w:top w:val="nil"/>
              <w:left w:val="nil"/>
              <w:bottom w:val="single" w:color="auto" w:sz="4" w:space="0"/>
              <w:right w:val="single" w:color="auto" w:sz="4" w:space="0"/>
            </w:tcBorders>
            <w:noWrap w:val="0"/>
            <w:vAlign w:val="center"/>
          </w:tcPr>
          <w:p>
            <w:pPr>
              <w:widowControl/>
              <w:jc w:val="center"/>
              <w:rPr>
                <w:rFonts w:ascii="宋体" w:hAnsi="宋体" w:cs="Tahoma"/>
                <w:color w:val="000000"/>
                <w:kern w:val="0"/>
                <w:sz w:val="22"/>
              </w:rPr>
            </w:pPr>
            <w:r>
              <w:rPr>
                <w:rFonts w:hint="eastAsia" w:ascii="宋体" w:hAnsi="宋体" w:cs="Tahoma"/>
                <w:color w:val="000000"/>
                <w:kern w:val="0"/>
                <w:sz w:val="22"/>
              </w:rPr>
              <w:t>/</w:t>
            </w:r>
          </w:p>
        </w:tc>
        <w:tc>
          <w:tcPr>
            <w:tcW w:w="2113" w:type="dxa"/>
            <w:tcBorders>
              <w:top w:val="nil"/>
              <w:left w:val="nil"/>
              <w:bottom w:val="single" w:color="auto" w:sz="4" w:space="0"/>
              <w:right w:val="single" w:color="auto" w:sz="4" w:space="0"/>
            </w:tcBorders>
            <w:noWrap w:val="0"/>
            <w:vAlign w:val="center"/>
          </w:tcPr>
          <w:p>
            <w:pPr>
              <w:widowControl/>
              <w:jc w:val="center"/>
              <w:rPr>
                <w:rFonts w:hint="default" w:ascii="Tahoma" w:hAnsi="Tahoma" w:eastAsia="宋体" w:cs="Tahoma"/>
                <w:color w:val="auto"/>
                <w:kern w:val="0"/>
                <w:sz w:val="22"/>
                <w:lang w:val="en-US" w:eastAsia="zh-CN"/>
              </w:rPr>
            </w:pPr>
            <w:r>
              <w:rPr>
                <w:rFonts w:hint="eastAsia" w:ascii="Tahoma" w:hAnsi="Tahoma" w:cs="Tahoma"/>
                <w:color w:val="auto"/>
                <w:kern w:val="0"/>
                <w:sz w:val="22"/>
                <w:lang w:val="en-US" w:eastAsia="zh-CN"/>
              </w:rPr>
              <w:t>9.089</w:t>
            </w:r>
          </w:p>
        </w:tc>
        <w:tc>
          <w:tcPr>
            <w:tcW w:w="2923" w:type="dxa"/>
            <w:tcBorders>
              <w:top w:val="nil"/>
              <w:left w:val="nil"/>
              <w:bottom w:val="single" w:color="auto" w:sz="4" w:space="0"/>
              <w:right w:val="single" w:color="auto" w:sz="4" w:space="0"/>
            </w:tcBorders>
            <w:noWrap w:val="0"/>
            <w:vAlign w:val="center"/>
          </w:tcPr>
          <w:p>
            <w:pPr>
              <w:widowControl/>
              <w:jc w:val="center"/>
              <w:rPr>
                <w:rFonts w:hint="default" w:ascii="Tahoma" w:hAnsi="Tahoma" w:eastAsia="宋体" w:cs="Tahoma"/>
                <w:color w:val="auto"/>
                <w:kern w:val="0"/>
                <w:sz w:val="22"/>
                <w:lang w:val="en-US" w:eastAsia="zh-CN"/>
              </w:rPr>
            </w:pPr>
            <w:r>
              <w:rPr>
                <w:rFonts w:hint="eastAsia" w:ascii="Tahoma" w:hAnsi="Tahoma" w:cs="Tahoma"/>
                <w:color w:val="auto"/>
                <w:kern w:val="0"/>
                <w:sz w:val="22"/>
                <w:lang w:val="en-US" w:eastAsia="zh-CN"/>
              </w:rPr>
              <w:t>9.089</w:t>
            </w:r>
          </w:p>
        </w:tc>
      </w:tr>
      <w:tr>
        <w:tblPrEx>
          <w:tblCellMar>
            <w:top w:w="0" w:type="dxa"/>
            <w:left w:w="108" w:type="dxa"/>
            <w:bottom w:w="0" w:type="dxa"/>
            <w:right w:w="108" w:type="dxa"/>
          </w:tblCellMar>
        </w:tblPrEx>
        <w:trPr>
          <w:trHeight w:val="749" w:hRule="atLeast"/>
          <w:jc w:val="center"/>
        </w:trPr>
        <w:tc>
          <w:tcPr>
            <w:tcW w:w="2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Tahoma"/>
                <w:b/>
                <w:color w:val="000000"/>
                <w:kern w:val="0"/>
                <w:sz w:val="28"/>
              </w:rPr>
            </w:pPr>
            <w:r>
              <w:rPr>
                <w:rFonts w:hint="eastAsia" w:ascii="宋体" w:hAnsi="宋体" w:cs="Tahoma"/>
                <w:b/>
                <w:color w:val="000000"/>
                <w:kern w:val="0"/>
                <w:sz w:val="28"/>
              </w:rPr>
              <w:t>第</w:t>
            </w:r>
            <w:r>
              <w:rPr>
                <w:rFonts w:ascii="宋体" w:hAnsi="宋体" w:cs="Tahoma"/>
                <w:b/>
                <w:color w:val="000000"/>
                <w:kern w:val="0"/>
                <w:sz w:val="28"/>
              </w:rPr>
              <w:t>3</w:t>
            </w:r>
            <w:r>
              <w:rPr>
                <w:rFonts w:hint="eastAsia" w:ascii="宋体" w:hAnsi="宋体" w:cs="Tahoma"/>
                <w:b/>
                <w:color w:val="000000"/>
                <w:kern w:val="0"/>
                <w:sz w:val="28"/>
              </w:rPr>
              <w:t>季度</w:t>
            </w:r>
          </w:p>
        </w:tc>
        <w:tc>
          <w:tcPr>
            <w:tcW w:w="2178" w:type="dxa"/>
            <w:tcBorders>
              <w:top w:val="nil"/>
              <w:left w:val="nil"/>
              <w:bottom w:val="single" w:color="auto" w:sz="4" w:space="0"/>
              <w:right w:val="single" w:color="auto" w:sz="4" w:space="0"/>
            </w:tcBorders>
            <w:noWrap w:val="0"/>
            <w:vAlign w:val="center"/>
          </w:tcPr>
          <w:p>
            <w:pPr>
              <w:widowControl/>
              <w:jc w:val="center"/>
              <w:rPr>
                <w:rFonts w:ascii="宋体" w:hAnsi="宋体" w:cs="Tahoma"/>
                <w:color w:val="000000"/>
                <w:kern w:val="0"/>
                <w:sz w:val="22"/>
              </w:rPr>
            </w:pPr>
            <w:r>
              <w:rPr>
                <w:rFonts w:hint="eastAsia" w:ascii="宋体" w:hAnsi="宋体" w:cs="Tahoma"/>
                <w:color w:val="000000"/>
                <w:kern w:val="0"/>
                <w:sz w:val="22"/>
              </w:rPr>
              <w:t>/</w:t>
            </w:r>
          </w:p>
        </w:tc>
        <w:tc>
          <w:tcPr>
            <w:tcW w:w="2113"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rPr>
            </w:pPr>
            <w:r>
              <w:rPr>
                <w:rFonts w:ascii="Tahoma" w:hAnsi="Tahoma" w:cs="Tahoma"/>
                <w:color w:val="000000"/>
                <w:kern w:val="0"/>
                <w:sz w:val="22"/>
              </w:rPr>
              <w:t>17.</w:t>
            </w:r>
            <w:r>
              <w:rPr>
                <w:rFonts w:hint="eastAsia" w:ascii="Tahoma" w:hAnsi="Tahoma" w:cs="Tahoma"/>
                <w:color w:val="000000"/>
                <w:kern w:val="0"/>
                <w:sz w:val="22"/>
                <w:lang w:val="en-US" w:eastAsia="zh-CN"/>
              </w:rPr>
              <w:t>2</w:t>
            </w:r>
            <w:r>
              <w:rPr>
                <w:rFonts w:ascii="Tahoma" w:hAnsi="Tahoma" w:cs="Tahoma"/>
                <w:color w:val="000000"/>
                <w:kern w:val="0"/>
                <w:sz w:val="22"/>
              </w:rPr>
              <w:t>6</w:t>
            </w:r>
          </w:p>
        </w:tc>
        <w:tc>
          <w:tcPr>
            <w:tcW w:w="2923"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000000"/>
                <w:kern w:val="0"/>
                <w:sz w:val="22"/>
              </w:rPr>
            </w:pPr>
            <w:r>
              <w:rPr>
                <w:rFonts w:hint="eastAsia" w:ascii="Tahoma" w:hAnsi="Tahoma" w:cs="Tahoma"/>
                <w:color w:val="000000"/>
                <w:kern w:val="0"/>
                <w:sz w:val="22"/>
              </w:rPr>
              <w:t>17.</w:t>
            </w:r>
            <w:r>
              <w:rPr>
                <w:rFonts w:hint="eastAsia" w:ascii="Tahoma" w:hAnsi="Tahoma" w:cs="Tahoma"/>
                <w:color w:val="000000"/>
                <w:kern w:val="0"/>
                <w:sz w:val="22"/>
                <w:lang w:val="en-US" w:eastAsia="zh-CN"/>
              </w:rPr>
              <w:t>2</w:t>
            </w:r>
            <w:r>
              <w:rPr>
                <w:rFonts w:hint="eastAsia" w:ascii="Tahoma" w:hAnsi="Tahoma" w:cs="Tahoma"/>
                <w:color w:val="000000"/>
                <w:kern w:val="0"/>
                <w:sz w:val="22"/>
              </w:rPr>
              <w:t>6</w:t>
            </w:r>
          </w:p>
        </w:tc>
      </w:tr>
      <w:tr>
        <w:tblPrEx>
          <w:tblCellMar>
            <w:top w:w="0" w:type="dxa"/>
            <w:left w:w="108" w:type="dxa"/>
            <w:bottom w:w="0" w:type="dxa"/>
            <w:right w:w="108" w:type="dxa"/>
          </w:tblCellMar>
        </w:tblPrEx>
        <w:trPr>
          <w:trHeight w:val="763" w:hRule="atLeast"/>
          <w:jc w:val="center"/>
        </w:trPr>
        <w:tc>
          <w:tcPr>
            <w:tcW w:w="2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Tahoma"/>
                <w:b/>
                <w:color w:val="000000"/>
                <w:kern w:val="0"/>
                <w:sz w:val="28"/>
              </w:rPr>
            </w:pPr>
            <w:r>
              <w:rPr>
                <w:rFonts w:hint="eastAsia" w:ascii="宋体" w:hAnsi="宋体" w:cs="Tahoma"/>
                <w:b/>
                <w:color w:val="000000"/>
                <w:kern w:val="0"/>
                <w:sz w:val="28"/>
              </w:rPr>
              <w:t>第</w:t>
            </w:r>
            <w:r>
              <w:rPr>
                <w:rFonts w:ascii="宋体" w:hAnsi="宋体" w:cs="Tahoma"/>
                <w:b/>
                <w:color w:val="000000"/>
                <w:kern w:val="0"/>
                <w:sz w:val="28"/>
              </w:rPr>
              <w:t>4</w:t>
            </w:r>
            <w:r>
              <w:rPr>
                <w:rFonts w:hint="eastAsia" w:ascii="宋体" w:hAnsi="宋体" w:cs="Tahoma"/>
                <w:b/>
                <w:color w:val="000000"/>
                <w:kern w:val="0"/>
                <w:sz w:val="28"/>
              </w:rPr>
              <w:t>季度</w:t>
            </w:r>
          </w:p>
        </w:tc>
        <w:tc>
          <w:tcPr>
            <w:tcW w:w="2178" w:type="dxa"/>
            <w:tcBorders>
              <w:top w:val="nil"/>
              <w:left w:val="nil"/>
              <w:bottom w:val="single" w:color="auto" w:sz="4" w:space="0"/>
              <w:right w:val="single" w:color="auto" w:sz="4" w:space="0"/>
            </w:tcBorders>
            <w:noWrap w:val="0"/>
            <w:vAlign w:val="center"/>
          </w:tcPr>
          <w:p>
            <w:pPr>
              <w:widowControl/>
              <w:jc w:val="center"/>
              <w:rPr>
                <w:rFonts w:hint="default" w:ascii="Tahoma" w:hAnsi="Tahoma" w:eastAsia="宋体" w:cs="Tahoma"/>
                <w:color w:val="000000"/>
                <w:kern w:val="0"/>
                <w:sz w:val="22"/>
                <w:lang w:val="en-US" w:eastAsia="zh-CN"/>
              </w:rPr>
            </w:pPr>
            <w:r>
              <w:rPr>
                <w:rFonts w:ascii="Tahoma" w:hAnsi="Tahoma" w:cs="Tahoma"/>
                <w:color w:val="000000"/>
                <w:kern w:val="0"/>
                <w:sz w:val="22"/>
              </w:rPr>
              <w:t>0.</w:t>
            </w:r>
            <w:r>
              <w:rPr>
                <w:rFonts w:hint="eastAsia" w:ascii="Tahoma" w:hAnsi="Tahoma" w:cs="Tahoma"/>
                <w:color w:val="000000"/>
                <w:kern w:val="0"/>
                <w:sz w:val="22"/>
                <w:lang w:val="en-US" w:eastAsia="zh-CN"/>
              </w:rPr>
              <w:t>312</w:t>
            </w:r>
          </w:p>
        </w:tc>
        <w:tc>
          <w:tcPr>
            <w:tcW w:w="2113" w:type="dxa"/>
            <w:tcBorders>
              <w:top w:val="nil"/>
              <w:left w:val="nil"/>
              <w:bottom w:val="single" w:color="auto" w:sz="4" w:space="0"/>
              <w:right w:val="single" w:color="auto" w:sz="4" w:space="0"/>
            </w:tcBorders>
            <w:noWrap w:val="0"/>
            <w:vAlign w:val="center"/>
          </w:tcPr>
          <w:p>
            <w:pPr>
              <w:widowControl/>
              <w:jc w:val="center"/>
              <w:rPr>
                <w:rFonts w:hint="default" w:ascii="Tahoma" w:hAnsi="Tahoma" w:eastAsia="宋体" w:cs="Tahoma"/>
                <w:color w:val="000000"/>
                <w:kern w:val="0"/>
                <w:sz w:val="22"/>
                <w:lang w:val="en-US" w:eastAsia="zh-CN"/>
              </w:rPr>
            </w:pPr>
            <w:r>
              <w:rPr>
                <w:rFonts w:hint="eastAsia" w:ascii="Tahoma" w:hAnsi="Tahoma" w:cs="Tahoma"/>
                <w:color w:val="000000"/>
                <w:kern w:val="0"/>
                <w:sz w:val="22"/>
                <w:lang w:val="en-US" w:eastAsia="zh-CN"/>
              </w:rPr>
              <w:t>10.82</w:t>
            </w:r>
          </w:p>
        </w:tc>
        <w:tc>
          <w:tcPr>
            <w:tcW w:w="2923" w:type="dxa"/>
            <w:tcBorders>
              <w:top w:val="nil"/>
              <w:left w:val="nil"/>
              <w:bottom w:val="single" w:color="auto" w:sz="4" w:space="0"/>
              <w:right w:val="single" w:color="auto" w:sz="4" w:space="0"/>
            </w:tcBorders>
            <w:noWrap w:val="0"/>
            <w:vAlign w:val="center"/>
          </w:tcPr>
          <w:p>
            <w:pPr>
              <w:widowControl/>
              <w:jc w:val="center"/>
              <w:rPr>
                <w:rFonts w:hint="default" w:ascii="Tahoma" w:hAnsi="Tahoma" w:eastAsia="宋体" w:cs="Tahoma"/>
                <w:color w:val="000000"/>
                <w:kern w:val="0"/>
                <w:sz w:val="22"/>
                <w:lang w:val="en-US" w:eastAsia="zh-CN"/>
              </w:rPr>
            </w:pPr>
            <w:r>
              <w:rPr>
                <w:rFonts w:hint="eastAsia" w:ascii="Tahoma" w:hAnsi="Tahoma" w:cs="Tahoma"/>
                <w:color w:val="000000"/>
                <w:kern w:val="0"/>
                <w:sz w:val="22"/>
                <w:lang w:val="en-US" w:eastAsia="zh-CN"/>
              </w:rPr>
              <w:t>11.132</w:t>
            </w:r>
          </w:p>
        </w:tc>
      </w:tr>
      <w:tr>
        <w:tblPrEx>
          <w:tblCellMar>
            <w:top w:w="0" w:type="dxa"/>
            <w:left w:w="108" w:type="dxa"/>
            <w:bottom w:w="0" w:type="dxa"/>
            <w:right w:w="108" w:type="dxa"/>
          </w:tblCellMar>
        </w:tblPrEx>
        <w:trPr>
          <w:trHeight w:val="809" w:hRule="atLeast"/>
          <w:jc w:val="center"/>
        </w:trPr>
        <w:tc>
          <w:tcPr>
            <w:tcW w:w="27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Tahoma"/>
                <w:b/>
                <w:color w:val="000000"/>
                <w:kern w:val="0"/>
                <w:sz w:val="28"/>
              </w:rPr>
            </w:pPr>
            <w:r>
              <w:rPr>
                <w:rFonts w:ascii="宋体" w:hAnsi="宋体" w:cs="Tahoma"/>
                <w:b/>
                <w:color w:val="000000"/>
                <w:kern w:val="0"/>
                <w:sz w:val="28"/>
              </w:rPr>
              <w:t>合计</w:t>
            </w:r>
          </w:p>
        </w:tc>
        <w:tc>
          <w:tcPr>
            <w:tcW w:w="2178" w:type="dxa"/>
            <w:tcBorders>
              <w:top w:val="nil"/>
              <w:left w:val="nil"/>
              <w:bottom w:val="single" w:color="auto" w:sz="4" w:space="0"/>
              <w:right w:val="single" w:color="auto" w:sz="4" w:space="0"/>
            </w:tcBorders>
            <w:noWrap w:val="0"/>
            <w:vAlign w:val="center"/>
          </w:tcPr>
          <w:p>
            <w:pPr>
              <w:widowControl/>
              <w:jc w:val="center"/>
              <w:rPr>
                <w:rFonts w:hint="default" w:ascii="Tahoma" w:hAnsi="Tahoma" w:eastAsia="宋体" w:cs="Tahoma"/>
                <w:color w:val="000000"/>
                <w:kern w:val="0"/>
                <w:sz w:val="22"/>
                <w:lang w:val="en-US" w:eastAsia="zh-CN"/>
              </w:rPr>
            </w:pPr>
            <w:r>
              <w:rPr>
                <w:rFonts w:ascii="Tahoma" w:hAnsi="Tahoma" w:cs="Tahoma"/>
                <w:color w:val="000000"/>
                <w:kern w:val="0"/>
                <w:sz w:val="22"/>
              </w:rPr>
              <w:t>1.</w:t>
            </w:r>
            <w:r>
              <w:rPr>
                <w:rFonts w:hint="eastAsia" w:ascii="Tahoma" w:hAnsi="Tahoma" w:cs="Tahoma"/>
                <w:color w:val="000000"/>
                <w:kern w:val="0"/>
                <w:sz w:val="22"/>
                <w:lang w:val="en-US" w:eastAsia="zh-CN"/>
              </w:rPr>
              <w:t>45</w:t>
            </w:r>
          </w:p>
        </w:tc>
        <w:tc>
          <w:tcPr>
            <w:tcW w:w="2113" w:type="dxa"/>
            <w:tcBorders>
              <w:top w:val="nil"/>
              <w:left w:val="nil"/>
              <w:bottom w:val="single" w:color="auto" w:sz="4" w:space="0"/>
              <w:right w:val="single" w:color="auto" w:sz="4" w:space="0"/>
            </w:tcBorders>
            <w:noWrap w:val="0"/>
            <w:vAlign w:val="center"/>
          </w:tcPr>
          <w:p>
            <w:pPr>
              <w:widowControl/>
              <w:jc w:val="center"/>
              <w:rPr>
                <w:rFonts w:ascii="Tahoma" w:hAnsi="Tahoma" w:cs="Tahoma"/>
                <w:color w:val="auto"/>
                <w:kern w:val="0"/>
                <w:sz w:val="22"/>
              </w:rPr>
            </w:pPr>
            <w:r>
              <w:rPr>
                <w:rFonts w:ascii="Tahoma" w:hAnsi="Tahoma" w:cs="Tahoma"/>
                <w:color w:val="auto"/>
                <w:kern w:val="0"/>
                <w:sz w:val="22"/>
              </w:rPr>
              <w:t>3</w:t>
            </w:r>
            <w:r>
              <w:rPr>
                <w:rFonts w:hint="eastAsia" w:ascii="Tahoma" w:hAnsi="Tahoma" w:cs="Tahoma"/>
                <w:color w:val="auto"/>
                <w:kern w:val="0"/>
                <w:sz w:val="22"/>
                <w:lang w:val="en-US" w:eastAsia="zh-CN"/>
              </w:rPr>
              <w:t>8</w:t>
            </w:r>
            <w:r>
              <w:rPr>
                <w:rFonts w:ascii="Tahoma" w:hAnsi="Tahoma" w:cs="Tahoma"/>
                <w:color w:val="auto"/>
                <w:kern w:val="0"/>
                <w:sz w:val="22"/>
              </w:rPr>
              <w:t>.</w:t>
            </w:r>
            <w:r>
              <w:rPr>
                <w:rFonts w:hint="eastAsia" w:ascii="Tahoma" w:hAnsi="Tahoma" w:cs="Tahoma"/>
                <w:color w:val="auto"/>
                <w:kern w:val="0"/>
                <w:sz w:val="22"/>
                <w:lang w:val="en-US" w:eastAsia="zh-CN"/>
              </w:rPr>
              <w:t>84</w:t>
            </w:r>
            <w:r>
              <w:rPr>
                <w:rFonts w:ascii="Tahoma" w:hAnsi="Tahoma" w:cs="Tahoma"/>
                <w:color w:val="auto"/>
                <w:kern w:val="0"/>
                <w:sz w:val="22"/>
              </w:rPr>
              <w:t>9</w:t>
            </w:r>
          </w:p>
        </w:tc>
        <w:tc>
          <w:tcPr>
            <w:tcW w:w="2923" w:type="dxa"/>
            <w:tcBorders>
              <w:top w:val="nil"/>
              <w:left w:val="nil"/>
              <w:bottom w:val="single" w:color="auto" w:sz="4" w:space="0"/>
              <w:right w:val="single" w:color="auto" w:sz="4" w:space="0"/>
            </w:tcBorders>
            <w:noWrap w:val="0"/>
            <w:vAlign w:val="center"/>
          </w:tcPr>
          <w:p>
            <w:pPr>
              <w:widowControl/>
              <w:jc w:val="center"/>
              <w:rPr>
                <w:rFonts w:hint="default" w:ascii="Tahoma" w:hAnsi="Tahoma" w:eastAsia="宋体" w:cs="Tahoma"/>
                <w:color w:val="auto"/>
                <w:kern w:val="0"/>
                <w:sz w:val="22"/>
                <w:lang w:val="en-US" w:eastAsia="zh-CN"/>
              </w:rPr>
            </w:pPr>
            <w:r>
              <w:rPr>
                <w:rFonts w:hint="eastAsia" w:ascii="Tahoma" w:hAnsi="Tahoma" w:cs="Tahoma"/>
                <w:color w:val="auto"/>
                <w:kern w:val="0"/>
                <w:sz w:val="22"/>
                <w:lang w:val="en-US" w:eastAsia="zh-CN"/>
              </w:rPr>
              <w:t>40.299</w:t>
            </w:r>
          </w:p>
        </w:tc>
      </w:tr>
    </w:tbl>
    <w:p>
      <w:pPr>
        <w:spacing w:line="500" w:lineRule="exact"/>
        <w:jc w:val="center"/>
        <w:rPr>
          <w:rFonts w:ascii="方正小标宋简体" w:hAnsi="宋体" w:eastAsia="方正小标宋简体" w:cs="宋体"/>
          <w:color w:val="000000"/>
          <w:kern w:val="0"/>
          <w:sz w:val="44"/>
          <w:szCs w:val="44"/>
        </w:rPr>
      </w:pPr>
    </w:p>
    <w:p>
      <w:pPr>
        <w:spacing w:line="500" w:lineRule="exact"/>
        <w:jc w:val="center"/>
        <w:rPr>
          <w:rFonts w:hint="eastAsia" w:ascii="方正小标宋简体" w:hAnsi="宋体" w:eastAsia="方正小标宋简体" w:cs="宋体"/>
          <w:color w:val="000000"/>
          <w:kern w:val="0"/>
          <w:sz w:val="44"/>
          <w:szCs w:val="44"/>
        </w:rPr>
      </w:pPr>
    </w:p>
    <w:p>
      <w:pPr>
        <w:spacing w:line="5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违章压占燃气管道整改季度计划</w:t>
      </w:r>
    </w:p>
    <w:tbl>
      <w:tblPr>
        <w:tblStyle w:val="12"/>
        <w:tblpPr w:leftFromText="180" w:rightFromText="180" w:vertAnchor="text" w:horzAnchor="margin" w:tblpY="787"/>
        <w:tblW w:w="9641" w:type="dxa"/>
        <w:tblInd w:w="0" w:type="dxa"/>
        <w:tblLayout w:type="fixed"/>
        <w:tblCellMar>
          <w:top w:w="0" w:type="dxa"/>
          <w:left w:w="108" w:type="dxa"/>
          <w:bottom w:w="0" w:type="dxa"/>
          <w:right w:w="108" w:type="dxa"/>
        </w:tblCellMar>
      </w:tblPr>
      <w:tblGrid>
        <w:gridCol w:w="5343"/>
        <w:gridCol w:w="4298"/>
      </w:tblGrid>
      <w:tr>
        <w:tblPrEx>
          <w:tblCellMar>
            <w:top w:w="0" w:type="dxa"/>
            <w:left w:w="108" w:type="dxa"/>
            <w:bottom w:w="0" w:type="dxa"/>
            <w:right w:w="108" w:type="dxa"/>
          </w:tblCellMar>
        </w:tblPrEx>
        <w:trPr>
          <w:trHeight w:val="692" w:hRule="atLeast"/>
        </w:trPr>
        <w:tc>
          <w:tcPr>
            <w:tcW w:w="5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ahoma" w:hAnsi="Tahoma" w:cs="Tahoma"/>
                <w:b/>
                <w:color w:val="000000"/>
                <w:kern w:val="0"/>
                <w:sz w:val="28"/>
              </w:rPr>
            </w:pPr>
            <w:r>
              <w:rPr>
                <w:rFonts w:ascii="Tahoma" w:hAnsi="Tahoma" w:cs="Tahoma"/>
                <w:b/>
                <w:color w:val="000000"/>
                <w:kern w:val="0"/>
                <w:sz w:val="28"/>
              </w:rPr>
              <w:t>　</w:t>
            </w:r>
            <w:r>
              <w:rPr>
                <w:rFonts w:hint="eastAsia" w:ascii="Tahoma" w:hAnsi="Tahoma" w:cs="Tahoma"/>
                <w:b/>
                <w:color w:val="000000"/>
                <w:kern w:val="0"/>
                <w:sz w:val="28"/>
              </w:rPr>
              <w:t>时间</w:t>
            </w:r>
          </w:p>
        </w:tc>
        <w:tc>
          <w:tcPr>
            <w:tcW w:w="4298" w:type="dxa"/>
            <w:tcBorders>
              <w:top w:val="single" w:color="auto" w:sz="4" w:space="0"/>
              <w:left w:val="nil"/>
              <w:bottom w:val="single" w:color="auto" w:sz="4" w:space="0"/>
              <w:right w:val="single" w:color="auto" w:sz="4" w:space="0"/>
            </w:tcBorders>
            <w:noWrap w:val="0"/>
            <w:vAlign w:val="center"/>
          </w:tcPr>
          <w:p>
            <w:pPr>
              <w:widowControl/>
              <w:jc w:val="center"/>
              <w:rPr>
                <w:rFonts w:ascii="Tahoma" w:hAnsi="Tahoma" w:cs="Tahoma"/>
                <w:b/>
                <w:color w:val="000000"/>
                <w:kern w:val="0"/>
                <w:sz w:val="28"/>
              </w:rPr>
            </w:pPr>
            <w:r>
              <w:rPr>
                <w:rFonts w:ascii="Tahoma" w:hAnsi="Tahoma" w:cs="Tahoma"/>
                <w:b/>
                <w:color w:val="000000"/>
                <w:kern w:val="0"/>
                <w:sz w:val="28"/>
              </w:rPr>
              <w:t>青山湖区</w:t>
            </w:r>
          </w:p>
        </w:tc>
      </w:tr>
      <w:tr>
        <w:tblPrEx>
          <w:tblCellMar>
            <w:top w:w="0" w:type="dxa"/>
            <w:left w:w="108" w:type="dxa"/>
            <w:bottom w:w="0" w:type="dxa"/>
            <w:right w:w="108" w:type="dxa"/>
          </w:tblCellMar>
        </w:tblPrEx>
        <w:trPr>
          <w:trHeight w:val="637" w:hRule="atLeast"/>
        </w:trPr>
        <w:tc>
          <w:tcPr>
            <w:tcW w:w="534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Tahoma"/>
                <w:b/>
                <w:color w:val="000000"/>
                <w:kern w:val="0"/>
                <w:sz w:val="28"/>
              </w:rPr>
            </w:pPr>
            <w:r>
              <w:rPr>
                <w:rFonts w:hint="eastAsia" w:ascii="宋体" w:hAnsi="宋体" w:cs="Tahoma"/>
                <w:b/>
                <w:color w:val="000000"/>
                <w:kern w:val="0"/>
                <w:sz w:val="28"/>
              </w:rPr>
              <w:t>第</w:t>
            </w:r>
            <w:r>
              <w:rPr>
                <w:rFonts w:ascii="宋体" w:hAnsi="宋体" w:cs="Tahoma"/>
                <w:b/>
                <w:color w:val="000000"/>
                <w:kern w:val="0"/>
                <w:sz w:val="28"/>
              </w:rPr>
              <w:t>2</w:t>
            </w:r>
            <w:r>
              <w:rPr>
                <w:rFonts w:hint="eastAsia" w:ascii="宋体" w:hAnsi="宋体" w:cs="Tahoma"/>
                <w:b/>
                <w:color w:val="000000"/>
                <w:kern w:val="0"/>
                <w:sz w:val="28"/>
              </w:rPr>
              <w:t>季度</w:t>
            </w:r>
          </w:p>
        </w:tc>
        <w:tc>
          <w:tcPr>
            <w:tcW w:w="4298" w:type="dxa"/>
            <w:tcBorders>
              <w:top w:val="nil"/>
              <w:left w:val="nil"/>
              <w:bottom w:val="single" w:color="auto" w:sz="4" w:space="0"/>
              <w:right w:val="single" w:color="auto" w:sz="4" w:space="0"/>
            </w:tcBorders>
            <w:noWrap w:val="0"/>
            <w:vAlign w:val="center"/>
          </w:tcPr>
          <w:p>
            <w:pPr>
              <w:widowControl/>
              <w:jc w:val="center"/>
              <w:rPr>
                <w:rFonts w:hint="default" w:ascii="Tahoma" w:hAnsi="Tahoma" w:cs="Tahoma"/>
                <w:color w:val="000000"/>
                <w:kern w:val="0"/>
                <w:sz w:val="22"/>
                <w:lang w:val="en-US" w:eastAsia="zh-CN"/>
              </w:rPr>
            </w:pPr>
            <w:r>
              <w:rPr>
                <w:rFonts w:hint="eastAsia" w:ascii="Tahoma" w:hAnsi="Tahoma" w:cs="Tahoma"/>
                <w:color w:val="000000"/>
                <w:kern w:val="0"/>
                <w:sz w:val="22"/>
                <w:lang w:val="en-US" w:eastAsia="zh-CN"/>
              </w:rPr>
              <w:t>16</w:t>
            </w:r>
          </w:p>
        </w:tc>
      </w:tr>
      <w:tr>
        <w:tblPrEx>
          <w:tblCellMar>
            <w:top w:w="0" w:type="dxa"/>
            <w:left w:w="108" w:type="dxa"/>
            <w:bottom w:w="0" w:type="dxa"/>
            <w:right w:w="108" w:type="dxa"/>
          </w:tblCellMar>
        </w:tblPrEx>
        <w:trPr>
          <w:trHeight w:val="614" w:hRule="atLeast"/>
        </w:trPr>
        <w:tc>
          <w:tcPr>
            <w:tcW w:w="534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Tahoma"/>
                <w:b/>
                <w:color w:val="000000"/>
                <w:kern w:val="0"/>
                <w:sz w:val="28"/>
              </w:rPr>
            </w:pPr>
            <w:r>
              <w:rPr>
                <w:rFonts w:hint="eastAsia" w:ascii="宋体" w:hAnsi="宋体" w:cs="Tahoma"/>
                <w:b/>
                <w:color w:val="000000"/>
                <w:kern w:val="0"/>
                <w:sz w:val="28"/>
              </w:rPr>
              <w:t>第</w:t>
            </w:r>
            <w:r>
              <w:rPr>
                <w:rFonts w:ascii="宋体" w:hAnsi="宋体" w:cs="Tahoma"/>
                <w:b/>
                <w:color w:val="000000"/>
                <w:kern w:val="0"/>
                <w:sz w:val="28"/>
              </w:rPr>
              <w:t>3</w:t>
            </w:r>
            <w:r>
              <w:rPr>
                <w:rFonts w:hint="eastAsia" w:ascii="宋体" w:hAnsi="宋体" w:cs="Tahoma"/>
                <w:b/>
                <w:color w:val="000000"/>
                <w:kern w:val="0"/>
                <w:sz w:val="28"/>
              </w:rPr>
              <w:t>季度</w:t>
            </w:r>
          </w:p>
        </w:tc>
        <w:tc>
          <w:tcPr>
            <w:tcW w:w="4298" w:type="dxa"/>
            <w:tcBorders>
              <w:top w:val="nil"/>
              <w:left w:val="nil"/>
              <w:bottom w:val="single" w:color="auto" w:sz="4" w:space="0"/>
              <w:right w:val="single" w:color="auto" w:sz="4" w:space="0"/>
            </w:tcBorders>
            <w:noWrap w:val="0"/>
            <w:vAlign w:val="center"/>
          </w:tcPr>
          <w:p>
            <w:pPr>
              <w:widowControl/>
              <w:jc w:val="center"/>
              <w:rPr>
                <w:rFonts w:hint="default" w:ascii="Tahoma" w:hAnsi="Tahoma" w:cs="Tahoma"/>
                <w:color w:val="000000"/>
                <w:kern w:val="0"/>
                <w:sz w:val="22"/>
                <w:lang w:val="en-US" w:eastAsia="zh-CN"/>
              </w:rPr>
            </w:pPr>
            <w:r>
              <w:rPr>
                <w:rFonts w:hint="eastAsia" w:ascii="Tahoma" w:hAnsi="Tahoma" w:cs="Tahoma"/>
                <w:color w:val="000000"/>
                <w:kern w:val="0"/>
                <w:sz w:val="22"/>
                <w:lang w:val="en-US" w:eastAsia="zh-CN"/>
              </w:rPr>
              <w:t>12</w:t>
            </w:r>
          </w:p>
        </w:tc>
      </w:tr>
      <w:tr>
        <w:tblPrEx>
          <w:tblCellMar>
            <w:top w:w="0" w:type="dxa"/>
            <w:left w:w="108" w:type="dxa"/>
            <w:bottom w:w="0" w:type="dxa"/>
            <w:right w:w="108" w:type="dxa"/>
          </w:tblCellMar>
        </w:tblPrEx>
        <w:trPr>
          <w:trHeight w:val="625" w:hRule="atLeast"/>
        </w:trPr>
        <w:tc>
          <w:tcPr>
            <w:tcW w:w="534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Tahoma"/>
                <w:b/>
                <w:color w:val="000000"/>
                <w:kern w:val="0"/>
                <w:sz w:val="28"/>
              </w:rPr>
            </w:pPr>
            <w:r>
              <w:rPr>
                <w:rFonts w:hint="eastAsia" w:ascii="宋体" w:hAnsi="宋体" w:cs="Tahoma"/>
                <w:b/>
                <w:color w:val="000000"/>
                <w:kern w:val="0"/>
                <w:sz w:val="28"/>
              </w:rPr>
              <w:t>第</w:t>
            </w:r>
            <w:r>
              <w:rPr>
                <w:rFonts w:ascii="宋体" w:hAnsi="宋体" w:cs="Tahoma"/>
                <w:b/>
                <w:color w:val="000000"/>
                <w:kern w:val="0"/>
                <w:sz w:val="28"/>
              </w:rPr>
              <w:t>4</w:t>
            </w:r>
            <w:r>
              <w:rPr>
                <w:rFonts w:hint="eastAsia" w:ascii="宋体" w:hAnsi="宋体" w:cs="Tahoma"/>
                <w:b/>
                <w:color w:val="000000"/>
                <w:kern w:val="0"/>
                <w:sz w:val="28"/>
              </w:rPr>
              <w:t>季度</w:t>
            </w:r>
          </w:p>
        </w:tc>
        <w:tc>
          <w:tcPr>
            <w:tcW w:w="4298" w:type="dxa"/>
            <w:tcBorders>
              <w:top w:val="nil"/>
              <w:left w:val="nil"/>
              <w:bottom w:val="single" w:color="auto" w:sz="4" w:space="0"/>
              <w:right w:val="single" w:color="auto" w:sz="4" w:space="0"/>
            </w:tcBorders>
            <w:noWrap w:val="0"/>
            <w:vAlign w:val="center"/>
          </w:tcPr>
          <w:p>
            <w:pPr>
              <w:widowControl/>
              <w:jc w:val="center"/>
              <w:rPr>
                <w:rFonts w:hint="default" w:ascii="Tahoma" w:hAnsi="Tahoma" w:cs="Tahoma"/>
                <w:color w:val="000000"/>
                <w:kern w:val="0"/>
                <w:sz w:val="22"/>
                <w:lang w:val="en-US" w:eastAsia="zh-CN"/>
              </w:rPr>
            </w:pPr>
            <w:r>
              <w:rPr>
                <w:rFonts w:hint="eastAsia" w:ascii="Tahoma" w:hAnsi="Tahoma" w:cs="Tahoma"/>
                <w:color w:val="000000"/>
                <w:kern w:val="0"/>
                <w:sz w:val="22"/>
                <w:lang w:val="en-US" w:eastAsia="zh-CN"/>
              </w:rPr>
              <w:t>10</w:t>
            </w:r>
          </w:p>
        </w:tc>
      </w:tr>
      <w:tr>
        <w:tblPrEx>
          <w:tblCellMar>
            <w:top w:w="0" w:type="dxa"/>
            <w:left w:w="108" w:type="dxa"/>
            <w:bottom w:w="0" w:type="dxa"/>
            <w:right w:w="108" w:type="dxa"/>
          </w:tblCellMar>
        </w:tblPrEx>
        <w:trPr>
          <w:trHeight w:val="663" w:hRule="atLeast"/>
        </w:trPr>
        <w:tc>
          <w:tcPr>
            <w:tcW w:w="534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Tahoma"/>
                <w:b/>
                <w:color w:val="000000"/>
                <w:kern w:val="0"/>
                <w:sz w:val="28"/>
              </w:rPr>
            </w:pPr>
            <w:r>
              <w:rPr>
                <w:rFonts w:ascii="宋体" w:hAnsi="宋体" w:cs="Tahoma"/>
                <w:b/>
                <w:color w:val="000000"/>
                <w:kern w:val="0"/>
                <w:sz w:val="28"/>
              </w:rPr>
              <w:t>合计</w:t>
            </w:r>
          </w:p>
        </w:tc>
        <w:tc>
          <w:tcPr>
            <w:tcW w:w="4298" w:type="dxa"/>
            <w:tcBorders>
              <w:top w:val="nil"/>
              <w:left w:val="nil"/>
              <w:bottom w:val="single" w:color="auto" w:sz="4" w:space="0"/>
              <w:right w:val="single" w:color="auto" w:sz="4" w:space="0"/>
            </w:tcBorders>
            <w:noWrap w:val="0"/>
            <w:vAlign w:val="center"/>
          </w:tcPr>
          <w:p>
            <w:pPr>
              <w:widowControl/>
              <w:jc w:val="center"/>
              <w:rPr>
                <w:rFonts w:hint="default" w:ascii="Tahoma" w:hAnsi="Tahoma" w:cs="Tahoma"/>
                <w:color w:val="000000"/>
                <w:kern w:val="0"/>
                <w:sz w:val="22"/>
                <w:lang w:val="en-US" w:eastAsia="zh-CN"/>
              </w:rPr>
            </w:pPr>
            <w:r>
              <w:rPr>
                <w:rFonts w:hint="eastAsia" w:ascii="Tahoma" w:hAnsi="Tahoma" w:cs="Tahoma"/>
                <w:color w:val="000000"/>
                <w:kern w:val="0"/>
                <w:sz w:val="22"/>
                <w:lang w:val="en-US" w:eastAsia="zh-CN"/>
              </w:rPr>
              <w:t>38</w:t>
            </w:r>
          </w:p>
        </w:tc>
      </w:tr>
    </w:tbl>
    <w:p>
      <w:pPr>
        <w:spacing w:line="5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 xml:space="preserve">                                  </w:t>
      </w:r>
      <w:r>
        <w:rPr>
          <w:rFonts w:hint="eastAsia" w:ascii="方正小标宋简体" w:hAnsi="宋体" w:eastAsia="方正小标宋简体" w:cs="宋体"/>
          <w:color w:val="000000"/>
          <w:kern w:val="0"/>
          <w:sz w:val="32"/>
          <w:szCs w:val="32"/>
        </w:rPr>
        <w:t>单位：处</w:t>
      </w:r>
    </w:p>
    <w:p>
      <w:pPr>
        <w:pStyle w:val="2"/>
        <w:sectPr>
          <w:footerReference r:id="rId4" w:type="default"/>
          <w:pgSz w:w="11906" w:h="16838"/>
          <w:pgMar w:top="1701" w:right="1474" w:bottom="1417" w:left="1474" w:header="851" w:footer="992" w:gutter="0"/>
          <w:pgNumType w:fmt="decimal"/>
          <w:cols w:space="720" w:num="1"/>
          <w:docGrid w:type="lines" w:linePitch="312" w:charSpace="0"/>
        </w:sectPr>
      </w:pPr>
    </w:p>
    <w:p>
      <w:pPr>
        <w:widowControl/>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附1.2</w:t>
      </w:r>
    </w:p>
    <w:p>
      <w:pPr>
        <w:widowControl/>
        <w:jc w:val="center"/>
        <w:textAlignment w:val="center"/>
        <w:rPr>
          <w:rFonts w:hint="eastAsia" w:ascii="仿宋" w:hAnsi="仿宋" w:eastAsia="仿宋" w:cs="仿宋"/>
          <w:color w:val="000000"/>
          <w:kern w:val="0"/>
          <w:sz w:val="32"/>
          <w:szCs w:val="32"/>
        </w:rPr>
      </w:pPr>
      <w:r>
        <w:rPr>
          <w:rFonts w:hint="eastAsia" w:ascii="方正小标宋简体" w:hAnsi="方正小标宋简体" w:eastAsia="方正小标宋简体" w:cs="方正小标宋简体"/>
          <w:color w:val="000000"/>
          <w:kern w:val="0"/>
          <w:sz w:val="40"/>
          <w:szCs w:val="40"/>
        </w:rPr>
        <w:t>老旧燃气管道改造实行备案告知制项目明细表</w:t>
      </w:r>
    </w:p>
    <w:tbl>
      <w:tblPr>
        <w:tblStyle w:val="12"/>
        <w:tblW w:w="14578" w:type="dxa"/>
        <w:jc w:val="center"/>
        <w:tblLayout w:type="fixed"/>
        <w:tblCellMar>
          <w:top w:w="0" w:type="dxa"/>
          <w:left w:w="108" w:type="dxa"/>
          <w:bottom w:w="0" w:type="dxa"/>
          <w:right w:w="108" w:type="dxa"/>
        </w:tblCellMar>
      </w:tblPr>
      <w:tblGrid>
        <w:gridCol w:w="504"/>
        <w:gridCol w:w="1214"/>
        <w:gridCol w:w="2610"/>
        <w:gridCol w:w="945"/>
        <w:gridCol w:w="795"/>
        <w:gridCol w:w="1140"/>
        <w:gridCol w:w="1065"/>
        <w:gridCol w:w="930"/>
        <w:gridCol w:w="855"/>
        <w:gridCol w:w="765"/>
        <w:gridCol w:w="915"/>
        <w:gridCol w:w="870"/>
        <w:gridCol w:w="985"/>
        <w:gridCol w:w="985"/>
      </w:tblGrid>
      <w:tr>
        <w:tblPrEx>
          <w:tblCellMar>
            <w:top w:w="0" w:type="dxa"/>
            <w:left w:w="108" w:type="dxa"/>
            <w:bottom w:w="0" w:type="dxa"/>
            <w:right w:w="108" w:type="dxa"/>
          </w:tblCellMar>
        </w:tblPrEx>
        <w:trPr>
          <w:trHeight w:val="1782" w:hRule="atLeast"/>
          <w:jc w:val="center"/>
        </w:trPr>
        <w:tc>
          <w:tcPr>
            <w:tcW w:w="5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序号</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行政区域</w:t>
            </w:r>
          </w:p>
        </w:tc>
        <w:tc>
          <w:tcPr>
            <w:tcW w:w="2610" w:type="dxa"/>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工程项目</w:t>
            </w:r>
          </w:p>
        </w:tc>
        <w:tc>
          <w:tcPr>
            <w:tcW w:w="945" w:type="dxa"/>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管综办结时间</w:t>
            </w:r>
          </w:p>
        </w:tc>
        <w:tc>
          <w:tcPr>
            <w:tcW w:w="795" w:type="dxa"/>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规划办结时间</w:t>
            </w:r>
          </w:p>
        </w:tc>
        <w:tc>
          <w:tcPr>
            <w:tcW w:w="1140" w:type="dxa"/>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交警审批完成时间</w:t>
            </w:r>
          </w:p>
        </w:tc>
        <w:tc>
          <w:tcPr>
            <w:tcW w:w="1065" w:type="dxa"/>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开挖手续办结时间</w:t>
            </w:r>
          </w:p>
        </w:tc>
        <w:tc>
          <w:tcPr>
            <w:tcW w:w="930" w:type="dxa"/>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开工时间</w:t>
            </w:r>
          </w:p>
        </w:tc>
        <w:tc>
          <w:tcPr>
            <w:tcW w:w="855" w:type="dxa"/>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完工时间</w:t>
            </w:r>
          </w:p>
        </w:tc>
        <w:tc>
          <w:tcPr>
            <w:tcW w:w="765" w:type="dxa"/>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规格</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工程量（公里）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b/>
                <w:bCs/>
                <w:color w:val="000000"/>
                <w:sz w:val="24"/>
              </w:rPr>
            </w:pPr>
            <w:r>
              <w:rPr>
                <w:rFonts w:hint="eastAsia" w:ascii="微软雅黑" w:hAnsi="微软雅黑" w:eastAsia="微软雅黑" w:cs="微软雅黑"/>
                <w:b/>
                <w:bCs/>
                <w:color w:val="000000"/>
                <w:kern w:val="0"/>
                <w:sz w:val="24"/>
              </w:rPr>
              <w:t>投资额（万元）</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微软雅黑" w:hAnsi="微软雅黑" w:eastAsia="微软雅黑" w:cs="微软雅黑"/>
                <w:b/>
                <w:bCs/>
                <w:color w:val="000000"/>
                <w:kern w:val="0"/>
                <w:sz w:val="24"/>
                <w:lang w:val="en-US" w:eastAsia="zh-CN"/>
              </w:rPr>
            </w:pPr>
            <w:r>
              <w:rPr>
                <w:rFonts w:hint="eastAsia" w:ascii="微软雅黑" w:hAnsi="微软雅黑" w:eastAsia="微软雅黑" w:cs="微软雅黑"/>
                <w:b/>
                <w:bCs/>
                <w:color w:val="000000"/>
                <w:kern w:val="0"/>
                <w:sz w:val="24"/>
                <w:lang w:val="en-US" w:eastAsia="zh-CN"/>
              </w:rPr>
              <w:t>责任区域划分</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微软雅黑" w:hAnsi="微软雅黑" w:eastAsia="微软雅黑" w:cs="微软雅黑"/>
                <w:b/>
                <w:bCs/>
                <w:color w:val="000000"/>
                <w:kern w:val="0"/>
                <w:sz w:val="24"/>
                <w:lang w:val="en-US" w:eastAsia="zh-CN"/>
              </w:rPr>
            </w:pPr>
            <w:r>
              <w:rPr>
                <w:rFonts w:hint="eastAsia" w:ascii="微软雅黑" w:hAnsi="微软雅黑" w:eastAsia="微软雅黑" w:cs="微软雅黑"/>
                <w:b/>
                <w:bCs/>
                <w:color w:val="000000"/>
                <w:kern w:val="0"/>
                <w:sz w:val="24"/>
                <w:lang w:val="en-US" w:eastAsia="zh-CN"/>
              </w:rPr>
              <w:t>责任人</w:t>
            </w:r>
          </w:p>
        </w:tc>
      </w:tr>
      <w:tr>
        <w:tblPrEx>
          <w:tblCellMar>
            <w:top w:w="0" w:type="dxa"/>
            <w:left w:w="108" w:type="dxa"/>
            <w:bottom w:w="0" w:type="dxa"/>
            <w:right w:w="108" w:type="dxa"/>
          </w:tblCellMar>
        </w:tblPrEx>
        <w:trPr>
          <w:trHeight w:val="866" w:hRule="atLeast"/>
          <w:jc w:val="center"/>
        </w:trPr>
        <w:tc>
          <w:tcPr>
            <w:tcW w:w="5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青山湖区</w:t>
            </w:r>
          </w:p>
        </w:tc>
        <w:tc>
          <w:tcPr>
            <w:tcW w:w="261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顺外路（洪都中大道——顺外路洪都新村门口）</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2021.12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2021.12 </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2021.12 </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2022.10 </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DN300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0.27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43.20 </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区管</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val="en-US" w:eastAsia="zh-CN"/>
              </w:rPr>
            </w:pPr>
          </w:p>
        </w:tc>
      </w:tr>
      <w:tr>
        <w:tblPrEx>
          <w:tblCellMar>
            <w:top w:w="0" w:type="dxa"/>
            <w:left w:w="108" w:type="dxa"/>
            <w:bottom w:w="0" w:type="dxa"/>
            <w:right w:w="108" w:type="dxa"/>
          </w:tblCellMar>
        </w:tblPrEx>
        <w:trPr>
          <w:trHeight w:val="721" w:hRule="atLeast"/>
          <w:jc w:val="center"/>
        </w:trPr>
        <w:tc>
          <w:tcPr>
            <w:tcW w:w="5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2</w:t>
            </w:r>
          </w:p>
        </w:tc>
        <w:tc>
          <w:tcPr>
            <w:tcW w:w="12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4"/>
              </w:rPr>
            </w:pPr>
          </w:p>
        </w:tc>
        <w:tc>
          <w:tcPr>
            <w:tcW w:w="261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顺外路（上海路—三波电机厂）</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2021.12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2021.12 </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2021.12 </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2022.10 </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DN200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0.30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37.50 </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区管</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val="en-US" w:eastAsia="zh-CN"/>
              </w:rPr>
            </w:pPr>
          </w:p>
        </w:tc>
      </w:tr>
      <w:tr>
        <w:tblPrEx>
          <w:tblCellMar>
            <w:top w:w="0" w:type="dxa"/>
            <w:left w:w="108" w:type="dxa"/>
            <w:bottom w:w="0" w:type="dxa"/>
            <w:right w:w="108" w:type="dxa"/>
          </w:tblCellMar>
        </w:tblPrEx>
        <w:trPr>
          <w:trHeight w:val="674" w:hRule="atLeast"/>
          <w:jc w:val="center"/>
        </w:trPr>
        <w:tc>
          <w:tcPr>
            <w:tcW w:w="5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12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4"/>
              </w:rPr>
            </w:pPr>
          </w:p>
        </w:tc>
        <w:tc>
          <w:tcPr>
            <w:tcW w:w="261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顺外路开T枪械所</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2021.12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2021.12 </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2021.12 </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2022.10 </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DN150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0.05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5.25 </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区管</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val="en-US" w:eastAsia="zh-CN"/>
              </w:rPr>
            </w:pPr>
          </w:p>
        </w:tc>
      </w:tr>
      <w:tr>
        <w:tblPrEx>
          <w:tblCellMar>
            <w:top w:w="0" w:type="dxa"/>
            <w:left w:w="108" w:type="dxa"/>
            <w:bottom w:w="0" w:type="dxa"/>
            <w:right w:w="108" w:type="dxa"/>
          </w:tblCellMar>
        </w:tblPrEx>
        <w:trPr>
          <w:trHeight w:val="819" w:hRule="atLeast"/>
          <w:jc w:val="center"/>
        </w:trPr>
        <w:tc>
          <w:tcPr>
            <w:tcW w:w="5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12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4"/>
              </w:rPr>
            </w:pPr>
          </w:p>
        </w:tc>
        <w:tc>
          <w:tcPr>
            <w:tcW w:w="261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上海路横穿至京海横街</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2022.06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2022.06 </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2022.06 </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2022.06 </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DN100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0.03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2.16 </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湖坊镇</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val="en-US" w:eastAsia="zh-CN"/>
              </w:rPr>
            </w:pPr>
          </w:p>
        </w:tc>
      </w:tr>
      <w:tr>
        <w:tblPrEx>
          <w:tblCellMar>
            <w:top w:w="0" w:type="dxa"/>
            <w:left w:w="108" w:type="dxa"/>
            <w:bottom w:w="0" w:type="dxa"/>
            <w:right w:w="108" w:type="dxa"/>
          </w:tblCellMar>
        </w:tblPrEx>
        <w:trPr>
          <w:trHeight w:val="714" w:hRule="atLeast"/>
          <w:jc w:val="center"/>
        </w:trPr>
        <w:tc>
          <w:tcPr>
            <w:tcW w:w="5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12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4"/>
              </w:rPr>
            </w:pPr>
          </w:p>
        </w:tc>
        <w:tc>
          <w:tcPr>
            <w:tcW w:w="261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新魏路（出版社-洛阳路）</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2022.09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2022.09 </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2022.09 </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2022.10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DN200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0.80 </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100.00 </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区管</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val="en-US" w:eastAsia="zh-CN"/>
              </w:rPr>
            </w:pPr>
          </w:p>
        </w:tc>
      </w:tr>
      <w:tr>
        <w:tblPrEx>
          <w:tblCellMar>
            <w:top w:w="0" w:type="dxa"/>
            <w:left w:w="108" w:type="dxa"/>
            <w:bottom w:w="0" w:type="dxa"/>
            <w:right w:w="108" w:type="dxa"/>
          </w:tblCellMar>
        </w:tblPrEx>
        <w:trPr>
          <w:trHeight w:val="678" w:hRule="atLeast"/>
          <w:jc w:val="center"/>
        </w:trPr>
        <w:tc>
          <w:tcPr>
            <w:tcW w:w="50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12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4"/>
              </w:rPr>
            </w:pPr>
          </w:p>
        </w:tc>
        <w:tc>
          <w:tcPr>
            <w:tcW w:w="2610" w:type="dxa"/>
            <w:tcBorders>
              <w:top w:val="single" w:color="000000" w:sz="4" w:space="0"/>
              <w:left w:val="nil"/>
              <w:bottom w:val="single" w:color="000000" w:sz="4" w:space="0"/>
              <w:right w:val="single" w:color="000000" w:sz="4" w:space="0"/>
            </w:tcBorders>
            <w:noWrap/>
            <w:vAlign w:val="center"/>
          </w:tcPr>
          <w:p>
            <w:pPr>
              <w:rPr>
                <w:rFonts w:ascii="宋体" w:hAnsi="宋体" w:cs="宋体"/>
                <w:color w:val="000000"/>
                <w:sz w:val="24"/>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25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青山湖区市政管网小计</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1.</w:t>
            </w:r>
            <w:r>
              <w:rPr>
                <w:rFonts w:hint="eastAsia" w:ascii="宋体" w:hAnsi="宋体" w:cs="宋体"/>
                <w:b/>
                <w:bCs/>
                <w:color w:val="000000"/>
                <w:kern w:val="0"/>
                <w:sz w:val="24"/>
                <w:lang w:val="en-US" w:eastAsia="zh-CN"/>
              </w:rPr>
              <w:t>45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r>
    </w:tbl>
    <w:p>
      <w:pPr>
        <w:pStyle w:val="16"/>
        <w:spacing w:line="500" w:lineRule="exact"/>
        <w:rPr>
          <w:rFonts w:ascii="方正小标宋简体" w:hAnsi="宋体" w:eastAsia="方正小标宋简体"/>
          <w:color w:val="auto"/>
          <w:sz w:val="44"/>
          <w:szCs w:val="44"/>
        </w:rPr>
        <w:sectPr>
          <w:pgSz w:w="16838" w:h="11906" w:orient="landscape"/>
          <w:pgMar w:top="1417" w:right="1417" w:bottom="1417" w:left="1417" w:header="851" w:footer="992" w:gutter="0"/>
          <w:pgNumType w:fmt="decimal"/>
          <w:cols w:space="720" w:num="1"/>
          <w:docGrid w:type="lines" w:linePitch="312" w:charSpace="0"/>
        </w:sectPr>
      </w:pPr>
    </w:p>
    <w:tbl>
      <w:tblPr>
        <w:tblStyle w:val="12"/>
        <w:tblW w:w="0" w:type="auto"/>
        <w:tblInd w:w="93" w:type="dxa"/>
        <w:tblLayout w:type="autofit"/>
        <w:tblCellMar>
          <w:top w:w="0" w:type="dxa"/>
          <w:left w:w="108" w:type="dxa"/>
          <w:bottom w:w="0" w:type="dxa"/>
          <w:right w:w="108" w:type="dxa"/>
        </w:tblCellMar>
      </w:tblPr>
      <w:tblGrid>
        <w:gridCol w:w="613"/>
        <w:gridCol w:w="1180"/>
        <w:gridCol w:w="5290"/>
        <w:gridCol w:w="1316"/>
        <w:gridCol w:w="1316"/>
        <w:gridCol w:w="762"/>
        <w:gridCol w:w="1602"/>
        <w:gridCol w:w="1586"/>
        <w:gridCol w:w="1096"/>
      </w:tblGrid>
      <w:tr>
        <w:tblPrEx>
          <w:tblCellMar>
            <w:top w:w="0" w:type="dxa"/>
            <w:left w:w="108" w:type="dxa"/>
            <w:bottom w:w="0" w:type="dxa"/>
            <w:right w:w="108" w:type="dxa"/>
          </w:tblCellMar>
        </w:tblPrEx>
        <w:trPr>
          <w:trHeight w:val="570" w:hRule="atLeast"/>
        </w:trPr>
        <w:tc>
          <w:tcPr>
            <w:tcW w:w="0" w:type="auto"/>
            <w:gridSpan w:val="2"/>
            <w:tcBorders>
              <w:top w:val="nil"/>
              <w:left w:val="nil"/>
              <w:bottom w:val="nil"/>
              <w:right w:val="nil"/>
            </w:tcBorders>
            <w:noWrap/>
            <w:vAlign w:val="center"/>
          </w:tcPr>
          <w:p>
            <w:pPr>
              <w:widowControl/>
              <w:jc w:val="left"/>
              <w:textAlignment w:val="center"/>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附件1.3</w:t>
            </w:r>
          </w:p>
        </w:tc>
        <w:tc>
          <w:tcPr>
            <w:tcW w:w="0" w:type="auto"/>
            <w:tcBorders>
              <w:top w:val="nil"/>
              <w:left w:val="nil"/>
              <w:bottom w:val="nil"/>
              <w:right w:val="nil"/>
            </w:tcBorders>
            <w:noWrap/>
            <w:vAlign w:val="center"/>
          </w:tcPr>
          <w:p>
            <w:pPr>
              <w:jc w:val="center"/>
              <w:rPr>
                <w:rFonts w:ascii="Tahoma" w:hAnsi="Tahoma" w:eastAsia="Tahoma" w:cs="Tahoma"/>
                <w:color w:val="000000"/>
                <w:sz w:val="24"/>
              </w:rPr>
            </w:pPr>
          </w:p>
        </w:tc>
        <w:tc>
          <w:tcPr>
            <w:tcW w:w="0" w:type="auto"/>
            <w:tcBorders>
              <w:top w:val="nil"/>
              <w:left w:val="nil"/>
              <w:bottom w:val="nil"/>
              <w:right w:val="nil"/>
            </w:tcBorders>
            <w:noWrap/>
            <w:vAlign w:val="center"/>
          </w:tcPr>
          <w:p>
            <w:pPr>
              <w:jc w:val="center"/>
              <w:rPr>
                <w:rFonts w:ascii="Tahoma" w:hAnsi="Tahoma" w:eastAsia="Tahoma" w:cs="Tahoma"/>
                <w:color w:val="000000"/>
                <w:sz w:val="24"/>
              </w:rPr>
            </w:pPr>
          </w:p>
        </w:tc>
        <w:tc>
          <w:tcPr>
            <w:tcW w:w="0" w:type="auto"/>
            <w:tcBorders>
              <w:top w:val="nil"/>
              <w:left w:val="nil"/>
              <w:bottom w:val="nil"/>
              <w:right w:val="nil"/>
            </w:tcBorders>
            <w:noWrap/>
            <w:vAlign w:val="center"/>
          </w:tcPr>
          <w:p>
            <w:pPr>
              <w:jc w:val="center"/>
              <w:rPr>
                <w:rFonts w:ascii="Tahoma" w:hAnsi="Tahoma" w:eastAsia="Tahoma" w:cs="Tahoma"/>
                <w:color w:val="000000"/>
                <w:sz w:val="24"/>
              </w:rPr>
            </w:pPr>
          </w:p>
        </w:tc>
        <w:tc>
          <w:tcPr>
            <w:tcW w:w="0" w:type="auto"/>
            <w:tcBorders>
              <w:top w:val="nil"/>
              <w:left w:val="nil"/>
              <w:bottom w:val="nil"/>
              <w:right w:val="nil"/>
            </w:tcBorders>
            <w:noWrap/>
            <w:vAlign w:val="center"/>
          </w:tcPr>
          <w:p>
            <w:pPr>
              <w:jc w:val="center"/>
              <w:rPr>
                <w:rFonts w:ascii="Tahoma" w:hAnsi="Tahoma" w:eastAsia="Tahoma" w:cs="Tahoma"/>
                <w:color w:val="000000"/>
                <w:sz w:val="24"/>
              </w:rPr>
            </w:pPr>
          </w:p>
        </w:tc>
        <w:tc>
          <w:tcPr>
            <w:tcW w:w="0" w:type="auto"/>
            <w:tcBorders>
              <w:top w:val="nil"/>
              <w:left w:val="nil"/>
              <w:bottom w:val="nil"/>
              <w:right w:val="nil"/>
            </w:tcBorders>
            <w:noWrap/>
            <w:vAlign w:val="center"/>
          </w:tcPr>
          <w:p>
            <w:pPr>
              <w:jc w:val="center"/>
              <w:rPr>
                <w:rFonts w:ascii="Tahoma" w:hAnsi="Tahoma" w:eastAsia="Tahoma" w:cs="Tahoma"/>
                <w:color w:val="000000"/>
                <w:sz w:val="24"/>
              </w:rPr>
            </w:pPr>
          </w:p>
        </w:tc>
        <w:tc>
          <w:tcPr>
            <w:tcW w:w="0" w:type="auto"/>
            <w:tcBorders>
              <w:top w:val="nil"/>
              <w:left w:val="nil"/>
              <w:bottom w:val="nil"/>
              <w:right w:val="nil"/>
            </w:tcBorders>
            <w:noWrap/>
            <w:vAlign w:val="center"/>
          </w:tcPr>
          <w:p>
            <w:pPr>
              <w:jc w:val="center"/>
              <w:rPr>
                <w:rFonts w:ascii="Tahoma" w:hAnsi="Tahoma" w:eastAsia="Tahoma" w:cs="Tahoma"/>
                <w:color w:val="000000"/>
                <w:sz w:val="24"/>
              </w:rPr>
            </w:pPr>
          </w:p>
        </w:tc>
        <w:tc>
          <w:tcPr>
            <w:tcW w:w="0" w:type="auto"/>
            <w:tcBorders>
              <w:top w:val="nil"/>
              <w:left w:val="nil"/>
              <w:bottom w:val="nil"/>
              <w:right w:val="nil"/>
            </w:tcBorders>
            <w:noWrap/>
            <w:vAlign w:val="center"/>
          </w:tcPr>
          <w:p>
            <w:pPr>
              <w:jc w:val="center"/>
              <w:rPr>
                <w:rFonts w:ascii="Tahoma" w:hAnsi="Tahoma" w:eastAsia="Tahoma" w:cs="Tahoma"/>
                <w:color w:val="000000"/>
                <w:sz w:val="24"/>
              </w:rPr>
            </w:pPr>
          </w:p>
        </w:tc>
      </w:tr>
      <w:tr>
        <w:tblPrEx>
          <w:tblCellMar>
            <w:top w:w="0" w:type="dxa"/>
            <w:left w:w="108" w:type="dxa"/>
            <w:bottom w:w="0" w:type="dxa"/>
            <w:right w:w="108" w:type="dxa"/>
          </w:tblCellMar>
        </w:tblPrEx>
        <w:trPr>
          <w:trHeight w:val="870" w:hRule="atLeast"/>
        </w:trPr>
        <w:tc>
          <w:tcPr>
            <w:tcW w:w="0" w:type="auto"/>
            <w:gridSpan w:val="8"/>
            <w:tcBorders>
              <w:top w:val="nil"/>
              <w:left w:val="nil"/>
              <w:bottom w:val="single" w:color="000000" w:sz="4" w:space="0"/>
              <w:right w:val="nil"/>
            </w:tcBorders>
            <w:noWrap/>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 xml:space="preserve">庭院老旧燃气管道改造计划明细表      </w:t>
            </w:r>
          </w:p>
        </w:tc>
        <w:tc>
          <w:tcPr>
            <w:tcW w:w="0" w:type="auto"/>
            <w:tcBorders>
              <w:top w:val="nil"/>
              <w:left w:val="nil"/>
              <w:bottom w:val="single" w:color="000000" w:sz="4" w:space="0"/>
              <w:right w:val="nil"/>
            </w:tcBorders>
            <w:noWrap/>
            <w:vAlign w:val="center"/>
          </w:tcPr>
          <w:p>
            <w:pPr>
              <w:widowControl/>
              <w:jc w:val="center"/>
              <w:textAlignment w:val="center"/>
              <w:rPr>
                <w:rFonts w:hint="eastAsia" w:ascii="方正小标宋简体" w:hAnsi="方正小标宋简体" w:eastAsia="方正小标宋简体" w:cs="方正小标宋简体"/>
                <w:color w:val="000000"/>
                <w:kern w:val="0"/>
                <w:sz w:val="40"/>
                <w:szCs w:val="40"/>
              </w:rPr>
            </w:pPr>
          </w:p>
        </w:tc>
      </w:tr>
      <w:tr>
        <w:tblPrEx>
          <w:tblCellMar>
            <w:top w:w="0" w:type="dxa"/>
            <w:left w:w="108" w:type="dxa"/>
            <w:bottom w:w="0" w:type="dxa"/>
            <w:right w:w="108" w:type="dxa"/>
          </w:tblCellMar>
        </w:tblPrEx>
        <w:trPr>
          <w:trHeight w:val="663" w:hRule="atLeast"/>
        </w:trPr>
        <w:tc>
          <w:tcPr>
            <w:tcW w:w="0" w:type="auto"/>
            <w:tcBorders>
              <w:top w:val="single" w:color="000000" w:sz="4" w:space="0"/>
              <w:left w:val="single" w:color="000000" w:sz="4" w:space="0"/>
              <w:bottom w:val="nil"/>
              <w:right w:val="nil"/>
            </w:tcBorders>
            <w:noWrap w:val="0"/>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行政区域</w:t>
            </w:r>
          </w:p>
        </w:tc>
        <w:tc>
          <w:tcPr>
            <w:tcW w:w="0" w:type="auto"/>
            <w:tcBorders>
              <w:top w:val="single" w:color="000000" w:sz="4" w:space="0"/>
              <w:left w:val="nil"/>
              <w:bottom w:val="nil"/>
              <w:right w:val="nil"/>
            </w:tcBorders>
            <w:noWrap w:val="0"/>
            <w:vAlign w:val="center"/>
          </w:tcPr>
          <w:p>
            <w:pPr>
              <w:widowControl/>
              <w:jc w:val="center"/>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工程项目</w:t>
            </w:r>
          </w:p>
        </w:tc>
        <w:tc>
          <w:tcPr>
            <w:tcW w:w="0" w:type="auto"/>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开工时间</w:t>
            </w:r>
          </w:p>
        </w:tc>
        <w:tc>
          <w:tcPr>
            <w:tcW w:w="0" w:type="auto"/>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完工时间</w:t>
            </w:r>
          </w:p>
        </w:tc>
        <w:tc>
          <w:tcPr>
            <w:tcW w:w="0" w:type="auto"/>
            <w:tcBorders>
              <w:top w:val="single" w:color="000000" w:sz="4" w:space="0"/>
              <w:left w:val="single" w:color="000000" w:sz="4" w:space="0"/>
              <w:bottom w:val="nil"/>
              <w:right w:val="nil"/>
            </w:tcBorders>
            <w:noWrap w:val="0"/>
            <w:vAlign w:val="center"/>
          </w:tcPr>
          <w:p>
            <w:pPr>
              <w:widowControl/>
              <w:jc w:val="center"/>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规格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工程量（公里）</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rPr>
              <w:t>投资额（万元）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微软雅黑" w:hAnsi="微软雅黑" w:eastAsia="微软雅黑" w:cs="微软雅黑"/>
                <w:b/>
                <w:bCs/>
                <w:color w:val="000000"/>
                <w:kern w:val="0"/>
                <w:sz w:val="22"/>
                <w:szCs w:val="22"/>
                <w:lang w:val="en-US" w:eastAsia="zh-CN"/>
              </w:rPr>
            </w:pPr>
            <w:r>
              <w:rPr>
                <w:rFonts w:hint="eastAsia" w:ascii="微软雅黑" w:hAnsi="微软雅黑" w:eastAsia="微软雅黑" w:cs="微软雅黑"/>
                <w:b/>
                <w:bCs/>
                <w:color w:val="000000"/>
                <w:kern w:val="0"/>
                <w:sz w:val="22"/>
                <w:szCs w:val="22"/>
                <w:lang w:val="en-US" w:eastAsia="zh-CN"/>
              </w:rPr>
              <w:t>责任属地</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0" w:type="auto"/>
            <w:vMerge w:val="restart"/>
            <w:tcBorders>
              <w:top w:val="single" w:color="000000" w:sz="4" w:space="0"/>
              <w:left w:val="single" w:color="000000" w:sz="4" w:space="0"/>
              <w:right w:val="single" w:color="000000" w:sz="4" w:space="0"/>
            </w:tcBorders>
            <w:noWrap/>
            <w:vAlign w:val="center"/>
          </w:tcPr>
          <w:p>
            <w:pPr>
              <w:widowControl/>
              <w:jc w:val="left"/>
              <w:textAlignment w:val="center"/>
              <w:rPr>
                <w:rFonts w:ascii="宋体" w:hAnsi="宋体" w:cs="宋体"/>
                <w:b/>
                <w:bCs/>
                <w:color w:val="000000"/>
                <w:kern w:val="0"/>
                <w:sz w:val="24"/>
              </w:rPr>
            </w:pPr>
            <w:r>
              <w:rPr>
                <w:rFonts w:hint="eastAsia" w:ascii="宋体" w:hAnsi="宋体" w:cs="宋体"/>
                <w:b/>
                <w:bCs/>
                <w:color w:val="000000"/>
                <w:kern w:val="0"/>
                <w:sz w:val="24"/>
              </w:rPr>
              <w:t>青山湖区</w:t>
            </w:r>
          </w:p>
          <w:p>
            <w:pPr>
              <w:widowControl/>
              <w:jc w:val="left"/>
              <w:textAlignment w:val="cente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玉泉岛小区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2022.3.10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2022.10.20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2</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学院路学院名都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已进场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2022.01.20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3</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江大南路省石油公司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2021.11.15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2022.01.20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上海北路华岩冻土设计院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2021.11.15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2022.01.20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省环保研究所及检测宿舍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2021.11.30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2022.02.20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电力局青山湖宿舍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2022.08.20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日月明工行宿舍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2022.3.20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2022.04.01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8</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供电局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2022.04.30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kern w:val="0"/>
                <w:sz w:val="24"/>
                <w:lang w:val="en-US" w:eastAsia="zh-CN"/>
              </w:rPr>
              <w:t>9</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第二体育学校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2022.04.30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龙泉住宅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2022.04.30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11</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老人公寓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2022.3.20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2022.04.30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35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12</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秀泊经典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2022.05.20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13</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学院路江西工业职业技术学院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14</w:t>
            </w:r>
          </w:p>
        </w:tc>
        <w:tc>
          <w:tcPr>
            <w:tcW w:w="0" w:type="auto"/>
            <w:vMerge w:val="continue"/>
            <w:tcBorders>
              <w:left w:val="single" w:color="000000" w:sz="4" w:space="0"/>
              <w:right w:val="single" w:color="000000" w:sz="4" w:space="0"/>
            </w:tcBorders>
            <w:noWrap/>
            <w:vAlign w:val="center"/>
          </w:tcPr>
          <w:p>
            <w:pPr>
              <w:widowControl/>
              <w:jc w:val="left"/>
              <w:textAlignment w:val="cente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上坊路嘉合万世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2022.05.30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15</w:t>
            </w:r>
          </w:p>
        </w:tc>
        <w:tc>
          <w:tcPr>
            <w:tcW w:w="0" w:type="auto"/>
            <w:vMerge w:val="continue"/>
            <w:tcBorders>
              <w:left w:val="single" w:color="000000" w:sz="4" w:space="0"/>
              <w:bottom w:val="nil"/>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华城嘉园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2022.5.10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2022.06.25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16</w:t>
            </w:r>
          </w:p>
        </w:tc>
        <w:tc>
          <w:tcPr>
            <w:tcW w:w="0" w:type="auto"/>
            <w:vMerge w:val="restart"/>
            <w:tcBorders>
              <w:top w:val="nil"/>
              <w:left w:val="single" w:color="000000" w:sz="4" w:space="0"/>
              <w:right w:val="single" w:color="000000" w:sz="4" w:space="0"/>
            </w:tcBorders>
            <w:noWrap/>
            <w:vAlign w:val="center"/>
          </w:tcPr>
          <w:p>
            <w:pPr>
              <w:widowControl/>
              <w:jc w:val="left"/>
              <w:textAlignment w:val="center"/>
              <w:rPr>
                <w:rFonts w:hint="eastAsia" w:ascii="宋体" w:hAnsi="宋体" w:cs="宋体"/>
                <w:b/>
                <w:bCs/>
                <w:color w:val="000000"/>
                <w:kern w:val="0"/>
                <w:sz w:val="24"/>
              </w:rPr>
            </w:pPr>
          </w:p>
          <w:p>
            <w:pPr>
              <w:widowControl/>
              <w:jc w:val="left"/>
              <w:textAlignment w:val="center"/>
              <w:rPr>
                <w:rFonts w:hint="eastAsia" w:ascii="宋体" w:hAnsi="宋体" w:cs="宋体"/>
                <w:b/>
                <w:bCs/>
                <w:color w:val="000000"/>
                <w:kern w:val="0"/>
                <w:sz w:val="24"/>
              </w:rPr>
            </w:pPr>
          </w:p>
          <w:p>
            <w:pPr>
              <w:widowControl/>
              <w:jc w:val="left"/>
              <w:textAlignment w:val="center"/>
              <w:rPr>
                <w:rFonts w:hint="eastAsia" w:ascii="宋体" w:hAnsi="宋体" w:cs="宋体"/>
                <w:b/>
                <w:bCs/>
                <w:color w:val="000000"/>
                <w:kern w:val="0"/>
                <w:sz w:val="24"/>
              </w:rPr>
            </w:pPr>
          </w:p>
          <w:p>
            <w:pPr>
              <w:widowControl/>
              <w:jc w:val="left"/>
              <w:textAlignment w:val="center"/>
              <w:rPr>
                <w:rFonts w:hint="eastAsia" w:ascii="宋体" w:hAnsi="宋体" w:cs="宋体"/>
                <w:b/>
                <w:bCs/>
                <w:color w:val="000000"/>
                <w:kern w:val="0"/>
                <w:sz w:val="24"/>
              </w:rPr>
            </w:pPr>
          </w:p>
          <w:p>
            <w:pPr>
              <w:widowControl/>
              <w:jc w:val="left"/>
              <w:textAlignment w:val="center"/>
              <w:rPr>
                <w:rFonts w:hint="eastAsia" w:ascii="宋体" w:hAnsi="宋体" w:cs="宋体"/>
                <w:b/>
                <w:bCs/>
                <w:color w:val="000000"/>
                <w:kern w:val="0"/>
                <w:sz w:val="24"/>
              </w:rPr>
            </w:pPr>
          </w:p>
          <w:p>
            <w:pPr>
              <w:widowControl/>
              <w:jc w:val="left"/>
              <w:textAlignment w:val="center"/>
              <w:rPr>
                <w:rFonts w:hint="eastAsia" w:ascii="宋体" w:hAnsi="宋体" w:cs="宋体"/>
                <w:b/>
                <w:bCs/>
                <w:color w:val="000000"/>
                <w:kern w:val="0"/>
                <w:sz w:val="24"/>
              </w:rPr>
            </w:pPr>
          </w:p>
          <w:p>
            <w:pPr>
              <w:widowControl/>
              <w:jc w:val="left"/>
              <w:textAlignment w:val="center"/>
              <w:rPr>
                <w:rFonts w:hint="eastAsia" w:ascii="宋体" w:hAnsi="宋体" w:cs="宋体"/>
                <w:b/>
                <w:bCs/>
                <w:color w:val="000000"/>
                <w:kern w:val="0"/>
                <w:sz w:val="24"/>
              </w:rPr>
            </w:pPr>
          </w:p>
          <w:p>
            <w:pPr>
              <w:widowControl/>
              <w:jc w:val="left"/>
              <w:textAlignment w:val="center"/>
              <w:rPr>
                <w:rFonts w:hint="eastAsia" w:ascii="宋体" w:hAnsi="宋体" w:cs="宋体"/>
                <w:b/>
                <w:bCs/>
                <w:color w:val="000000"/>
                <w:kern w:val="0"/>
                <w:sz w:val="24"/>
              </w:rPr>
            </w:pPr>
          </w:p>
          <w:p>
            <w:pPr>
              <w:widowControl/>
              <w:jc w:val="left"/>
              <w:textAlignment w:val="center"/>
              <w:rPr>
                <w:rFonts w:ascii="宋体" w:hAnsi="宋体" w:cs="宋体"/>
                <w:b/>
                <w:bCs/>
                <w:color w:val="000000"/>
                <w:sz w:val="24"/>
              </w:rPr>
            </w:pPr>
            <w:r>
              <w:rPr>
                <w:rFonts w:hint="eastAsia" w:ascii="宋体" w:hAnsi="宋体" w:cs="宋体"/>
                <w:b/>
                <w:bCs/>
                <w:color w:val="000000"/>
                <w:kern w:val="0"/>
                <w:sz w:val="24"/>
              </w:rPr>
              <w:t>青山湖区</w:t>
            </w: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省和平医院宿舍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2022.05.30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17</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江南化工厂青山湖小区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2022.05.30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18</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劳动厅江大南路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2022.5.10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2022.06.25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19</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香溢花城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2022.08.20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20</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南大医学院北院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2022.5.15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2022.08.20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21</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燕鸣路以南、国威路以北楼盘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2022.08.30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22</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南昌客车修理厂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2022.5.10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2022.06.25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23</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玉泉岛大酒店（塘山镇）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2022.05.20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0.109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塘山</w:t>
            </w:r>
            <w:r>
              <w:rPr>
                <w:rFonts w:hint="eastAsia" w:ascii="宋体" w:hAnsi="宋体" w:cs="宋体"/>
                <w:i w:val="0"/>
                <w:iCs w:val="0"/>
                <w:color w:val="000000"/>
                <w:kern w:val="0"/>
                <w:sz w:val="22"/>
                <w:szCs w:val="22"/>
                <w:u w:val="none"/>
                <w:lang w:val="en-US" w:eastAsia="zh-CN" w:bidi="ar"/>
              </w:rPr>
              <w:t>镇</w:t>
            </w:r>
          </w:p>
        </w:tc>
      </w:tr>
      <w:tr>
        <w:tblPrEx>
          <w:tblCellMar>
            <w:top w:w="0" w:type="dxa"/>
            <w:left w:w="108" w:type="dxa"/>
            <w:bottom w:w="0" w:type="dxa"/>
            <w:right w:w="108"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24</w:t>
            </w:r>
          </w:p>
        </w:tc>
        <w:tc>
          <w:tcPr>
            <w:tcW w:w="1180" w:type="dxa"/>
            <w:vMerge w:val="restart"/>
            <w:tcBorders>
              <w:left w:val="single" w:color="000000" w:sz="4" w:space="0"/>
              <w:right w:val="single" w:color="000000" w:sz="4" w:space="0"/>
            </w:tcBorders>
            <w:noWrap/>
            <w:vAlign w:val="center"/>
          </w:tcPr>
          <w:p>
            <w:pPr>
              <w:rPr>
                <w:rFonts w:ascii="宋体" w:hAnsi="宋体" w:cs="宋体"/>
                <w:b/>
                <w:bCs/>
                <w:color w:val="000000"/>
                <w:sz w:val="24"/>
              </w:rPr>
            </w:pPr>
          </w:p>
        </w:tc>
        <w:tc>
          <w:tcPr>
            <w:tcW w:w="528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学院路统计学校</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2022.11.1</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2022.12.30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DN200</w:t>
            </w:r>
          </w:p>
        </w:tc>
        <w:tc>
          <w:tcPr>
            <w:tcW w:w="1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0.3</w:t>
            </w:r>
          </w:p>
        </w:tc>
        <w:tc>
          <w:tcPr>
            <w:tcW w:w="15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22.8</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sz w:val="24"/>
                <w:lang w:val="en-US" w:eastAsia="zh-CN"/>
              </w:rPr>
              <w:t>25</w:t>
            </w:r>
          </w:p>
        </w:tc>
        <w:tc>
          <w:tcPr>
            <w:tcW w:w="1180" w:type="dxa"/>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528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南京东路金球小区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2021.11.15</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2022.01.20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DN200</w:t>
            </w:r>
          </w:p>
        </w:tc>
        <w:tc>
          <w:tcPr>
            <w:tcW w:w="16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0.3</w:t>
            </w:r>
          </w:p>
        </w:tc>
        <w:tc>
          <w:tcPr>
            <w:tcW w:w="15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rPr>
              <w:t>22.8</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2"/>
                <w:szCs w:val="22"/>
                <w:lang w:val="en-US" w:eastAsia="zh-CN"/>
              </w:rPr>
              <w:t>塘山镇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26</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永人村农民公寓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2022.5.10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2022.06.25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27</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南昌市第九医院宿舍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28</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安康小区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2022.2.20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2022.03.20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0.45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29.25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29</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水利学校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2022.05.30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30</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青山湖大道湖坊信用社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2022.11.1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2022.12.30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31</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青山湖大道水土保持所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2022.11.1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2022.12.30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0.06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顺外村农民公寓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33</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化工研究所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34</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彭桥村农民公寓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35</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省检察院宿舍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36</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省机械化施工公司宿舍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37</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丰盛花园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38</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兴昌房屋开发公司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2022.7.10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2022.08.20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39</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水利规划设计院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2022.7.10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2022.08.20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40</w:t>
            </w:r>
          </w:p>
        </w:tc>
        <w:tc>
          <w:tcPr>
            <w:tcW w:w="0" w:type="auto"/>
            <w:vMerge w:val="continue"/>
            <w:tcBorders>
              <w:left w:val="single" w:color="000000" w:sz="4" w:space="0"/>
              <w:right w:val="single" w:color="000000" w:sz="4" w:space="0"/>
            </w:tcBorders>
            <w:noWrap/>
            <w:vAlign w:val="center"/>
          </w:tcPr>
          <w:p>
            <w:pPr>
              <w:widowControl/>
              <w:jc w:val="left"/>
              <w:textAlignment w:val="cente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江西省外运公司宿舍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2022.7.10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2022.08.20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41</w:t>
            </w:r>
          </w:p>
        </w:tc>
        <w:tc>
          <w:tcPr>
            <w:tcW w:w="0" w:type="auto"/>
            <w:vMerge w:val="continue"/>
            <w:tcBorders>
              <w:left w:val="single" w:color="000000" w:sz="4" w:space="0"/>
              <w:bottom w:val="nil"/>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玉带家园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2022.7.10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2022.08.20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42</w:t>
            </w:r>
          </w:p>
        </w:tc>
        <w:tc>
          <w:tcPr>
            <w:tcW w:w="0" w:type="auto"/>
            <w:vMerge w:val="restart"/>
            <w:tcBorders>
              <w:top w:val="nil"/>
              <w:left w:val="single" w:color="000000" w:sz="4" w:space="0"/>
              <w:right w:val="single" w:color="000000" w:sz="4" w:space="0"/>
            </w:tcBorders>
            <w:noWrap/>
            <w:vAlign w:val="center"/>
          </w:tcPr>
          <w:p>
            <w:pPr>
              <w:rPr>
                <w:rFonts w:hint="eastAsia" w:ascii="宋体" w:hAnsi="宋体" w:cs="宋体"/>
                <w:b/>
                <w:bCs/>
                <w:color w:val="000000"/>
                <w:sz w:val="24"/>
              </w:rPr>
            </w:pPr>
          </w:p>
          <w:p>
            <w:pPr>
              <w:rPr>
                <w:rFonts w:hint="eastAsia" w:ascii="宋体" w:hAnsi="宋体" w:cs="宋体"/>
                <w:b/>
                <w:bCs/>
                <w:color w:val="000000"/>
                <w:sz w:val="24"/>
              </w:rPr>
            </w:pPr>
          </w:p>
          <w:p>
            <w:pPr>
              <w:rPr>
                <w:rFonts w:hint="eastAsia" w:ascii="宋体" w:hAnsi="宋体" w:cs="宋体"/>
                <w:b/>
                <w:bCs/>
                <w:color w:val="000000"/>
                <w:sz w:val="24"/>
              </w:rPr>
            </w:pPr>
          </w:p>
          <w:p>
            <w:pPr>
              <w:rPr>
                <w:rFonts w:hint="eastAsia" w:ascii="宋体" w:hAnsi="宋体" w:cs="宋体"/>
                <w:b/>
                <w:bCs/>
                <w:color w:val="000000"/>
                <w:sz w:val="24"/>
              </w:rPr>
            </w:pPr>
          </w:p>
          <w:p>
            <w:pPr>
              <w:rPr>
                <w:rFonts w:hint="eastAsia" w:ascii="宋体" w:hAnsi="宋体" w:cs="宋体"/>
                <w:b/>
                <w:bCs/>
                <w:color w:val="000000"/>
                <w:sz w:val="24"/>
              </w:rPr>
            </w:pPr>
          </w:p>
          <w:p>
            <w:pPr>
              <w:rPr>
                <w:rFonts w:hint="eastAsia" w:ascii="宋体" w:hAnsi="宋体" w:cs="宋体"/>
                <w:b/>
                <w:bCs/>
                <w:color w:val="000000"/>
                <w:sz w:val="24"/>
              </w:rPr>
            </w:pPr>
          </w:p>
          <w:p>
            <w:pPr>
              <w:rPr>
                <w:rFonts w:hint="eastAsia" w:ascii="宋体" w:hAnsi="宋体" w:cs="宋体"/>
                <w:b/>
                <w:bCs/>
                <w:color w:val="000000"/>
                <w:sz w:val="24"/>
              </w:rPr>
            </w:pPr>
          </w:p>
          <w:p>
            <w:pPr>
              <w:rPr>
                <w:rFonts w:hint="eastAsia" w:ascii="宋体" w:hAnsi="宋体" w:cs="宋体"/>
                <w:b/>
                <w:bCs/>
                <w:color w:val="000000"/>
                <w:sz w:val="24"/>
              </w:rPr>
            </w:pPr>
          </w:p>
          <w:p>
            <w:pPr>
              <w:rPr>
                <w:rFonts w:hint="eastAsia" w:ascii="宋体" w:hAnsi="宋体" w:cs="宋体"/>
                <w:b/>
                <w:bCs/>
                <w:color w:val="000000"/>
                <w:sz w:val="24"/>
              </w:rPr>
            </w:pPr>
          </w:p>
          <w:p>
            <w:pPr>
              <w:rPr>
                <w:rFonts w:hint="eastAsia" w:ascii="宋体" w:hAnsi="宋体" w:cs="宋体"/>
                <w:b/>
                <w:bCs/>
                <w:color w:val="000000"/>
                <w:sz w:val="24"/>
              </w:rPr>
            </w:pPr>
          </w:p>
          <w:p>
            <w:pPr>
              <w:rPr>
                <w:rFonts w:hint="eastAsia" w:ascii="宋体" w:hAnsi="宋体" w:cs="宋体"/>
                <w:b/>
                <w:bCs/>
                <w:color w:val="000000"/>
                <w:sz w:val="24"/>
              </w:rPr>
            </w:pPr>
          </w:p>
          <w:p>
            <w:pPr>
              <w:rPr>
                <w:rFonts w:ascii="宋体" w:hAnsi="宋体" w:cs="宋体"/>
                <w:b/>
                <w:bCs/>
                <w:color w:val="000000"/>
                <w:sz w:val="24"/>
              </w:rPr>
            </w:pPr>
            <w:r>
              <w:rPr>
                <w:rFonts w:hint="eastAsia" w:ascii="宋体" w:hAnsi="宋体" w:cs="宋体"/>
                <w:b/>
                <w:bCs/>
                <w:color w:val="000000"/>
                <w:sz w:val="24"/>
              </w:rPr>
              <w:t>青山湖区</w:t>
            </w: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湖坊工业园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2022.7.10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2022.08.20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43</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省工业安装公司宿舍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2022.10.20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湖坊镇</w:t>
            </w:r>
          </w:p>
        </w:tc>
      </w:tr>
      <w:tr>
        <w:tblPrEx>
          <w:tblCellMar>
            <w:top w:w="0" w:type="dxa"/>
            <w:left w:w="108" w:type="dxa"/>
            <w:bottom w:w="0" w:type="dxa"/>
            <w:right w:w="108"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44</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千百味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2022.8.20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2022.09.20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京东镇</w:t>
            </w:r>
          </w:p>
        </w:tc>
      </w:tr>
      <w:tr>
        <w:tblPrEx>
          <w:tblCellMar>
            <w:top w:w="0" w:type="dxa"/>
            <w:left w:w="108" w:type="dxa"/>
            <w:bottom w:w="0" w:type="dxa"/>
            <w:right w:w="108"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45</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闪亮药厂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2022.8.20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2022.09.20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京东镇</w:t>
            </w:r>
          </w:p>
        </w:tc>
      </w:tr>
      <w:tr>
        <w:tblPrEx>
          <w:tblCellMar>
            <w:top w:w="0" w:type="dxa"/>
            <w:left w:w="108" w:type="dxa"/>
            <w:bottom w:w="0" w:type="dxa"/>
            <w:right w:w="108" w:type="dxa"/>
          </w:tblCellMar>
        </w:tblPrEx>
        <w:trPr>
          <w:trHeight w:val="380" w:hRule="atLeast"/>
        </w:trPr>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46</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太平洋花园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2022.3.10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2022.07.20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京东镇</w:t>
            </w:r>
          </w:p>
        </w:tc>
      </w:tr>
      <w:tr>
        <w:tblPrEx>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47</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世纪风情二期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2022.10.20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149.72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京东镇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48</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世纪风情一期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2022.10.1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2022.12.30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121.524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京东镇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49</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江西中医学院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2022.05.30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京东镇</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50</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师大南路机械厅科研所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2022.9.20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2022.11.20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站东街道</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51</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北京西路新魏路社区（中航江西分公司、江西人民出版社）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2022.6.20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2022.11.20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0.531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40.356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站东街道</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52</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半边街江西人民出版社（其中一栋半边街社区，其余新魏路社区）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2022.10.20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站东街道</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53</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半边街江西农业银行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2022.10.20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站东街道</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54</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省乡镇企业（祥和小区）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2022.10.20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站东街道</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55</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新魏路慧心苑小区（文化厅宿舍）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2022.10.20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站东街道</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56</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新魏路慧心苑小区（建校宿舍）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2022.5.20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2022.10.20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9.12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站东街道</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57</w:t>
            </w:r>
          </w:p>
        </w:tc>
        <w:tc>
          <w:tcPr>
            <w:tcW w:w="0" w:type="auto"/>
            <w:vMerge w:val="continue"/>
            <w:tcBorders>
              <w:left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新魏路慧心苑小区（印刷厂宿舍）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2022.5.25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2022.10.25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站东街道</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58</w:t>
            </w:r>
          </w:p>
        </w:tc>
        <w:tc>
          <w:tcPr>
            <w:tcW w:w="0" w:type="auto"/>
            <w:vMerge w:val="continue"/>
            <w:tcBorders>
              <w:left w:val="single" w:color="000000" w:sz="4" w:space="0"/>
              <w:bottom w:val="single" w:color="000000" w:sz="4" w:space="0"/>
              <w:right w:val="single" w:color="000000" w:sz="4" w:space="0"/>
            </w:tcBorders>
            <w:noWrap/>
            <w:vAlign w:val="center"/>
          </w:tcPr>
          <w:p>
            <w:pPr>
              <w:rPr>
                <w:rFonts w:ascii="宋体" w:hAnsi="宋体" w:cs="宋体"/>
                <w:b/>
                <w:bCs/>
                <w:color w:val="000000"/>
                <w:sz w:val="24"/>
              </w:rPr>
            </w:pP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省百货、省轻工宿舍(半边街社区)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2022.5.25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2022.10.25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DN200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24.32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站东街道</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nil"/>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4"/>
              </w:rPr>
            </w:pPr>
          </w:p>
        </w:tc>
        <w:tc>
          <w:tcPr>
            <w:tcW w:w="0" w:type="auto"/>
            <w:tcBorders>
              <w:top w:val="single" w:color="000000" w:sz="4" w:space="0"/>
              <w:left w:val="nil"/>
              <w:bottom w:val="single" w:color="000000" w:sz="4" w:space="0"/>
              <w:right w:val="single" w:color="000000" w:sz="4" w:space="0"/>
            </w:tcBorders>
            <w:noWrap/>
            <w:vAlign w:val="center"/>
          </w:tcPr>
          <w:p>
            <w:pPr>
              <w:jc w:val="center"/>
              <w:rPr>
                <w:rFonts w:ascii="Tahoma" w:hAnsi="Tahoma" w:eastAsia="Tahoma" w:cs="Tahoma"/>
                <w:color w:val="000000"/>
                <w:sz w:val="24"/>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青山湖区庭院管小计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b/>
                <w:bCs/>
                <w:color w:val="000000"/>
                <w:sz w:val="24"/>
              </w:rPr>
            </w:pPr>
            <w:r>
              <w:rPr>
                <w:rFonts w:ascii="Tahoma" w:hAnsi="Tahoma" w:eastAsia="Tahoma" w:cs="Tahoma"/>
                <w:b/>
                <w:bCs/>
                <w:color w:val="auto"/>
                <w:kern w:val="0"/>
                <w:sz w:val="24"/>
              </w:rPr>
              <w:t>3</w:t>
            </w:r>
            <w:r>
              <w:rPr>
                <w:rFonts w:hint="eastAsia" w:ascii="Tahoma" w:hAnsi="Tahoma" w:cs="Tahoma"/>
                <w:b/>
                <w:bCs/>
                <w:color w:val="auto"/>
                <w:kern w:val="0"/>
                <w:sz w:val="24"/>
                <w:lang w:val="en-US" w:eastAsia="zh-CN"/>
              </w:rPr>
              <w:t>8</w:t>
            </w:r>
            <w:r>
              <w:rPr>
                <w:rFonts w:ascii="Tahoma" w:hAnsi="Tahoma" w:eastAsia="Tahoma" w:cs="Tahoma"/>
                <w:b/>
                <w:bCs/>
                <w:color w:val="auto"/>
                <w:kern w:val="0"/>
                <w:sz w:val="24"/>
              </w:rPr>
              <w:t>.</w:t>
            </w:r>
            <w:r>
              <w:rPr>
                <w:rFonts w:hint="eastAsia" w:ascii="Tahoma" w:hAnsi="Tahoma" w:cs="Tahoma"/>
                <w:b/>
                <w:bCs/>
                <w:color w:val="auto"/>
                <w:kern w:val="0"/>
                <w:sz w:val="24"/>
                <w:lang w:val="en-US" w:eastAsia="zh-CN"/>
              </w:rPr>
              <w:t>84</w:t>
            </w:r>
            <w:r>
              <w:rPr>
                <w:rFonts w:ascii="Tahoma" w:hAnsi="Tahoma" w:eastAsia="Tahoma" w:cs="Tahoma"/>
                <w:b/>
                <w:bCs/>
                <w:color w:val="auto"/>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bl>
    <w:p>
      <w:pP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br w:type="page"/>
      </w:r>
    </w:p>
    <w:p>
      <w:pPr>
        <w:widowControl/>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附件1.4</w:t>
      </w:r>
    </w:p>
    <w:p>
      <w:pPr>
        <w:pStyle w:val="16"/>
        <w:spacing w:line="5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违章压占燃气管道整改计划明细表</w:t>
      </w:r>
    </w:p>
    <w:p>
      <w:pPr>
        <w:pStyle w:val="16"/>
        <w:spacing w:line="500" w:lineRule="exact"/>
        <w:jc w:val="center"/>
        <w:rPr>
          <w:rFonts w:ascii="方正小标宋简体" w:hAnsi="方正小标宋简体" w:eastAsia="方正小标宋简体" w:cs="方正小标宋简体"/>
          <w:sz w:val="40"/>
          <w:szCs w:val="40"/>
        </w:rPr>
      </w:pPr>
    </w:p>
    <w:tbl>
      <w:tblPr>
        <w:tblStyle w:val="12"/>
        <w:tblW w:w="5175" w:type="pct"/>
        <w:jc w:val="center"/>
        <w:tblLayout w:type="fixed"/>
        <w:tblCellMar>
          <w:top w:w="0" w:type="dxa"/>
          <w:left w:w="108" w:type="dxa"/>
          <w:bottom w:w="0" w:type="dxa"/>
          <w:right w:w="108" w:type="dxa"/>
        </w:tblCellMar>
      </w:tblPr>
      <w:tblGrid>
        <w:gridCol w:w="482"/>
        <w:gridCol w:w="1113"/>
        <w:gridCol w:w="3082"/>
        <w:gridCol w:w="1240"/>
        <w:gridCol w:w="592"/>
        <w:gridCol w:w="613"/>
        <w:gridCol w:w="684"/>
        <w:gridCol w:w="820"/>
        <w:gridCol w:w="744"/>
        <w:gridCol w:w="1505"/>
        <w:gridCol w:w="1285"/>
        <w:gridCol w:w="1281"/>
        <w:gridCol w:w="1034"/>
        <w:gridCol w:w="899"/>
      </w:tblGrid>
      <w:tr>
        <w:tblPrEx>
          <w:tblCellMar>
            <w:top w:w="0" w:type="dxa"/>
            <w:left w:w="108" w:type="dxa"/>
            <w:bottom w:w="0" w:type="dxa"/>
            <w:right w:w="108" w:type="dxa"/>
          </w:tblCellMar>
        </w:tblPrEx>
        <w:trPr>
          <w:trHeight w:val="267"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序号</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编号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隐患地点</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地址</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管径</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材质</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压力</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color w:val="000000"/>
                <w:kern w:val="0"/>
                <w:sz w:val="20"/>
                <w:szCs w:val="20"/>
                <w:lang w:eastAsia="zh-CN"/>
              </w:rPr>
            </w:pPr>
            <w:r>
              <w:rPr>
                <w:rFonts w:hint="eastAsia" w:ascii="微软雅黑" w:hAnsi="微软雅黑" w:eastAsia="微软雅黑" w:cs="微软雅黑"/>
                <w:b/>
                <w:bCs/>
                <w:color w:val="000000"/>
                <w:kern w:val="0"/>
                <w:sz w:val="20"/>
                <w:szCs w:val="20"/>
              </w:rPr>
              <w:t>铸改</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长度米</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类别</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隐患情况简述</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color w:val="000000"/>
                <w:kern w:val="0"/>
                <w:sz w:val="20"/>
                <w:szCs w:val="20"/>
              </w:rPr>
            </w:pPr>
            <w:r>
              <w:rPr>
                <w:rFonts w:hint="eastAsia" w:ascii="微软雅黑" w:hAnsi="微软雅黑" w:eastAsia="微软雅黑" w:cs="微软雅黑"/>
                <w:b/>
                <w:bCs/>
                <w:color w:val="000000"/>
                <w:kern w:val="0"/>
                <w:sz w:val="20"/>
                <w:szCs w:val="20"/>
              </w:rPr>
              <w:t>计划</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rPr>
              <w:t>完成时间</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kern w:val="0"/>
                <w:sz w:val="20"/>
                <w:szCs w:val="20"/>
              </w:rPr>
            </w:pPr>
            <w:r>
              <w:rPr>
                <w:rFonts w:hint="eastAsia" w:ascii="微软雅黑" w:hAnsi="微软雅黑" w:eastAsia="微软雅黑" w:cs="微软雅黑"/>
                <w:b/>
                <w:bCs/>
                <w:color w:val="000000"/>
                <w:kern w:val="0"/>
                <w:sz w:val="20"/>
                <w:szCs w:val="20"/>
              </w:rPr>
              <w:t>备注</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kern w:val="0"/>
                <w:sz w:val="20"/>
                <w:szCs w:val="20"/>
              </w:rPr>
            </w:pPr>
            <w:r>
              <w:rPr>
                <w:rFonts w:hint="eastAsia" w:ascii="微软雅黑" w:hAnsi="微软雅黑" w:eastAsia="微软雅黑" w:cs="微软雅黑"/>
                <w:b/>
                <w:bCs/>
                <w:color w:val="000000"/>
                <w:kern w:val="0"/>
                <w:sz w:val="20"/>
                <w:szCs w:val="20"/>
              </w:rPr>
              <w:t>所属区域</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color w:val="000000"/>
                <w:kern w:val="0"/>
                <w:sz w:val="20"/>
                <w:szCs w:val="20"/>
              </w:rPr>
            </w:pPr>
            <w:r>
              <w:rPr>
                <w:rFonts w:hint="eastAsia" w:ascii="微软雅黑" w:hAnsi="微软雅黑" w:eastAsia="微软雅黑" w:cs="微软雅黑"/>
                <w:b/>
                <w:bCs/>
                <w:color w:val="000000"/>
                <w:kern w:val="0"/>
                <w:sz w:val="20"/>
                <w:szCs w:val="20"/>
              </w:rPr>
              <w:t>责任人</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nc2017044</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师大南路42号省机械科研所宿舍楼后</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师大南路42号</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店面占压燃气管道</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40"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nc2017045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师大南路50号省农业厅宿舍楼后</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师大南路50号</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围墙占压燃气管道</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40"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nc2017046</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半边街21号省分析测试研究所宿舍楼后</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半边街21号</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围墙占压燃气管道</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nc2017047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半边街22号省建材学院宿舍1栋后</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半边街22号</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围墙占压燃气管道</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nc2017049</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铁路六村26栋</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新魏路</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矮立管被厨房包裹</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nc2017050</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铁路六村27栋</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新魏路</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矮立管被厨房包裹</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2022年4月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nc2017051</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铁路六村28栋</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新魏路</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矮立管被厨房包裹</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2022年4月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40"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nc2018523</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新魏路江西出版社3栋</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新魏路</w:t>
            </w:r>
          </w:p>
        </w:tc>
        <w:tc>
          <w:tcPr>
            <w:tcW w:w="1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40</w:t>
            </w:r>
          </w:p>
        </w:tc>
        <w:tc>
          <w:tcPr>
            <w:tcW w:w="19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400</w:t>
            </w:r>
          </w:p>
        </w:tc>
        <w:tc>
          <w:tcPr>
            <w:tcW w:w="2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房屋占压</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2022年5月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可铸改解除</w:t>
            </w:r>
          </w:p>
          <w:p>
            <w:pPr>
              <w:widowControl/>
              <w:jc w:val="center"/>
              <w:textAlignment w:val="center"/>
              <w:rPr>
                <w:rFonts w:ascii="宋体" w:hAnsi="宋体" w:cs="宋体"/>
                <w:color w:val="000000"/>
                <w:sz w:val="20"/>
                <w:szCs w:val="20"/>
              </w:rPr>
            </w:pPr>
            <w:r>
              <w:rPr>
                <w:rFonts w:hint="eastAsia" w:ascii="宋体" w:hAnsi="宋体" w:cs="宋体"/>
                <w:kern w:val="0"/>
                <w:sz w:val="20"/>
                <w:szCs w:val="20"/>
              </w:rPr>
              <w:t>部分有计划</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nc2019020</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师大南路，省建材1栋立管被搭建房子占压。</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师大南路</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包封、圈占</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立管被圈占</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2022年10月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311"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nc2019025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spacing w:val="-11"/>
                <w:kern w:val="0"/>
                <w:sz w:val="20"/>
                <w:szCs w:val="20"/>
              </w:rPr>
              <w:t>新魏路新闻出版社3栋，房子对地下低压铸铁50以及对立管铸铁40占压</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新魏路</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50 40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压占、包封</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建筑物压占、立管被包封</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2022年10月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可铸改解除</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部分有计划</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bl>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br w:type="page"/>
      </w:r>
    </w:p>
    <w:tbl>
      <w:tblPr>
        <w:tblStyle w:val="12"/>
        <w:tblW w:w="5175" w:type="pct"/>
        <w:jc w:val="center"/>
        <w:tblLayout w:type="fixed"/>
        <w:tblCellMar>
          <w:top w:w="0" w:type="dxa"/>
          <w:left w:w="108" w:type="dxa"/>
          <w:bottom w:w="0" w:type="dxa"/>
          <w:right w:w="108" w:type="dxa"/>
        </w:tblCellMar>
      </w:tblPr>
      <w:tblGrid>
        <w:gridCol w:w="482"/>
        <w:gridCol w:w="1113"/>
        <w:gridCol w:w="3082"/>
        <w:gridCol w:w="1240"/>
        <w:gridCol w:w="592"/>
        <w:gridCol w:w="613"/>
        <w:gridCol w:w="684"/>
        <w:gridCol w:w="820"/>
        <w:gridCol w:w="744"/>
        <w:gridCol w:w="1505"/>
        <w:gridCol w:w="1285"/>
        <w:gridCol w:w="1281"/>
        <w:gridCol w:w="1034"/>
        <w:gridCol w:w="899"/>
      </w:tblGrid>
      <w:tr>
        <w:tblPrEx>
          <w:tblCellMar>
            <w:top w:w="0" w:type="dxa"/>
            <w:left w:w="108" w:type="dxa"/>
            <w:bottom w:w="0" w:type="dxa"/>
            <w:right w:w="108" w:type="dxa"/>
          </w:tblCellMar>
        </w:tblPrEx>
        <w:trPr>
          <w:trHeight w:val="240"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nc2019037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半边街测试宿舍3栋低压铸铁50引入管与低压铸铁40矮立管圈占</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半边街</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50 40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建筑物压占</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2022年11月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sz w:val="20"/>
                <w:szCs w:val="20"/>
              </w:rPr>
            </w:pP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半边街20号储备局宿舍，围墙对低压铸铁50引入管圈占</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半边街</w:t>
            </w:r>
          </w:p>
        </w:tc>
        <w:tc>
          <w:tcPr>
            <w:tcW w:w="1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60</w:t>
            </w:r>
          </w:p>
        </w:tc>
        <w:tc>
          <w:tcPr>
            <w:tcW w:w="2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建筑物压占</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2022年11月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sz w:val="20"/>
                <w:szCs w:val="20"/>
              </w:rPr>
            </w:pP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半边街印刷厂宿舍2栋楼前，矮房子对低压铸铁100压占</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半边街</w:t>
            </w:r>
          </w:p>
        </w:tc>
        <w:tc>
          <w:tcPr>
            <w:tcW w:w="1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100</w:t>
            </w:r>
          </w:p>
        </w:tc>
        <w:tc>
          <w:tcPr>
            <w:tcW w:w="19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260</w:t>
            </w:r>
          </w:p>
        </w:tc>
        <w:tc>
          <w:tcPr>
            <w:tcW w:w="2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压占</w:t>
            </w:r>
          </w:p>
        </w:tc>
        <w:tc>
          <w:tcPr>
            <w:tcW w:w="4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房屋压占</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2022年11月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sz w:val="20"/>
                <w:szCs w:val="20"/>
              </w:rPr>
            </w:pP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铁路六村20栋矮房子对低压铸铁100压占</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新魏路</w:t>
            </w:r>
          </w:p>
        </w:tc>
        <w:tc>
          <w:tcPr>
            <w:tcW w:w="1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100</w:t>
            </w:r>
          </w:p>
        </w:tc>
        <w:tc>
          <w:tcPr>
            <w:tcW w:w="19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60</w:t>
            </w:r>
          </w:p>
        </w:tc>
        <w:tc>
          <w:tcPr>
            <w:tcW w:w="2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压占</w:t>
            </w:r>
          </w:p>
        </w:tc>
        <w:tc>
          <w:tcPr>
            <w:tcW w:w="4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房屋压占</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2022年11月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站东街道</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傅美娟</w:t>
            </w:r>
          </w:p>
        </w:tc>
      </w:tr>
      <w:tr>
        <w:tblPrEx>
          <w:tblCellMar>
            <w:top w:w="0" w:type="dxa"/>
            <w:left w:w="108" w:type="dxa"/>
            <w:bottom w:w="0" w:type="dxa"/>
            <w:right w:w="108" w:type="dxa"/>
          </w:tblCellMar>
        </w:tblPrEx>
        <w:trPr>
          <w:trHeight w:val="266"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nc2017108</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凤凰医院1栋三单元</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40</w:t>
            </w:r>
          </w:p>
        </w:tc>
        <w:tc>
          <w:tcPr>
            <w:tcW w:w="19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矮立管被厨房包裹</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2022年4月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可铸改解除</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3.12进场</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塘山镇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徐建跃</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nc2017115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江西省林业基金管理站店面</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上坊路</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店面占压燃气管道</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2022年4月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塘山镇</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徐建跃</w:t>
            </w:r>
          </w:p>
        </w:tc>
      </w:tr>
      <w:tr>
        <w:tblPrEx>
          <w:tblCellMar>
            <w:top w:w="0" w:type="dxa"/>
            <w:left w:w="108" w:type="dxa"/>
            <w:bottom w:w="0" w:type="dxa"/>
            <w:right w:w="108" w:type="dxa"/>
          </w:tblCellMar>
        </w:tblPrEx>
        <w:trPr>
          <w:trHeight w:val="260"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nc2017116</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江大南路科委住宅区店面</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江大南路</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店面占压燃气管道</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2022年4月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塘山镇</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徐建跃</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nc2017137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江大南路省科委住宅区店面占压管线</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江大南路</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店面占压燃气管道</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2022年4月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塘山镇</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徐建跃</w:t>
            </w:r>
          </w:p>
        </w:tc>
      </w:tr>
      <w:tr>
        <w:tblPrEx>
          <w:tblCellMar>
            <w:top w:w="0" w:type="dxa"/>
            <w:left w:w="108" w:type="dxa"/>
            <w:bottom w:w="0" w:type="dxa"/>
            <w:right w:w="108" w:type="dxa"/>
          </w:tblCellMar>
        </w:tblPrEx>
        <w:trPr>
          <w:trHeight w:val="317"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nc2018507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香溢花城三区12-02</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40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建筑物占压</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2022年5月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可铸改解除</w:t>
            </w:r>
          </w:p>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计划内</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rPr>
              <w:t>塘山镇</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徐建跃</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nc2018508</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香溢花城三区20栋东侧</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100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阳光房占压</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2022年5月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可铸改解除</w:t>
            </w:r>
          </w:p>
          <w:p>
            <w:pPr>
              <w:widowControl/>
              <w:jc w:val="center"/>
              <w:textAlignment w:val="center"/>
              <w:rPr>
                <w:rFonts w:ascii="宋体" w:hAnsi="宋体" w:cs="宋体"/>
                <w:color w:val="000000"/>
                <w:sz w:val="20"/>
                <w:szCs w:val="20"/>
              </w:rPr>
            </w:pPr>
            <w:r>
              <w:rPr>
                <w:rFonts w:hint="eastAsia" w:ascii="宋体" w:hAnsi="宋体" w:cs="宋体"/>
                <w:kern w:val="0"/>
                <w:sz w:val="20"/>
                <w:szCs w:val="20"/>
              </w:rPr>
              <w:t>计划内</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rPr>
              <w:t>塘山镇</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徐建跃</w:t>
            </w:r>
          </w:p>
        </w:tc>
      </w:tr>
      <w:tr>
        <w:tblPrEx>
          <w:tblCellMar>
            <w:top w:w="0" w:type="dxa"/>
            <w:left w:w="108" w:type="dxa"/>
            <w:bottom w:w="0" w:type="dxa"/>
            <w:right w:w="108" w:type="dxa"/>
          </w:tblCellMar>
        </w:tblPrEx>
        <w:trPr>
          <w:trHeight w:val="365"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nc2018423</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上访路凤凰医院1幢2幢厨房包封DN40镀锌管。</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9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DN</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外立管包封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2022年11月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可铸改解除</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3月12日进场</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塘山镇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徐建跃</w:t>
            </w:r>
          </w:p>
        </w:tc>
      </w:tr>
      <w:tr>
        <w:tblPrEx>
          <w:tblCellMar>
            <w:top w:w="0" w:type="dxa"/>
            <w:left w:w="108" w:type="dxa"/>
            <w:bottom w:w="0" w:type="dxa"/>
            <w:right w:w="108" w:type="dxa"/>
          </w:tblCellMar>
        </w:tblPrEx>
        <w:trPr>
          <w:trHeight w:val="240"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nc2018502</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万科青山湖别墅1602</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32/25</w:t>
            </w:r>
          </w:p>
        </w:tc>
        <w:tc>
          <w:tcPr>
            <w:tcW w:w="19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DN、PE</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spacing w:val="-11"/>
                <w:kern w:val="0"/>
                <w:sz w:val="20"/>
                <w:szCs w:val="20"/>
              </w:rPr>
              <w:t>占压DN25立管、PE32引入管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2022年4月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塘山镇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徐建跃</w:t>
            </w:r>
          </w:p>
        </w:tc>
      </w:tr>
      <w:tr>
        <w:tblPrEx>
          <w:tblCellMar>
            <w:top w:w="0" w:type="dxa"/>
            <w:left w:w="108" w:type="dxa"/>
            <w:bottom w:w="0" w:type="dxa"/>
            <w:right w:w="108" w:type="dxa"/>
          </w:tblCellMar>
        </w:tblPrEx>
        <w:trPr>
          <w:trHeight w:val="240"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nc2019002</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上海北路永人村农民公寓1栋仓库占压DN150的低压</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150</w:t>
            </w:r>
          </w:p>
        </w:tc>
        <w:tc>
          <w:tcPr>
            <w:tcW w:w="1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铸铁</w:t>
            </w:r>
          </w:p>
        </w:tc>
        <w:tc>
          <w:tcPr>
            <w:tcW w:w="2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房屋占压</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kern w:val="0"/>
                <w:sz w:val="20"/>
                <w:szCs w:val="20"/>
              </w:rPr>
              <w:t>2022年8月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可铸改解除</w:t>
            </w:r>
          </w:p>
          <w:p>
            <w:pPr>
              <w:widowControl/>
              <w:jc w:val="center"/>
              <w:textAlignment w:val="center"/>
              <w:rPr>
                <w:rFonts w:ascii="宋体" w:hAnsi="宋体" w:cs="宋体"/>
                <w:kern w:val="0"/>
                <w:sz w:val="20"/>
                <w:szCs w:val="20"/>
              </w:rPr>
            </w:pPr>
            <w:r>
              <w:rPr>
                <w:rFonts w:hint="eastAsia" w:ascii="宋体" w:hAnsi="宋体" w:cs="宋体"/>
                <w:kern w:val="0"/>
                <w:sz w:val="20"/>
                <w:szCs w:val="20"/>
              </w:rPr>
              <w:t>计划内</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nc2019004</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上海路1栋2单元102室厨房压占低压燃气管dn50</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华安小区内</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4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厨房压占</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2022年8月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bl>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br w:type="page"/>
      </w:r>
    </w:p>
    <w:tbl>
      <w:tblPr>
        <w:tblStyle w:val="12"/>
        <w:tblW w:w="5175" w:type="pct"/>
        <w:jc w:val="center"/>
        <w:tblLayout w:type="fixed"/>
        <w:tblCellMar>
          <w:top w:w="0" w:type="dxa"/>
          <w:left w:w="108" w:type="dxa"/>
          <w:bottom w:w="0" w:type="dxa"/>
          <w:right w:w="108" w:type="dxa"/>
        </w:tblCellMar>
      </w:tblPr>
      <w:tblGrid>
        <w:gridCol w:w="482"/>
        <w:gridCol w:w="1113"/>
        <w:gridCol w:w="3082"/>
        <w:gridCol w:w="1240"/>
        <w:gridCol w:w="592"/>
        <w:gridCol w:w="613"/>
        <w:gridCol w:w="684"/>
        <w:gridCol w:w="820"/>
        <w:gridCol w:w="744"/>
        <w:gridCol w:w="1505"/>
        <w:gridCol w:w="1285"/>
        <w:gridCol w:w="1281"/>
        <w:gridCol w:w="1034"/>
        <w:gridCol w:w="899"/>
      </w:tblGrid>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nc2019005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上海路1栋2单元101室厨房压占低压燃气管dn50</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华安小区内</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4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厨房压占</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2022年9月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r>
        <w:tblPrEx>
          <w:tblCellMar>
            <w:top w:w="0" w:type="dxa"/>
            <w:left w:w="108" w:type="dxa"/>
            <w:bottom w:w="0" w:type="dxa"/>
            <w:right w:w="108" w:type="dxa"/>
          </w:tblCellMar>
        </w:tblPrEx>
        <w:trPr>
          <w:trHeight w:val="332" w:hRule="atLeast"/>
          <w:jc w:val="center"/>
        </w:trPr>
        <w:tc>
          <w:tcPr>
            <w:tcW w:w="1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nc2019006</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上海路1栋1单元102厨房占压低压燃气管dn50</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华安小区内</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厨房压占</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2022年9月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r>
        <w:tblPrEx>
          <w:tblCellMar>
            <w:top w:w="0" w:type="dxa"/>
            <w:left w:w="108" w:type="dxa"/>
            <w:bottom w:w="0" w:type="dxa"/>
            <w:right w:w="108" w:type="dxa"/>
          </w:tblCellMar>
        </w:tblPrEx>
        <w:trPr>
          <w:trHeight w:val="240"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nc2019007</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上海路华安内衣厂临时2栋燃气管低压dn50引入管被搭建厨房压占</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华安小区内</w:t>
            </w: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厨房压占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2022年9月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可铸改解除</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r>
        <w:tblPrEx>
          <w:tblCellMar>
            <w:top w:w="0" w:type="dxa"/>
            <w:left w:w="108" w:type="dxa"/>
            <w:bottom w:w="0" w:type="dxa"/>
            <w:right w:w="108" w:type="dxa"/>
          </w:tblCellMar>
        </w:tblPrEx>
        <w:trPr>
          <w:trHeight w:val="311"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nc2018002</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spacing w:val="-17"/>
                <w:kern w:val="0"/>
                <w:sz w:val="20"/>
                <w:szCs w:val="20"/>
              </w:rPr>
              <w:t>明轩家园9栋一单元房屋搭建压占我司一根低压楼前管，现已下发发告知单。</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外立管包封</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2022年5月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推进困难，需协调改管</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r>
        <w:tblPrEx>
          <w:tblCellMar>
            <w:top w:w="0" w:type="dxa"/>
            <w:left w:w="108" w:type="dxa"/>
            <w:bottom w:w="0" w:type="dxa"/>
            <w:right w:w="108" w:type="dxa"/>
          </w:tblCellMar>
        </w:tblPrEx>
        <w:trPr>
          <w:trHeight w:val="521"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nc2018399</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明轩花园14栋1单元101</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PE</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建筑占压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2022年10月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r>
        <w:tblPrEx>
          <w:tblCellMar>
            <w:top w:w="0" w:type="dxa"/>
            <w:left w:w="108" w:type="dxa"/>
            <w:bottom w:w="0" w:type="dxa"/>
            <w:right w:w="108" w:type="dxa"/>
          </w:tblCellMar>
        </w:tblPrEx>
        <w:trPr>
          <w:trHeight w:val="405"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nc2018400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明轩花园14栋1单元102</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PE</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建筑占压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2022年10月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nc2019008</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上海路华安新村社区10栋低压燃气管pe100埋地管被移动箱占压</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PE</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移动箱</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2022年9月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nc2017307</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李巷农民公寓综合楼北侧车棚占压</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PE</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停车棚占压燃气管道</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2022年7月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湖坊镇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陈建</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nc2018267</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城南大道京川花园5栋占压pE200低压</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PE</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建筑占压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2022年7月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高新园区</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陈铄涛</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nc2018268</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城南大道绿都丹石12栋6根</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户外立管装进客户阳台</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2022年7月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高新园区</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陈铄涛</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nc2018269</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城南大道绿都丹石23栋7根</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户外立管装进客户阳台</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2022年7月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高新园区</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陈铄涛</w:t>
            </w:r>
          </w:p>
        </w:tc>
      </w:tr>
      <w:tr>
        <w:tblPrEx>
          <w:tblCellMar>
            <w:top w:w="0" w:type="dxa"/>
            <w:left w:w="108" w:type="dxa"/>
            <w:bottom w:w="0" w:type="dxa"/>
            <w:right w:w="108" w:type="dxa"/>
          </w:tblCellMar>
        </w:tblPrEx>
        <w:trPr>
          <w:trHeight w:val="266"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nc2018270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城南大道绿都丹石26栋5根</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镀锌</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圈占</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户外立管装进客户阳台</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2022年7月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高新园区</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陈铄涛</w:t>
            </w:r>
          </w:p>
        </w:tc>
      </w:tr>
      <w:tr>
        <w:tblPrEx>
          <w:tblCellMar>
            <w:top w:w="0" w:type="dxa"/>
            <w:left w:w="108" w:type="dxa"/>
            <w:bottom w:w="0" w:type="dxa"/>
            <w:right w:w="108" w:type="dxa"/>
          </w:tblCellMar>
        </w:tblPrEx>
        <w:trPr>
          <w:trHeight w:val="20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nc2019063</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南钢小路渔阳酒楼后私房占压</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63</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PE</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压占</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建筑物压占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2022年12月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价格待商谈，推进困难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罗家镇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聂江鹏</w:t>
            </w:r>
          </w:p>
        </w:tc>
      </w:tr>
      <w:tr>
        <w:tblPrEx>
          <w:tblCellMar>
            <w:top w:w="0" w:type="dxa"/>
            <w:left w:w="108" w:type="dxa"/>
            <w:bottom w:w="0" w:type="dxa"/>
            <w:right w:w="108" w:type="dxa"/>
          </w:tblCellMar>
        </w:tblPrEx>
        <w:trPr>
          <w:trHeight w:val="429" w:hRule="atLeast"/>
          <w:jc w:val="center"/>
        </w:trPr>
        <w:tc>
          <w:tcPr>
            <w:tcW w:w="15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nc2018307</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高新大道大汉御足东面</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DN</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低压</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占压</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厨房占压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2022年8月</w:t>
            </w:r>
          </w:p>
        </w:tc>
        <w:tc>
          <w:tcPr>
            <w:tcW w:w="4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推进困难</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京东镇</w:t>
            </w:r>
          </w:p>
        </w:tc>
        <w:tc>
          <w:tcPr>
            <w:tcW w:w="2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张晓</w:t>
            </w:r>
          </w:p>
        </w:tc>
      </w:tr>
    </w:tbl>
    <w:p>
      <w:pPr>
        <w:widowControl/>
        <w:jc w:val="center"/>
        <w:textAlignment w:val="center"/>
        <w:rPr>
          <w:rFonts w:ascii="仿宋_GB2312" w:hAnsi="宋体" w:eastAsia="仿宋_GB2312" w:cs="仿宋_GB2312"/>
          <w:color w:val="000000"/>
          <w:kern w:val="0"/>
          <w:sz w:val="32"/>
          <w:szCs w:val="32"/>
        </w:rPr>
        <w:sectPr>
          <w:pgSz w:w="16838" w:h="11906" w:orient="landscape"/>
          <w:pgMar w:top="1236" w:right="1100" w:bottom="1236" w:left="1100" w:header="851" w:footer="992" w:gutter="0"/>
          <w:pgNumType w:fmt="decimal"/>
          <w:cols w:space="720" w:num="1"/>
          <w:rtlGutter w:val="0"/>
          <w:docGrid w:type="lines" w:linePitch="312" w:charSpace="0"/>
        </w:sectPr>
      </w:pPr>
    </w:p>
    <w:p>
      <w:pPr>
        <w:spacing w:line="500" w:lineRule="exact"/>
        <w:jc w:val="left"/>
        <w:rPr>
          <w:rFonts w:ascii="仿宋" w:hAnsi="仿宋" w:eastAsia="仿宋" w:cs="仿宋"/>
          <w:b/>
          <w:bCs/>
          <w:sz w:val="32"/>
          <w:szCs w:val="32"/>
        </w:rPr>
      </w:pPr>
      <w:r>
        <w:rPr>
          <w:rFonts w:hint="eastAsia" w:ascii="仿宋" w:hAnsi="仿宋" w:eastAsia="仿宋" w:cs="仿宋"/>
          <w:b/>
          <w:bCs/>
          <w:sz w:val="32"/>
          <w:szCs w:val="32"/>
        </w:rPr>
        <w:t>附件2：</w:t>
      </w:r>
    </w:p>
    <w:p>
      <w:pPr>
        <w:pStyle w:val="16"/>
        <w:spacing w:line="500" w:lineRule="exact"/>
        <w:rPr>
          <w:color w:val="auto"/>
        </w:rPr>
      </w:pPr>
    </w:p>
    <w:p>
      <w:pPr>
        <w:snapToGrid w:val="0"/>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青山湖区城镇燃气用户可燃气体安全装置</w:t>
      </w:r>
    </w:p>
    <w:p>
      <w:pPr>
        <w:snapToGrid w:val="0"/>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安装工作推进行动方案</w:t>
      </w:r>
    </w:p>
    <w:p>
      <w:pPr>
        <w:snapToGrid w:val="0"/>
        <w:spacing w:line="500" w:lineRule="exact"/>
        <w:jc w:val="center"/>
        <w:rPr>
          <w:rFonts w:ascii="黑体" w:hAnsi="黑体" w:eastAsia="黑体"/>
          <w:sz w:val="44"/>
          <w:szCs w:val="44"/>
        </w:rPr>
      </w:pP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新修订的《中华人民共和国安全生产法》（以下简称《安全生产法》），切实加强燃气用户安全管理，有效防范事故发生，全面推进我区燃气用户安装可燃气体安全装置工作，依据国务院《城镇燃气管理条例》《南昌市燃气管理条例》和《南昌市安委办关于印发南昌市城镇燃气安全排查整治工作实施方案的通知》，制定本方案。</w:t>
      </w:r>
    </w:p>
    <w:p>
      <w:pPr>
        <w:spacing w:line="600" w:lineRule="exact"/>
        <w:ind w:firstLine="640"/>
        <w:rPr>
          <w:rFonts w:ascii="黑体" w:hAnsi="黑体" w:eastAsia="黑体"/>
          <w:sz w:val="32"/>
          <w:szCs w:val="32"/>
        </w:rPr>
      </w:pPr>
      <w:r>
        <w:rPr>
          <w:rFonts w:ascii="黑体" w:hAnsi="黑体" w:eastAsia="黑体"/>
          <w:sz w:val="32"/>
          <w:szCs w:val="32"/>
        </w:rPr>
        <w:t xml:space="preserve">一、工作目标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到2022年6月底，力争全区非居民燃气（天然气、液化石油气）用户，包括使用燃气的餐饮场所、商业综合体、学校、医院、机关、企事业单位食堂等生产经营单位，全部安装可燃气体安全装置，并确保正常使用。</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鼓励居民用户安装可燃气体安全装置，特别是城中村出租房，原则上用气空间内均安装到位，力争实现居民用户可燃气体安全装置安装率明显上升，确保用气安全。</w:t>
      </w:r>
    </w:p>
    <w:p>
      <w:pPr>
        <w:spacing w:line="600" w:lineRule="exact"/>
        <w:ind w:firstLine="640"/>
        <w:rPr>
          <w:rFonts w:ascii="仿宋" w:hAnsi="仿宋" w:eastAsia="仿宋"/>
          <w:sz w:val="32"/>
          <w:szCs w:val="32"/>
        </w:rPr>
      </w:pPr>
      <w:r>
        <w:rPr>
          <w:rFonts w:ascii="黑体" w:hAnsi="黑体" w:eastAsia="黑体"/>
          <w:sz w:val="32"/>
          <w:szCs w:val="32"/>
        </w:rPr>
        <w:t>二、职责分工</w:t>
      </w:r>
      <w:r>
        <w:rPr>
          <w:rFonts w:ascii="仿宋" w:hAnsi="仿宋" w:eastAsia="仿宋"/>
          <w:sz w:val="32"/>
          <w:szCs w:val="32"/>
        </w:rPr>
        <w:t xml:space="preserve"> </w:t>
      </w:r>
    </w:p>
    <w:p>
      <w:pPr>
        <w:spacing w:line="600" w:lineRule="exact"/>
        <w:ind w:firstLine="640"/>
        <w:rPr>
          <w:rFonts w:ascii="仿宋" w:hAnsi="仿宋" w:eastAsia="仿宋" w:cs="仿宋"/>
          <w:sz w:val="32"/>
          <w:szCs w:val="32"/>
        </w:rPr>
      </w:pPr>
      <w:r>
        <w:rPr>
          <w:rFonts w:hint="eastAsia" w:ascii="仿宋_GB2312" w:hAnsi="仿宋_GB2312" w:eastAsia="仿宋_GB2312" w:cs="仿宋_GB2312"/>
          <w:sz w:val="32"/>
          <w:szCs w:val="32"/>
        </w:rPr>
        <w:t>按照“三管三必须”原则，区直各有关行业监管部门，各镇街（园区）齐抓共管，共同推进可燃气体安全装置安装工作。对未安装的，由负有安全监管部门责令限期改正，并依照相关法律法规责成燃气经营企业不予供气。对拒不按规定安装的，由负有安全生产监督管理职责的部门依据《安全生产法》第九十九条进行处罚。不具有行政处罚权的行业主管部门，由区城市管理和执法局会同行业主管部门实施处罚。</w:t>
      </w:r>
    </w:p>
    <w:p>
      <w:pPr>
        <w:spacing w:line="60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（一）部门管理责任</w:t>
      </w:r>
    </w:p>
    <w:p>
      <w:pPr>
        <w:spacing w:line="600" w:lineRule="exact"/>
        <w:ind w:firstLine="640"/>
        <w:rPr>
          <w:rFonts w:ascii="仿宋_GB2312" w:hAnsi="仿宋_GB2312" w:eastAsia="仿宋_GB2312" w:cs="仿宋_GB2312"/>
          <w:sz w:val="32"/>
          <w:szCs w:val="32"/>
        </w:rPr>
      </w:pPr>
      <w:r>
        <w:rPr>
          <w:rFonts w:hint="eastAsia" w:ascii="楷体" w:hAnsi="楷体" w:eastAsia="楷体"/>
          <w:b/>
          <w:bCs/>
          <w:sz w:val="32"/>
          <w:szCs w:val="32"/>
        </w:rPr>
        <w:t>区城管和执法</w:t>
      </w:r>
      <w:r>
        <w:rPr>
          <w:rFonts w:ascii="楷体" w:hAnsi="楷体" w:eastAsia="楷体"/>
          <w:b/>
          <w:bCs/>
          <w:sz w:val="32"/>
          <w:szCs w:val="32"/>
        </w:rPr>
        <w:t>局：</w:t>
      </w:r>
      <w:r>
        <w:rPr>
          <w:rFonts w:hint="eastAsia" w:ascii="仿宋_GB2312" w:hAnsi="仿宋_GB2312" w:eastAsia="仿宋_GB2312" w:cs="仿宋_GB2312"/>
          <w:sz w:val="32"/>
          <w:szCs w:val="32"/>
        </w:rPr>
        <w:t>负责统筹推进可燃气体安全装置安装工作，定期督查并通报进展情况，推动工作落实。负责向加气站、液化气经营等职责范围内的企业印发《非居民燃气用户可燃气体安全装置安装公告》（见附件，以下简称《公告》），宣传发动并督促其安装可燃气体安全装置。督促指导燃气供应企业对未按规定安装可燃气体安全装置、燃气设施存在安全隐患的生产经营单位停止供气。对拒不按规定安装可燃气体安全装置的生产经营单位，会同依照《安全生产法》第九十九条规定进行处罚。</w:t>
      </w:r>
    </w:p>
    <w:p>
      <w:pPr>
        <w:spacing w:line="600" w:lineRule="exact"/>
        <w:ind w:firstLine="640"/>
        <w:rPr>
          <w:rFonts w:ascii="仿宋_GB2312" w:hAnsi="仿宋_GB2312" w:eastAsia="仿宋_GB2312" w:cs="仿宋_GB2312"/>
          <w:sz w:val="32"/>
          <w:szCs w:val="32"/>
        </w:rPr>
      </w:pPr>
      <w:r>
        <w:rPr>
          <w:rFonts w:hint="eastAsia" w:ascii="楷体" w:hAnsi="楷体" w:eastAsia="楷体"/>
          <w:b/>
          <w:bCs/>
          <w:sz w:val="32"/>
          <w:szCs w:val="32"/>
        </w:rPr>
        <w:t>区教体局、区民政局、区卫健委：</w:t>
      </w:r>
      <w:r>
        <w:rPr>
          <w:rFonts w:hint="eastAsia" w:ascii="仿宋_GB2312" w:hAnsi="仿宋_GB2312" w:eastAsia="仿宋_GB2312" w:cs="仿宋_GB2312"/>
          <w:sz w:val="32"/>
          <w:szCs w:val="32"/>
        </w:rPr>
        <w:t>分别负责向职责范围内的学校和校外培训机构、养老和社会福利机构、医疗机构印发《公告》，宣传发动并督促使用燃气的食堂安装可燃气体安全装置，并保障其正常使用。</w:t>
      </w:r>
    </w:p>
    <w:p>
      <w:pPr>
        <w:spacing w:line="600" w:lineRule="exact"/>
        <w:ind w:firstLine="640"/>
        <w:rPr>
          <w:rFonts w:ascii="仿宋_GB2312" w:hAnsi="仿宋_GB2312" w:eastAsia="仿宋_GB2312" w:cs="仿宋_GB2312"/>
          <w:bCs/>
          <w:sz w:val="32"/>
        </w:rPr>
      </w:pPr>
      <w:r>
        <w:rPr>
          <w:rFonts w:hint="eastAsia" w:ascii="楷体" w:hAnsi="楷体" w:eastAsia="楷体"/>
          <w:b/>
          <w:bCs/>
          <w:sz w:val="32"/>
          <w:szCs w:val="32"/>
        </w:rPr>
        <w:t>区住建局：</w:t>
      </w:r>
      <w:r>
        <w:rPr>
          <w:rFonts w:hint="eastAsia" w:ascii="仿宋_GB2312" w:hAnsi="仿宋_GB2312" w:eastAsia="仿宋_GB2312" w:cs="仿宋_GB2312"/>
          <w:bCs/>
          <w:sz w:val="32"/>
        </w:rPr>
        <w:t>负责向青山湖区在建工地食堂印发《公告》，各相关镇、街道、园区配合进行检查，并督促其加装燃气安全装置。</w:t>
      </w:r>
    </w:p>
    <w:p>
      <w:pPr>
        <w:spacing w:line="600" w:lineRule="exact"/>
        <w:ind w:firstLine="640"/>
        <w:rPr>
          <w:rFonts w:ascii="仿宋_GB2312" w:hAnsi="仿宋_GB2312" w:eastAsia="仿宋_GB2312" w:cs="仿宋_GB2312"/>
          <w:sz w:val="32"/>
        </w:rPr>
      </w:pPr>
      <w:r>
        <w:rPr>
          <w:rFonts w:hint="eastAsia" w:ascii="楷体" w:hAnsi="楷体" w:eastAsia="楷体"/>
          <w:b/>
          <w:bCs/>
          <w:sz w:val="32"/>
          <w:szCs w:val="32"/>
        </w:rPr>
        <w:t>区商务局：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rPr>
        <w:t>向餐饮商户印发《公告》</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并负责辖区内餐饮商户按照有关要求安装使用可燃气体安全装置，督促其开展燃气使用安全自查工作，配合有关部门开展安全排查整治行动，保障安全装置正常使用，主动消除隐患。</w:t>
      </w:r>
    </w:p>
    <w:p>
      <w:pPr>
        <w:spacing w:line="600" w:lineRule="exact"/>
        <w:ind w:firstLine="640"/>
        <w:rPr>
          <w:rFonts w:hint="eastAsia" w:ascii="仿宋_GB2312" w:hAnsi="仿宋_GB2312" w:eastAsia="仿宋_GB2312" w:cs="仿宋_GB2312"/>
          <w:sz w:val="32"/>
          <w:szCs w:val="32"/>
        </w:rPr>
      </w:pPr>
      <w:r>
        <w:rPr>
          <w:rFonts w:hint="eastAsia" w:ascii="楷体" w:hAnsi="楷体" w:eastAsia="楷体"/>
          <w:b/>
          <w:bCs/>
          <w:sz w:val="32"/>
          <w:szCs w:val="32"/>
        </w:rPr>
        <w:t>区文广新旅局：</w:t>
      </w:r>
      <w:r>
        <w:rPr>
          <w:rFonts w:hint="eastAsia" w:ascii="仿宋_GB2312" w:hAnsi="仿宋_GB2312" w:eastAsia="仿宋_GB2312" w:cs="仿宋_GB2312"/>
          <w:sz w:val="32"/>
          <w:szCs w:val="32"/>
        </w:rPr>
        <w:t>三星级</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以上的由区文广新旅局牵头，三星级以下的由各镇、街办、园区分别牵头，区市场监管局、区消防救援大队、青山湖公安分局等相关职能部门配合，督促全区宾馆、旅馆落实加装燃气安全装置。</w:t>
      </w:r>
    </w:p>
    <w:p>
      <w:pPr>
        <w:spacing w:line="600" w:lineRule="exact"/>
        <w:ind w:firstLine="627" w:firstLineChars="200"/>
        <w:rPr>
          <w:rFonts w:ascii="仿宋_GB2312" w:hAnsi="仿宋_GB2312" w:eastAsia="仿宋_GB2312" w:cs="仿宋_GB2312"/>
          <w:sz w:val="32"/>
          <w:szCs w:val="32"/>
        </w:rPr>
      </w:pPr>
      <w:r>
        <w:rPr>
          <w:rFonts w:hint="eastAsia" w:ascii="楷体" w:hAnsi="楷体" w:eastAsia="楷体"/>
          <w:b/>
          <w:bCs/>
          <w:sz w:val="32"/>
          <w:szCs w:val="32"/>
        </w:rPr>
        <w:t>区应急局：</w:t>
      </w:r>
      <w:r>
        <w:rPr>
          <w:rFonts w:hint="eastAsia" w:ascii="仿宋_GB2312" w:hAnsi="仿宋_GB2312" w:eastAsia="仿宋_GB2312" w:cs="仿宋_GB2312"/>
          <w:sz w:val="32"/>
          <w:szCs w:val="32"/>
        </w:rPr>
        <w:t>协助燃气主管部门开展可燃气体安全装置安装工作的综合协调，会同区城管和执法局适时组织召开推进会，协助解决难点问题。负责起草《公告》，协调区属媒体和区安委会各成员单位利用各类平台广泛开展宣传。负责向使用燃气的危险化学品生产企业、金属冶炼企业印发《公告》，宣传发动并督促其安装可燃气体安全装置。</w:t>
      </w:r>
    </w:p>
    <w:p>
      <w:pPr>
        <w:spacing w:line="600" w:lineRule="exact"/>
        <w:ind w:firstLine="640"/>
        <w:rPr>
          <w:rFonts w:ascii="仿宋" w:hAnsi="仿宋" w:eastAsia="仿宋"/>
          <w:sz w:val="32"/>
          <w:szCs w:val="32"/>
        </w:rPr>
      </w:pPr>
      <w:r>
        <w:rPr>
          <w:rFonts w:hint="eastAsia" w:ascii="楷体" w:hAnsi="楷体" w:eastAsia="楷体"/>
          <w:b/>
          <w:bCs/>
          <w:sz w:val="32"/>
          <w:szCs w:val="32"/>
        </w:rPr>
        <w:t>区市场监管局：</w:t>
      </w:r>
      <w:r>
        <w:rPr>
          <w:rFonts w:hint="eastAsia" w:ascii="仿宋_GB2312" w:hAnsi="仿宋_GB2312" w:eastAsia="仿宋_GB2312" w:cs="仿宋_GB2312"/>
          <w:sz w:val="32"/>
          <w:szCs w:val="32"/>
        </w:rPr>
        <w:t xml:space="preserve">负责加强对燃气燃烧器具、软管、减压阀、可燃气体安全装置产品质量的监管，坚决杜绝“三无”和假冒伪劣产品在我区流通。组织基层市场监管部门配合做好宣传、督促工作。 </w:t>
      </w:r>
    </w:p>
    <w:p>
      <w:pPr>
        <w:spacing w:line="600" w:lineRule="exact"/>
        <w:ind w:firstLine="640"/>
        <w:rPr>
          <w:rFonts w:ascii="仿宋_GB2312" w:hAnsi="仿宋_GB2312" w:eastAsia="仿宋_GB2312" w:cs="仿宋_GB2312"/>
          <w:sz w:val="32"/>
          <w:szCs w:val="32"/>
        </w:rPr>
      </w:pPr>
      <w:r>
        <w:rPr>
          <w:rFonts w:hint="eastAsia" w:ascii="楷体" w:hAnsi="楷体" w:eastAsia="楷体"/>
          <w:b/>
          <w:bCs/>
          <w:sz w:val="32"/>
          <w:szCs w:val="32"/>
        </w:rPr>
        <w:t>区机关事务管理局：</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区政府内食堂的燃气安全装置的加装</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，未在区政府办公的区直机关单位由各单位自行督促落实食堂加装燃气安全装置。</w:t>
      </w:r>
    </w:p>
    <w:p>
      <w:pPr>
        <w:pStyle w:val="11"/>
        <w:spacing w:line="600" w:lineRule="exact"/>
        <w:ind w:firstLine="627" w:firstLineChars="200"/>
        <w:rPr>
          <w:rFonts w:ascii="仿宋_GB2312" w:hAnsi="仿宋_GB2312" w:eastAsia="仿宋_GB2312" w:cs="仿宋_GB2312"/>
          <w:b w:val="0"/>
          <w:bCs w:val="0"/>
          <w:sz w:val="32"/>
          <w:szCs w:val="32"/>
        </w:rPr>
      </w:pPr>
      <w:r>
        <w:rPr>
          <w:rFonts w:hint="eastAsia" w:ascii="楷体" w:hAnsi="楷体" w:eastAsia="楷体" w:cs="Times New Roman"/>
          <w:b/>
          <w:bCs/>
          <w:spacing w:val="-4"/>
          <w:kern w:val="2"/>
          <w:sz w:val="32"/>
          <w:szCs w:val="32"/>
          <w:lang w:val="en-US" w:eastAsia="zh-CN" w:bidi="ar-SA"/>
        </w:rPr>
        <w:t>区消防救援大队:</w:t>
      </w:r>
      <w:r>
        <w:rPr>
          <w:rFonts w:hint="eastAsia" w:ascii="仿宋_GB2312" w:hAnsi="仿宋_GB2312" w:eastAsia="仿宋_GB2312" w:cs="仿宋_GB2312"/>
          <w:b w:val="0"/>
          <w:bCs w:val="0"/>
          <w:sz w:val="32"/>
          <w:szCs w:val="32"/>
        </w:rPr>
        <w:t>负责会同有关部门对城镇燃气企业遵守消防法律、法规的情况依法进行监督检查。组织和指挥城镇燃气火灾事故扑救工作，参加其它燃气灾害事故的应急救援处置。</w:t>
      </w:r>
    </w:p>
    <w:p>
      <w:pPr>
        <w:spacing w:line="60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（二）属地管理责任</w:t>
      </w:r>
    </w:p>
    <w:p>
      <w:pPr>
        <w:spacing w:line="600" w:lineRule="exact"/>
        <w:ind w:firstLine="640"/>
        <w:rPr>
          <w:rFonts w:ascii="仿宋_GB2312" w:hAnsi="仿宋_GB2312" w:eastAsia="仿宋_GB2312" w:cs="仿宋_GB2312"/>
          <w:sz w:val="32"/>
          <w:szCs w:val="32"/>
        </w:rPr>
      </w:pPr>
      <w:r>
        <w:rPr>
          <w:rFonts w:hint="eastAsia" w:ascii="楷体" w:hAnsi="楷体" w:eastAsia="楷体"/>
          <w:b/>
          <w:bCs/>
          <w:sz w:val="32"/>
          <w:szCs w:val="32"/>
        </w:rPr>
        <w:t>各镇街（园区）</w:t>
      </w:r>
      <w:r>
        <w:rPr>
          <w:rFonts w:ascii="楷体" w:hAnsi="楷体" w:eastAsia="楷体"/>
          <w:b/>
          <w:bCs/>
          <w:sz w:val="32"/>
          <w:szCs w:val="32"/>
        </w:rPr>
        <w:t>：</w:t>
      </w:r>
      <w:r>
        <w:rPr>
          <w:rFonts w:hint="eastAsia" w:ascii="仿宋_GB2312" w:hAnsi="仿宋_GB2312" w:eastAsia="仿宋_GB2312" w:cs="仿宋_GB2312"/>
          <w:sz w:val="32"/>
          <w:szCs w:val="32"/>
        </w:rPr>
        <w:t>负责本辖区餐饮等非居民燃气用户安装可燃气体安全装置工作，组织开展排查摸底、宣传动员和联合执法检查行动，对未按规定安装可燃气体安全装置等违法行为，依法进行查处。负责居民用户可燃气体安全装置安装宣传工作，鼓励居民用户安装可燃气体安全装置。</w:t>
      </w:r>
    </w:p>
    <w:p>
      <w:pPr>
        <w:spacing w:line="60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（三）非居民燃气用气场所主体责任</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餐饮等行业生产经营单位主要负责人是本单位安全生产第一责任人，对用气安全全面负责。餐饮等行业生产经营单位应当遵守安全生产相关法律法规，建立健全燃气安全管理制度，对燃气操作维护人员进行安全教育和培训，使其掌握本岗位的安全操作技能和燃气安全使用知识。要加强日常安全检查，做好安全隐患自查自纠。按照法律法规规定主动安装可燃气体安全装置，并进行经常性维护和保养，定期进行监测，保证其正常使用。</w:t>
      </w:r>
    </w:p>
    <w:p>
      <w:pPr>
        <w:spacing w:line="60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（四）燃气企业职责</w:t>
      </w:r>
    </w:p>
    <w:p>
      <w:pPr>
        <w:spacing w:line="600" w:lineRule="exact"/>
        <w:ind w:firstLine="640"/>
        <w:rPr>
          <w:rFonts w:ascii="仿宋" w:hAnsi="仿宋" w:eastAsia="仿宋"/>
          <w:sz w:val="32"/>
          <w:szCs w:val="32"/>
        </w:rPr>
      </w:pPr>
      <w:r>
        <w:rPr>
          <w:rFonts w:hint="eastAsia" w:ascii="仿宋_GB2312" w:hAnsi="仿宋_GB2312" w:eastAsia="仿宋_GB2312" w:cs="仿宋_GB2312"/>
          <w:sz w:val="32"/>
          <w:szCs w:val="32"/>
        </w:rPr>
        <w:t>负责对非居民用户选购和安装可燃气体安全装置的指导和支持，确保符合相关标准要求，但严禁指定用户安装具体品牌、型号的装置。积极主动开展用户燃气使用安全检查、上门服务、设施维修（更换输气软管）等，对没有按时安装到位的非居民用户，在确保安全的情况下依法采取停止供气措施，并报告燃气管理主管部门。</w:t>
      </w:r>
    </w:p>
    <w:p>
      <w:pPr>
        <w:spacing w:line="600" w:lineRule="exact"/>
        <w:ind w:firstLine="64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 xml:space="preserve">、工作步骤 </w:t>
      </w:r>
    </w:p>
    <w:p>
      <w:pPr>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（一）宣传发动阶段（2月20日前）。</w:t>
      </w:r>
      <w:r>
        <w:rPr>
          <w:rFonts w:hint="eastAsia" w:ascii="仿宋_GB2312" w:hAnsi="仿宋_GB2312" w:eastAsia="仿宋_GB2312" w:cs="仿宋_GB2312"/>
          <w:sz w:val="32"/>
          <w:szCs w:val="32"/>
        </w:rPr>
        <w:t xml:space="preserve">区新闻媒体和各镇街（园区）充分运用本级各类媒体平台，各级各部门运用本单位网站、微信公众号等广泛发布《可燃气体安全装置安装公告》。各镇街（园区）组织有关行业主管部门、村（社区）等基层单位通过辖区商户微信群等，广泛转发《公告》和燃气安全知识，在辖区公共宣传栏、公告栏张贴《公告》。结合宣传工作，进一步摸排本辖区、本行业领域内餐饮等非居民用户使用燃气情况，做好登记建账工作，做到全覆盖、无遗漏、底数清、情况明。 </w:t>
      </w:r>
    </w:p>
    <w:p>
      <w:pPr>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（二）安装检查阶段（2月21日至4月15日）。</w:t>
      </w:r>
      <w:r>
        <w:rPr>
          <w:rFonts w:hint="eastAsia" w:ascii="仿宋_GB2312" w:hAnsi="仿宋_GB2312" w:eastAsia="仿宋_GB2312" w:cs="仿宋_GB2312"/>
          <w:sz w:val="32"/>
          <w:szCs w:val="32"/>
        </w:rPr>
        <w:t>各行业主管部门督促指导餐饮等非居民燃气用户，按照《家用和小型餐饮厨房用燃气安全器及传感器》（GB/T34004—2017）和《城镇燃气安全控制系统技术规程》（CJJT146—2011）相关技术规范要求，主动购买安装可燃气体安全装置，并保障其正常使用。小型餐饮厨房安装的安全器应具备泄漏安全和自动切断功能。同时，督促做好燃气设施、燃气燃烧器具的维护、更新，全环节消除燃气安全隐患。各有关部门组织对本辖区、本行业领域使用燃气的生产经营单位开展专项检查，监督其安装使用可燃气体安全装置，并建立可燃气体安全装置安装情况台账。</w:t>
      </w:r>
    </w:p>
    <w:p>
      <w:pPr>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（三）整治提升阶段（4月16日至6月底）。</w:t>
      </w:r>
      <w:r>
        <w:rPr>
          <w:rFonts w:hint="eastAsia" w:ascii="仿宋_GB2312" w:hAnsi="仿宋_GB2312" w:eastAsia="仿宋_GB2312" w:cs="仿宋_GB2312"/>
          <w:sz w:val="32"/>
          <w:szCs w:val="32"/>
        </w:rPr>
        <w:t>城市管理、应急、商务、市场监管、消防救援等相关部门在全区范围内开展联合执法检查，对未安装可燃气体安全装置的，由城市管理部门责令限期改正，依照相关法律法规责成燃气经营企业不予供气。对逾期仍未安装的，由应急部门依据《安全生产法》第九十九条进行处罚；情节严重的，责令停产停业整顿；构成犯罪的，依照刑法有关规定追究刑事责任。同时，要协调媒体加大对典型案例的曝光力度，形成有力震慑。</w:t>
      </w:r>
    </w:p>
    <w:p>
      <w:pPr>
        <w:spacing w:line="600" w:lineRule="exact"/>
        <w:ind w:firstLine="640"/>
        <w:rPr>
          <w:rFonts w:ascii="楷体" w:hAnsi="楷体" w:eastAsia="楷体"/>
          <w:sz w:val="32"/>
          <w:szCs w:val="32"/>
        </w:rPr>
      </w:pPr>
      <w:r>
        <w:rPr>
          <w:rFonts w:hint="eastAsia" w:ascii="楷体_GB2312" w:hAnsi="楷体_GB2312" w:eastAsia="楷体_GB2312" w:cs="楷体_GB2312"/>
          <w:b/>
          <w:bCs/>
          <w:sz w:val="32"/>
          <w:szCs w:val="32"/>
        </w:rPr>
        <w:t>（四）督导检查阶段（7月-9月底）。</w:t>
      </w:r>
      <w:r>
        <w:rPr>
          <w:rFonts w:hint="eastAsia" w:ascii="仿宋_GB2312" w:hAnsi="仿宋_GB2312" w:eastAsia="仿宋_GB2312" w:cs="仿宋_GB2312"/>
          <w:sz w:val="32"/>
          <w:szCs w:val="32"/>
        </w:rPr>
        <w:t>各相关行业主管部门针对本行业领域内使用燃气经营单位自主开展可燃气体安全装置专项检查。对已经安装的要全面检查使用状况，安全装置必须符合国家及行业标准，产品质量可靠，坚决杜绝安装“三无”和假冒伪劣产品，切实保障可燃气体安全装置能够正常使用。</w:t>
      </w:r>
    </w:p>
    <w:p>
      <w:pPr>
        <w:spacing w:line="600" w:lineRule="exact"/>
        <w:ind w:firstLine="64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、工作要求</w:t>
      </w:r>
      <w:r>
        <w:rPr>
          <w:rFonts w:ascii="仿宋" w:hAnsi="仿宋" w:eastAsia="仿宋"/>
          <w:sz w:val="32"/>
          <w:szCs w:val="32"/>
        </w:rPr>
        <w:t xml:space="preserve"> </w:t>
      </w:r>
    </w:p>
    <w:p>
      <w:pPr>
        <w:spacing w:line="600" w:lineRule="exact"/>
        <w:ind w:firstLine="640"/>
        <w:rPr>
          <w:rFonts w:ascii="仿宋_GB2312" w:hAnsi="仿宋_GB2312" w:eastAsia="仿宋_GB2312" w:cs="仿宋_GB2312"/>
          <w:sz w:val="32"/>
          <w:szCs w:val="32"/>
        </w:rPr>
      </w:pPr>
      <w:r>
        <w:rPr>
          <w:rFonts w:ascii="楷体" w:hAnsi="楷体" w:eastAsia="楷体"/>
          <w:b/>
          <w:bCs/>
          <w:sz w:val="32"/>
          <w:szCs w:val="32"/>
        </w:rPr>
        <w:t>（一）强化组织领导，周密安排部署。</w:t>
      </w:r>
      <w:r>
        <w:rPr>
          <w:rFonts w:hint="eastAsia" w:ascii="仿宋_GB2312" w:hAnsi="仿宋_GB2312" w:eastAsia="仿宋_GB2312" w:cs="仿宋_GB2312"/>
          <w:sz w:val="32"/>
          <w:szCs w:val="32"/>
        </w:rPr>
        <w:t>各相关行业主管部门要严格按照“三个必须”的要求，压紧压实属地监管责任和行业监管责任，细化制定具体的落实措施，责任落实到人，按照时间节点有序推进，确保工作取得实效。</w:t>
      </w:r>
    </w:p>
    <w:p>
      <w:pPr>
        <w:spacing w:line="600" w:lineRule="exact"/>
        <w:ind w:firstLine="640"/>
        <w:rPr>
          <w:rFonts w:ascii="仿宋" w:hAnsi="仿宋" w:eastAsia="仿宋"/>
          <w:sz w:val="32"/>
          <w:szCs w:val="32"/>
        </w:rPr>
      </w:pPr>
      <w:r>
        <w:rPr>
          <w:rFonts w:ascii="楷体" w:hAnsi="楷体" w:eastAsia="楷体"/>
          <w:b/>
          <w:bCs/>
          <w:sz w:val="32"/>
          <w:szCs w:val="32"/>
        </w:rPr>
        <w:t>（二）严格监管检查，强化风险防控。</w:t>
      </w:r>
      <w:r>
        <w:rPr>
          <w:rFonts w:hint="eastAsia" w:ascii="仿宋_GB2312" w:hAnsi="仿宋_GB2312" w:eastAsia="仿宋_GB2312" w:cs="仿宋_GB2312"/>
          <w:sz w:val="32"/>
          <w:szCs w:val="32"/>
        </w:rPr>
        <w:t>各相关行业主管部门要组织执法检查人员深入学习《安全生产法》，要严格按照《安全生产法》的相关要求，规范执法检查行为，督促餐饮等非居民燃气用户整改落实到位，对拒不整改安全隐患的，要依法从严查处。</w:t>
      </w:r>
    </w:p>
    <w:p>
      <w:pPr>
        <w:spacing w:line="600" w:lineRule="exact"/>
        <w:ind w:firstLine="640"/>
      </w:pPr>
      <w:r>
        <w:rPr>
          <w:rFonts w:ascii="楷体" w:hAnsi="楷体" w:eastAsia="楷体"/>
          <w:b/>
          <w:bCs/>
          <w:sz w:val="32"/>
          <w:szCs w:val="32"/>
        </w:rPr>
        <w:t>（三）广泛宣传培训，提高安全意识。</w:t>
      </w:r>
      <w:r>
        <w:rPr>
          <w:rFonts w:hint="eastAsia" w:ascii="仿宋_GB2312" w:hAnsi="仿宋_GB2312" w:eastAsia="仿宋_GB2312" w:cs="仿宋_GB2312"/>
          <w:sz w:val="32"/>
          <w:szCs w:val="32"/>
        </w:rPr>
        <w:t>要持续加大对燃气事故防范工作的宣传力度，深入开展好燃气规范使用、可燃气体安全装置使用等安全知识宣传教育，燃气企业要加强燃气使用安全宣传，深入燃气使用单位协助开展安全检查，排查治理燃气使用安全隐患，指导燃气使用单位正确安装和定期检查、保养可燃气体安全装置，保障安全装置正常使用。</w:t>
      </w:r>
    </w:p>
    <w:p>
      <w:pPr>
        <w:spacing w:line="500" w:lineRule="exact"/>
        <w:ind w:firstLine="640"/>
        <w:rPr>
          <w:rFonts w:ascii="仿宋" w:hAnsi="仿宋" w:eastAsia="仿宋"/>
          <w:sz w:val="32"/>
          <w:szCs w:val="32"/>
        </w:rPr>
      </w:pPr>
    </w:p>
    <w:p>
      <w:pPr>
        <w:spacing w:line="500" w:lineRule="exact"/>
        <w:ind w:firstLine="640"/>
        <w:rPr>
          <w:rFonts w:ascii="仿宋_GB2312" w:hAnsi="仿宋_GB2312" w:eastAsia="仿宋_GB2312" w:cs="仿宋_GB2312"/>
          <w:sz w:val="32"/>
          <w:szCs w:val="32"/>
        </w:rPr>
      </w:pPr>
      <w:r>
        <w:rPr>
          <w:rFonts w:ascii="仿宋" w:hAnsi="仿宋" w:eastAsia="仿宋"/>
          <w:sz w:val="32"/>
          <w:szCs w:val="32"/>
        </w:rPr>
        <w:t>附件</w:t>
      </w:r>
      <w:r>
        <w:rPr>
          <w:rFonts w:hint="eastAsia" w:ascii="仿宋" w:hAnsi="仿宋" w:eastAsia="仿宋" w:cs="仿宋"/>
          <w:sz w:val="32"/>
          <w:szCs w:val="32"/>
        </w:rPr>
        <w:t>2.1</w:t>
      </w:r>
      <w:r>
        <w:rPr>
          <w:rFonts w:ascii="仿宋" w:hAnsi="仿宋" w:eastAsia="仿宋"/>
          <w:sz w:val="32"/>
          <w:szCs w:val="32"/>
        </w:rPr>
        <w:t>：</w:t>
      </w:r>
      <w:r>
        <w:rPr>
          <w:rFonts w:hint="eastAsia" w:ascii="仿宋_GB2312" w:hAnsi="仿宋_GB2312" w:eastAsia="仿宋_GB2312" w:cs="仿宋_GB2312"/>
          <w:sz w:val="32"/>
          <w:szCs w:val="32"/>
        </w:rPr>
        <w:t>非居民燃气用户可燃气体安全装置安装公告</w:t>
      </w:r>
    </w:p>
    <w:p>
      <w:pPr>
        <w:widowControl/>
        <w:spacing w:line="500" w:lineRule="exact"/>
        <w:jc w:val="left"/>
        <w:rPr>
          <w:rFonts w:ascii="仿宋" w:hAnsi="仿宋" w:eastAsia="仿宋" w:cs="仿宋"/>
          <w:sz w:val="32"/>
          <w:szCs w:val="32"/>
        </w:rPr>
      </w:pPr>
      <w:r>
        <w:rPr>
          <w:rFonts w:ascii="仿宋" w:hAnsi="仿宋" w:eastAsia="仿宋"/>
          <w:sz w:val="32"/>
          <w:szCs w:val="32"/>
        </w:rPr>
        <w:br w:type="page"/>
      </w:r>
      <w:r>
        <w:rPr>
          <w:rFonts w:hint="eastAsia" w:ascii="仿宋" w:hAnsi="仿宋" w:eastAsia="仿宋" w:cs="仿宋"/>
          <w:sz w:val="32"/>
          <w:szCs w:val="32"/>
        </w:rPr>
        <w:t>附件</w:t>
      </w:r>
      <w:r>
        <w:rPr>
          <w:rFonts w:hint="eastAsia" w:ascii="仿宋" w:hAnsi="仿宋" w:cs="仿宋"/>
          <w:sz w:val="32"/>
          <w:szCs w:val="32"/>
          <w:lang w:eastAsia="zh-CN"/>
        </w:rPr>
        <w:t>：</w:t>
      </w:r>
      <w:r>
        <w:rPr>
          <w:rFonts w:hint="eastAsia" w:ascii="仿宋" w:hAnsi="仿宋" w:eastAsia="仿宋" w:cs="仿宋"/>
          <w:sz w:val="32"/>
          <w:szCs w:val="32"/>
        </w:rPr>
        <w:t>2.1</w:t>
      </w:r>
    </w:p>
    <w:p>
      <w:pPr>
        <w:spacing w:line="500" w:lineRule="exact"/>
        <w:jc w:val="center"/>
        <w:rPr>
          <w:rFonts w:ascii="黑体" w:hAnsi="黑体" w:eastAsia="黑体"/>
          <w:sz w:val="36"/>
          <w:szCs w:val="36"/>
        </w:rPr>
      </w:pP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非居民燃气用户可燃气体安全装置安装公告</w:t>
      </w:r>
    </w:p>
    <w:p>
      <w:pPr>
        <w:spacing w:line="500" w:lineRule="exact"/>
        <w:rPr>
          <w:rFonts w:hint="eastAsia" w:ascii="楷体" w:hAnsi="楷体" w:eastAsia="楷体" w:cs="仿宋"/>
          <w:b/>
          <w:bCs/>
          <w:sz w:val="32"/>
          <w:szCs w:val="32"/>
        </w:rPr>
      </w:pPr>
    </w:p>
    <w:p>
      <w:pPr>
        <w:spacing w:line="500" w:lineRule="exact"/>
        <w:rPr>
          <w:rFonts w:ascii="楷体" w:hAnsi="楷体" w:eastAsia="楷体" w:cs="仿宋"/>
          <w:b/>
          <w:bCs/>
          <w:sz w:val="32"/>
          <w:szCs w:val="32"/>
        </w:rPr>
      </w:pPr>
      <w:r>
        <w:rPr>
          <w:rFonts w:hint="eastAsia" w:ascii="楷体" w:hAnsi="楷体" w:eastAsia="楷体" w:cs="仿宋"/>
          <w:b/>
          <w:bCs/>
          <w:sz w:val="32"/>
          <w:szCs w:val="32"/>
        </w:rPr>
        <w:t>全区非居民燃气用户及有关单位：</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燃气安全与广大人民群众生产、生活息息相关，是关系社会稳定的一件大事。近年来全国燃气爆炸事故频发，教训十分惨痛。为深刻吸取湖北十堰“6·13”、辽宁大连“9·10”、辽宁沈阳“10·21”等燃气爆炸事故教训，贯彻落实新修订的《中华人民共和国安全生产法》（以下简称《安全生产法》）要求，为广大人民群众生命财产安全和生产经营单位健康有序发展提供安全保障，现就我区餐饮等行业非居民燃气用户安装使用可燃气体安全装置作如下公告：</w:t>
      </w:r>
    </w:p>
    <w:p>
      <w:pPr>
        <w:spacing w:line="500" w:lineRule="exact"/>
        <w:ind w:firstLine="640"/>
        <w:rPr>
          <w:rFonts w:ascii="仿宋" w:hAnsi="仿宋" w:eastAsia="仿宋" w:cs="仿宋"/>
          <w:sz w:val="32"/>
          <w:szCs w:val="32"/>
        </w:rPr>
      </w:pPr>
      <w:r>
        <w:rPr>
          <w:rFonts w:hint="eastAsia" w:ascii="黑体" w:hAnsi="黑体" w:eastAsia="黑体" w:cs="黑体"/>
          <w:sz w:val="32"/>
          <w:szCs w:val="32"/>
        </w:rPr>
        <w:t>一、安装对象：</w:t>
      </w:r>
      <w:r>
        <w:rPr>
          <w:rFonts w:hint="eastAsia" w:ascii="仿宋" w:hAnsi="仿宋" w:eastAsia="仿宋" w:cs="仿宋"/>
          <w:sz w:val="32"/>
          <w:szCs w:val="32"/>
        </w:rPr>
        <w:t>全区餐饮等行业非居民用户使用燃气（天然气、液化石油气）的场所，包括使用燃气的酒店、商场、学校、医院、单位食堂等用气等场所应全面安装；居民用户鼓励安装。</w:t>
      </w:r>
    </w:p>
    <w:p>
      <w:pPr>
        <w:spacing w:line="500" w:lineRule="exact"/>
        <w:ind w:firstLine="640"/>
        <w:rPr>
          <w:rFonts w:ascii="仿宋" w:hAnsi="仿宋" w:eastAsia="仿宋" w:cs="仿宋"/>
          <w:sz w:val="32"/>
          <w:szCs w:val="32"/>
        </w:rPr>
      </w:pPr>
      <w:r>
        <w:rPr>
          <w:rFonts w:hint="eastAsia" w:ascii="黑体" w:hAnsi="黑体" w:eastAsia="黑体" w:cs="黑体"/>
          <w:sz w:val="32"/>
          <w:szCs w:val="32"/>
        </w:rPr>
        <w:t>二、安全装置的选型和安装技术要求：</w:t>
      </w:r>
      <w:r>
        <w:rPr>
          <w:rFonts w:hint="eastAsia" w:ascii="仿宋" w:hAnsi="仿宋" w:eastAsia="仿宋" w:cs="仿宋"/>
          <w:sz w:val="32"/>
          <w:szCs w:val="32"/>
        </w:rPr>
        <w:t>《GB/T34004—2017家用和小型餐饮厨房用燃气安全器及传感器》和《CJJT146—2011城镇燃气安全控制系统技术规程》相关技术规范要求。</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 xml:space="preserve">小型餐饮厨房安装的安全器应具备泄漏安全和自动切断功能。 </w:t>
      </w:r>
    </w:p>
    <w:p>
      <w:pPr>
        <w:spacing w:line="500" w:lineRule="exact"/>
        <w:ind w:firstLine="640"/>
        <w:rPr>
          <w:rFonts w:ascii="仿宋" w:hAnsi="仿宋" w:eastAsia="仿宋" w:cs="仿宋"/>
          <w:sz w:val="32"/>
          <w:szCs w:val="32"/>
        </w:rPr>
      </w:pPr>
      <w:r>
        <w:rPr>
          <w:rFonts w:hint="eastAsia" w:ascii="黑体" w:hAnsi="黑体" w:eastAsia="黑体" w:cs="黑体"/>
          <w:sz w:val="32"/>
          <w:szCs w:val="32"/>
        </w:rPr>
        <w:t>三、安装方式：</w:t>
      </w:r>
      <w:r>
        <w:rPr>
          <w:rFonts w:hint="eastAsia" w:ascii="仿宋" w:hAnsi="仿宋" w:eastAsia="仿宋" w:cs="仿宋"/>
          <w:sz w:val="32"/>
          <w:szCs w:val="32"/>
        </w:rPr>
        <w:t>由供气企业进行技术指导，使用单位自行选购合格产品，选择安装单位，安装单位应具备可燃气体安全装置安装资质。</w:t>
      </w:r>
    </w:p>
    <w:p>
      <w:pPr>
        <w:spacing w:line="500" w:lineRule="exact"/>
        <w:ind w:firstLine="640"/>
        <w:rPr>
          <w:rFonts w:ascii="仿宋" w:hAnsi="仿宋" w:eastAsia="仿宋" w:cs="仿宋"/>
          <w:sz w:val="32"/>
          <w:szCs w:val="32"/>
        </w:rPr>
      </w:pPr>
      <w:r>
        <w:rPr>
          <w:rFonts w:hint="eastAsia" w:ascii="黑体" w:hAnsi="黑体" w:eastAsia="黑体" w:cs="黑体"/>
          <w:sz w:val="32"/>
          <w:szCs w:val="32"/>
        </w:rPr>
        <w:t>四、安装时间：</w:t>
      </w:r>
      <w:r>
        <w:rPr>
          <w:rFonts w:hint="eastAsia" w:ascii="仿宋" w:hAnsi="仿宋" w:eastAsia="仿宋" w:cs="仿宋"/>
          <w:sz w:val="32"/>
          <w:szCs w:val="32"/>
        </w:rPr>
        <w:t xml:space="preserve">自公告之日起至2022年6月30日前。 </w:t>
      </w:r>
    </w:p>
    <w:p>
      <w:pPr>
        <w:spacing w:line="500" w:lineRule="exact"/>
        <w:ind w:firstLine="640"/>
        <w:rPr>
          <w:rFonts w:ascii="仿宋" w:hAnsi="仿宋" w:eastAsia="仿宋" w:cs="仿宋"/>
          <w:sz w:val="32"/>
          <w:szCs w:val="32"/>
        </w:rPr>
      </w:pPr>
      <w:r>
        <w:rPr>
          <w:rFonts w:hint="eastAsia" w:ascii="黑体" w:hAnsi="黑体" w:eastAsia="黑体" w:cs="黑体"/>
          <w:sz w:val="32"/>
          <w:szCs w:val="32"/>
        </w:rPr>
        <w:t>五、法律依据：</w:t>
      </w:r>
      <w:r>
        <w:rPr>
          <w:rFonts w:hint="eastAsia" w:ascii="仿宋" w:hAnsi="仿宋" w:eastAsia="仿宋" w:cs="仿宋"/>
          <w:sz w:val="32"/>
          <w:szCs w:val="32"/>
        </w:rPr>
        <w:t>《安全生产法》第三十六条：“餐饮等行业的生产经营单位使用燃气的，应当安装可燃气体安全装置，并保障其正常使用。”《安全生产法》第九十九条：“生产经营单位有下列行为之一的，责令限期改正，处伍万元以下的罚款；逾期未改正的，处伍万元以上二十万元以下的罚款，对其直接负责的主管人员和其他直接责任人员处一万元以上二万元以下的罚款；情节严重的，责令停产停业整顿；构成犯罪的，依照刑法有关规定追究刑事责任。”</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特此公告。 </w:t>
      </w:r>
    </w:p>
    <w:p>
      <w:pPr>
        <w:rPr>
          <w:rFonts w:ascii="仿宋" w:hAnsi="仿宋" w:eastAsia="仿宋" w:cs="仿宋"/>
          <w:sz w:val="32"/>
          <w:szCs w:val="32"/>
        </w:rPr>
      </w:pPr>
      <w:r>
        <w:rPr>
          <w:rFonts w:ascii="仿宋" w:hAnsi="仿宋" w:eastAsia="仿宋" w:cs="仿宋"/>
          <w:sz w:val="32"/>
          <w:szCs w:val="32"/>
        </w:rPr>
        <w:br w:type="page"/>
      </w: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spacing w:line="500" w:lineRule="exact"/>
        <w:rPr>
          <w:rFonts w:ascii="仿宋" w:hAnsi="仿宋" w:eastAsia="仿宋" w:cs="仿宋"/>
          <w:color w:val="auto"/>
          <w:sz w:val="32"/>
          <w:szCs w:val="32"/>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28"/>
          <w:szCs w:val="28"/>
        </w:rPr>
      </w:pPr>
    </w:p>
    <w:p>
      <w:pPr>
        <w:pStyle w:val="16"/>
        <w:rPr>
          <w:rFonts w:hint="eastAsia" w:ascii="仿宋_GB2312" w:eastAsia="仿宋_GB2312"/>
          <w:sz w:val="28"/>
          <w:szCs w:val="28"/>
        </w:rPr>
      </w:pPr>
    </w:p>
    <w:p>
      <w:pPr>
        <w:pStyle w:val="16"/>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lang w:val="en-US"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434975</wp:posOffset>
                </wp:positionV>
                <wp:extent cx="5615940" cy="13335"/>
                <wp:effectExtent l="0" t="4445" r="3810" b="10795"/>
                <wp:wrapNone/>
                <wp:docPr id="4" name="直接连接符 4"/>
                <wp:cNvGraphicFramePr/>
                <a:graphic xmlns:a="http://schemas.openxmlformats.org/drawingml/2006/main">
                  <a:graphicData uri="http://schemas.microsoft.com/office/word/2010/wordprocessingShape">
                    <wps:wsp>
                      <wps:cNvCnPr/>
                      <wps:spPr>
                        <a:xfrm>
                          <a:off x="0" y="0"/>
                          <a:ext cx="5615940" cy="133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pt;margin-top:34.25pt;height:1.05pt;width:442.2pt;z-index:251661312;mso-width-relative:page;mso-height-relative:page;" filled="f" stroked="t" coordsize="21600,21600" o:gfxdata="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r0Rg9YAAAAHAQAADwAAAAAAAAABACAAAAAiAAAAZHJzL2Rvd25yZXYueG1sUEsB&#10;AhQAFAAAAAgAh07iQGNnNjz3AQAA6AMAAA4AAAAAAAAAAQAgAAAAJQEAAGRycy9lMm9Eb2MueG1s&#10;UEsFBgAAAAAGAAYAWQEAAI4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南昌市青山湖区人民政府办公室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w:t>
      </w:r>
      <w:r>
        <w:rPr>
          <w:rFonts w:hint="default" w:ascii="仿宋_GB2312" w:eastAsia="仿宋_GB2312"/>
          <w:sz w:val="28"/>
          <w:szCs w:val="28"/>
          <w:lang w:val="en-US" w:eastAsia="zh-CN"/>
        </w:rPr>
        <w:t>0</w:t>
      </w:r>
      <w:r>
        <w:rPr>
          <w:rFonts w:hint="eastAsia" w:ascii="仿宋_GB2312" w:eastAsia="仿宋_GB2312"/>
          <w:sz w:val="28"/>
          <w:szCs w:val="28"/>
        </w:rPr>
        <w:t xml:space="preserve">日印发 </w:t>
      </w:r>
      <w:r>
        <w:rPr>
          <w:rFonts w:hint="default" w:ascii="仿宋_GB2312" w:eastAsia="仿宋_GB2312"/>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43815</wp:posOffset>
                </wp:positionV>
                <wp:extent cx="5615940"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3.45pt;height:0.15pt;width:442.2pt;z-index:251660288;mso-width-relative:page;mso-height-relative:page;" filled="f" stroked="t" coordsize="21600,21600" o:gfxdata="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XflRtUAAAAGAQAADwAAAAAAAAABACAAAAAiAAAAZHJzL2Rvd25yZXYueG1sUEsB&#10;AhQAFAAAAAgAh07iQB6fPeD4AQAA5wMAAA4AAAAAAAAAAQAgAAAAJAEAAGRycy9lMm9Eb2MueG1s&#10;UEsFBgAAAAAGAAYAWQEAAI4FAAAAAA==&#10;">
                <v:fill on="f" focussize="0,0"/>
                <v:stroke color="#000000" joinstyle="round"/>
                <v:imagedata o:title=""/>
                <o:lock v:ext="edit" aspectratio="f"/>
              </v:line>
            </w:pict>
          </mc:Fallback>
        </mc:AlternateContent>
      </w:r>
      <w:r>
        <w:rPr>
          <w:rFonts w:hint="eastAsia" w:ascii="仿宋_GB2312" w:eastAsia="仿宋_GB2312"/>
          <w:sz w:val="28"/>
          <w:szCs w:val="28"/>
          <w:lang w:val="en-US" w:eastAsia="zh-CN"/>
        </w:rPr>
        <w:t xml:space="preserve"> </w:t>
      </w:r>
    </w:p>
    <w:sectPr>
      <w:footerReference r:id="rId5" w:type="default"/>
      <w:pgSz w:w="11906" w:h="16838"/>
      <w:pgMar w:top="1984" w:right="1474" w:bottom="1701" w:left="1587" w:header="851" w:footer="850" w:gutter="0"/>
      <w:paperSrc/>
      <w:pgNumType w:fmt="decimal"/>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8"/>
                          </w:pPr>
                          <w:r>
                            <w:t xml:space="preserve">— </w:t>
                          </w:r>
                          <w:r>
                            <w:fldChar w:fldCharType="begin"/>
                          </w:r>
                          <w:r>
                            <w:instrText xml:space="preserve"> PAGE  \* MERGEFORMAT </w:instrText>
                          </w:r>
                          <w:r>
                            <w:fldChar w:fldCharType="separate"/>
                          </w:r>
                          <w:r>
                            <w:t>6</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19</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YmY3YzQ5YTc4MDUyZWQ5YjczN2YxMmMxMTIxOTYifQ=="/>
  </w:docVars>
  <w:rsids>
    <w:rsidRoot w:val="048A3382"/>
    <w:rsid w:val="0068161D"/>
    <w:rsid w:val="04885008"/>
    <w:rsid w:val="048A3382"/>
    <w:rsid w:val="05E22B86"/>
    <w:rsid w:val="07A90099"/>
    <w:rsid w:val="08422A5C"/>
    <w:rsid w:val="0E9F2022"/>
    <w:rsid w:val="0F201ADC"/>
    <w:rsid w:val="0FC73F8C"/>
    <w:rsid w:val="137C0EE1"/>
    <w:rsid w:val="16117F11"/>
    <w:rsid w:val="16BA7391"/>
    <w:rsid w:val="16F21AF1"/>
    <w:rsid w:val="177644D0"/>
    <w:rsid w:val="19717F95"/>
    <w:rsid w:val="1AF35E37"/>
    <w:rsid w:val="1B770817"/>
    <w:rsid w:val="1BC021BE"/>
    <w:rsid w:val="1BFB31F6"/>
    <w:rsid w:val="1D017FAF"/>
    <w:rsid w:val="1DA43BAE"/>
    <w:rsid w:val="1E864145"/>
    <w:rsid w:val="22B35C48"/>
    <w:rsid w:val="2329323A"/>
    <w:rsid w:val="24391ECD"/>
    <w:rsid w:val="26233A75"/>
    <w:rsid w:val="268D5392"/>
    <w:rsid w:val="27604855"/>
    <w:rsid w:val="278B0E06"/>
    <w:rsid w:val="293F1AAA"/>
    <w:rsid w:val="2A5306A1"/>
    <w:rsid w:val="2A750617"/>
    <w:rsid w:val="2AC15D92"/>
    <w:rsid w:val="2BB50FF0"/>
    <w:rsid w:val="2BDA5865"/>
    <w:rsid w:val="34586FDF"/>
    <w:rsid w:val="374F307D"/>
    <w:rsid w:val="384C343C"/>
    <w:rsid w:val="38806B05"/>
    <w:rsid w:val="38FC5B08"/>
    <w:rsid w:val="391B3F10"/>
    <w:rsid w:val="3A191778"/>
    <w:rsid w:val="3D6D2278"/>
    <w:rsid w:val="3DF61342"/>
    <w:rsid w:val="3F284736"/>
    <w:rsid w:val="3F523141"/>
    <w:rsid w:val="424E2ACA"/>
    <w:rsid w:val="429F227D"/>
    <w:rsid w:val="450972D6"/>
    <w:rsid w:val="466F39F8"/>
    <w:rsid w:val="46BA7686"/>
    <w:rsid w:val="47EB032C"/>
    <w:rsid w:val="4B264118"/>
    <w:rsid w:val="4B711DA8"/>
    <w:rsid w:val="4C946B49"/>
    <w:rsid w:val="4F8E5B53"/>
    <w:rsid w:val="4FB942D6"/>
    <w:rsid w:val="55BA31FE"/>
    <w:rsid w:val="55DD0C9B"/>
    <w:rsid w:val="565431FC"/>
    <w:rsid w:val="56CF4944"/>
    <w:rsid w:val="57AE0B41"/>
    <w:rsid w:val="58207565"/>
    <w:rsid w:val="5A054C64"/>
    <w:rsid w:val="5A1F1E2D"/>
    <w:rsid w:val="5B743E4F"/>
    <w:rsid w:val="5BB63A1D"/>
    <w:rsid w:val="5BEF1B2C"/>
    <w:rsid w:val="5BF8682E"/>
    <w:rsid w:val="5CD836CB"/>
    <w:rsid w:val="5D184CAE"/>
    <w:rsid w:val="5ED51E0A"/>
    <w:rsid w:val="5F1F0576"/>
    <w:rsid w:val="61EC7A41"/>
    <w:rsid w:val="639F1C85"/>
    <w:rsid w:val="63B82D47"/>
    <w:rsid w:val="63F511ED"/>
    <w:rsid w:val="644A5201"/>
    <w:rsid w:val="6557445E"/>
    <w:rsid w:val="69366BE8"/>
    <w:rsid w:val="693E5A9D"/>
    <w:rsid w:val="697446C2"/>
    <w:rsid w:val="69B10998"/>
    <w:rsid w:val="6A646400"/>
    <w:rsid w:val="6AF6662F"/>
    <w:rsid w:val="6CCB486A"/>
    <w:rsid w:val="6CEF1747"/>
    <w:rsid w:val="6D025E3F"/>
    <w:rsid w:val="6D574167"/>
    <w:rsid w:val="6D8343C6"/>
    <w:rsid w:val="6F87018E"/>
    <w:rsid w:val="6FDF17BF"/>
    <w:rsid w:val="6FE62C88"/>
    <w:rsid w:val="708950AF"/>
    <w:rsid w:val="73BB0416"/>
    <w:rsid w:val="764A782F"/>
    <w:rsid w:val="769D4438"/>
    <w:rsid w:val="76C27D0D"/>
    <w:rsid w:val="76FA74A7"/>
    <w:rsid w:val="777D71C8"/>
    <w:rsid w:val="797C243E"/>
    <w:rsid w:val="79CF3645"/>
    <w:rsid w:val="79EC4264"/>
    <w:rsid w:val="7A4B0019"/>
    <w:rsid w:val="7A7E219D"/>
    <w:rsid w:val="7B3E3330"/>
    <w:rsid w:val="7B4A708A"/>
    <w:rsid w:val="7C2223CE"/>
    <w:rsid w:val="7E5528F3"/>
    <w:rsid w:val="7E5D2AFF"/>
    <w:rsid w:val="7F01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spacing w:val="-4"/>
      <w:kern w:val="2"/>
      <w:sz w:val="32"/>
      <w:szCs w:val="22"/>
      <w:lang w:val="en-US" w:eastAsia="zh-CN" w:bidi="ar-SA"/>
    </w:rPr>
  </w:style>
  <w:style w:type="paragraph" w:styleId="3">
    <w:name w:val="heading 1"/>
    <w:basedOn w:val="1"/>
    <w:next w:val="1"/>
    <w:qFormat/>
    <w:uiPriority w:val="1"/>
    <w:pPr>
      <w:ind w:left="168" w:hanging="1542"/>
      <w:outlineLvl w:val="1"/>
    </w:pPr>
    <w:rPr>
      <w:rFonts w:ascii="方正小标宋简体" w:hAnsi="方正小标宋简体" w:eastAsia="方正小标宋简体" w:cs="方正小标宋简体"/>
      <w:sz w:val="44"/>
      <w:szCs w:val="44"/>
      <w:lang w:val="zh-CN" w:eastAsia="zh-CN" w:bidi="zh-CN"/>
    </w:rPr>
  </w:style>
  <w:style w:type="paragraph" w:styleId="4">
    <w:name w:val="heading 2"/>
    <w:basedOn w:val="1"/>
    <w:next w:val="1"/>
    <w:qFormat/>
    <w:uiPriority w:val="1"/>
    <w:pPr>
      <w:spacing w:before="6"/>
      <w:ind w:left="1034" w:hanging="242"/>
      <w:outlineLvl w:val="2"/>
    </w:pPr>
    <w:rPr>
      <w:rFonts w:ascii="楷体" w:hAnsi="楷体" w:eastAsia="楷体" w:cs="楷体"/>
      <w:b/>
      <w:bCs/>
      <w:sz w:val="32"/>
      <w:szCs w:val="32"/>
      <w:lang w:val="zh-CN" w:eastAsia="zh-CN" w:bidi="zh-CN"/>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rPr>
      <w:rFonts w:eastAsia="仿宋_GB2312"/>
      <w:sz w:val="32"/>
    </w:rPr>
  </w:style>
  <w:style w:type="paragraph" w:customStyle="1" w:styleId="6">
    <w:name w:val="_Style 4"/>
    <w:basedOn w:val="1"/>
    <w:next w:val="1"/>
    <w:qFormat/>
    <w:uiPriority w:val="0"/>
    <w:pPr>
      <w:wordWrap w:val="0"/>
      <w:spacing w:before="200" w:after="160"/>
      <w:ind w:left="864" w:right="864"/>
      <w:jc w:val="center"/>
    </w:pPr>
    <w:rPr>
      <w:rFonts w:eastAsia="微软雅黑"/>
      <w:i/>
    </w:rPr>
  </w:style>
  <w:style w:type="paragraph" w:styleId="7">
    <w:name w:val="Plain Text"/>
    <w:basedOn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Body Text First Indent"/>
    <w:basedOn w:val="5"/>
    <w:next w:val="5"/>
    <w:qFormat/>
    <w:uiPriority w:val="0"/>
    <w:pPr>
      <w:ind w:firstLine="420" w:firstLineChars="100"/>
    </w:pPr>
    <w:rPr>
      <w:rFonts w:eastAsia="方正仿宋简体"/>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Default"/>
    <w:qFormat/>
    <w:uiPriority w:val="0"/>
    <w:pPr>
      <w:widowControl w:val="0"/>
      <w:autoSpaceDE w:val="0"/>
      <w:autoSpaceDN w:val="0"/>
    </w:pPr>
    <w:rPr>
      <w:rFonts w:ascii="宋体" w:hAnsi="Times New Roman" w:eastAsia="宋体" w:cs="Times New Roman"/>
      <w:color w:val="000000"/>
      <w:sz w:val="24"/>
      <w:lang w:val="en-US" w:eastAsia="zh-CN" w:bidi="ar-SA"/>
    </w:rPr>
  </w:style>
  <w:style w:type="paragraph" w:customStyle="1" w:styleId="17">
    <w:name w:val="BodyText"/>
    <w:basedOn w:val="1"/>
    <w:qFormat/>
    <w:uiPriority w:val="0"/>
    <w:pPr>
      <w:spacing w:after="120" w:line="240" w:lineRule="auto"/>
      <w:jc w:val="both"/>
      <w:textAlignment w:val="baseline"/>
    </w:pPr>
  </w:style>
  <w:style w:type="paragraph" w:styleId="18">
    <w:name w:val="List Paragraph"/>
    <w:basedOn w:val="1"/>
    <w:qFormat/>
    <w:uiPriority w:val="1"/>
    <w:pPr>
      <w:spacing w:before="190"/>
      <w:ind w:left="149" w:hanging="242"/>
    </w:pPr>
    <w:rPr>
      <w:rFonts w:ascii="仿宋_GB2312" w:hAnsi="仿宋_GB2312" w:eastAsia="仿宋_GB2312" w:cs="仿宋_GB2312"/>
      <w:lang w:val="zh-CN" w:eastAsia="zh-CN" w:bidi="zh-CN"/>
    </w:rPr>
  </w:style>
  <w:style w:type="character" w:customStyle="1" w:styleId="19">
    <w:name w:val="font221"/>
    <w:basedOn w:val="14"/>
    <w:qFormat/>
    <w:uiPriority w:val="0"/>
    <w:rPr>
      <w:rFonts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12371</Words>
  <Characters>14910</Characters>
  <Lines>0</Lines>
  <Paragraphs>0</Paragraphs>
  <TotalTime>5</TotalTime>
  <ScaleCrop>false</ScaleCrop>
  <LinksUpToDate>false</LinksUpToDate>
  <CharactersWithSpaces>15029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2021-07-27T02:32:00Z</dcterms:created>
  <dc:creator>.</dc:creator>
  <cp:lastModifiedBy>少平凡</cp:lastModifiedBy>
  <cp:lastPrinted>2022-09-21T07:20:12Z</cp:lastPrinted>
  <dcterms:modified xsi:type="dcterms:W3CDTF">2022-09-21T07:20:32Z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087FE3CB332043D9B80F704740D42285</vt:lpwstr>
  </property>
</Properties>
</file>